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EE016E">
      <w:pPr>
        <w:rPr>
          <w:rFonts w:hint="eastAsia" w:eastAsia="仿宋_GB2312"/>
          <w:color w:val="auto"/>
          <w:sz w:val="36"/>
          <w:szCs w:val="36"/>
        </w:rPr>
      </w:pPr>
    </w:p>
    <w:p w14:paraId="2E46EC56">
      <w:pPr>
        <w:rPr>
          <w:rFonts w:eastAsia="仿宋_GB2312"/>
          <w:color w:val="auto"/>
          <w:sz w:val="36"/>
          <w:szCs w:val="36"/>
        </w:rPr>
      </w:pPr>
    </w:p>
    <w:p w14:paraId="72B9C5E7">
      <w:pPr>
        <w:rPr>
          <w:rFonts w:eastAsia="仿宋_GB2312"/>
          <w:color w:val="auto"/>
          <w:sz w:val="36"/>
          <w:szCs w:val="36"/>
        </w:rPr>
      </w:pPr>
    </w:p>
    <w:p w14:paraId="5A61A969">
      <w:pPr>
        <w:rPr>
          <w:rFonts w:eastAsia="仿宋_GB2312"/>
          <w:color w:val="auto"/>
          <w:sz w:val="36"/>
          <w:szCs w:val="36"/>
        </w:rPr>
      </w:pPr>
    </w:p>
    <w:p w14:paraId="55326C1A">
      <w:pPr>
        <w:rPr>
          <w:rFonts w:eastAsia="仿宋_GB2312"/>
          <w:color w:val="auto"/>
          <w:sz w:val="36"/>
          <w:szCs w:val="36"/>
        </w:rPr>
      </w:pPr>
    </w:p>
    <w:p w14:paraId="4A42D7D7">
      <w:pPr>
        <w:adjustRightInd w:val="0"/>
        <w:snapToGrid w:val="0"/>
        <w:jc w:val="center"/>
        <w:outlineLvl w:val="0"/>
        <w:rPr>
          <w:rFonts w:hint="default" w:ascii="Times New Roman" w:hAnsi="Times New Roman" w:eastAsia="方正小标宋_GBK" w:cs="Times New Roman"/>
          <w:bCs/>
          <w:color w:val="auto"/>
          <w:sz w:val="72"/>
          <w:szCs w:val="72"/>
        </w:rPr>
      </w:pPr>
      <w:bookmarkStart w:id="0" w:name="_Toc1134"/>
      <w:bookmarkStart w:id="1" w:name="_Toc4088"/>
      <w:r>
        <w:rPr>
          <w:rFonts w:hint="default" w:ascii="Times New Roman" w:hAnsi="Times New Roman" w:eastAsia="方正小标宋_GBK" w:cs="Times New Roman"/>
          <w:bCs/>
          <w:color w:val="auto"/>
          <w:sz w:val="72"/>
          <w:szCs w:val="72"/>
        </w:rPr>
        <w:t>建设项目环境影响报告表</w:t>
      </w:r>
      <w:bookmarkEnd w:id="0"/>
      <w:bookmarkEnd w:id="1"/>
    </w:p>
    <w:p w14:paraId="719E1A9D">
      <w:pPr>
        <w:adjustRightInd w:val="0"/>
        <w:snapToGrid w:val="0"/>
        <w:spacing w:before="192" w:beforeLines="80"/>
        <w:jc w:val="center"/>
        <w:rPr>
          <w:rFonts w:hint="default" w:ascii="Times New Roman" w:hAnsi="Times New Roman" w:eastAsia="楷体_GB2312" w:cs="Times New Roman"/>
          <w:bCs/>
          <w:color w:val="auto"/>
          <w:sz w:val="48"/>
          <w:szCs w:val="48"/>
          <w:highlight w:val="none"/>
        </w:rPr>
      </w:pPr>
      <w:r>
        <w:rPr>
          <w:rFonts w:hint="default" w:ascii="Times New Roman" w:hAnsi="Times New Roman" w:eastAsia="楷体_GB2312" w:cs="Times New Roman"/>
          <w:bCs/>
          <w:color w:val="auto"/>
          <w:sz w:val="48"/>
          <w:szCs w:val="48"/>
          <w:highlight w:val="none"/>
        </w:rPr>
        <w:t>（污染影响类）</w:t>
      </w:r>
    </w:p>
    <w:p w14:paraId="455AB4E3">
      <w:pPr>
        <w:adjustRightInd w:val="0"/>
        <w:snapToGrid w:val="0"/>
        <w:spacing w:before="192" w:beforeLines="80"/>
        <w:jc w:val="center"/>
        <w:rPr>
          <w:rFonts w:hint="default" w:ascii="Times New Roman" w:hAnsi="Times New Roman" w:eastAsia="楷体_GB2312" w:cs="Times New Roman"/>
          <w:bCs/>
          <w:color w:val="auto"/>
          <w:sz w:val="48"/>
          <w:szCs w:val="48"/>
          <w:highlight w:val="red"/>
        </w:rPr>
      </w:pPr>
    </w:p>
    <w:p w14:paraId="35F8F627">
      <w:pPr>
        <w:ind w:firstLine="1040"/>
        <w:rPr>
          <w:rFonts w:hint="default" w:ascii="Times New Roman" w:hAnsi="Times New Roman" w:eastAsia="仿宋" w:cs="Times New Roman"/>
          <w:color w:val="auto"/>
          <w:sz w:val="44"/>
          <w:szCs w:val="44"/>
        </w:rPr>
      </w:pPr>
    </w:p>
    <w:p w14:paraId="09AAFE05">
      <w:pPr>
        <w:ind w:firstLine="1040"/>
        <w:rPr>
          <w:rFonts w:hint="default" w:ascii="Times New Roman" w:hAnsi="Times New Roman" w:eastAsia="仿宋" w:cs="Times New Roman"/>
          <w:color w:val="auto"/>
          <w:sz w:val="44"/>
          <w:szCs w:val="44"/>
        </w:rPr>
      </w:pPr>
    </w:p>
    <w:p w14:paraId="6609467F">
      <w:pPr>
        <w:ind w:firstLine="1040"/>
        <w:rPr>
          <w:rFonts w:hint="default" w:ascii="Times New Roman" w:hAnsi="Times New Roman" w:eastAsia="仿宋" w:cs="Times New Roman"/>
          <w:color w:val="auto"/>
          <w:sz w:val="44"/>
          <w:szCs w:val="44"/>
        </w:rPr>
      </w:pPr>
    </w:p>
    <w:p w14:paraId="2DDA721F">
      <w:pPr>
        <w:ind w:firstLine="1040"/>
        <w:rPr>
          <w:rFonts w:hint="default" w:ascii="Times New Roman" w:hAnsi="Times New Roman" w:eastAsia="仿宋" w:cs="Times New Roman"/>
          <w:color w:val="auto"/>
          <w:sz w:val="44"/>
          <w:szCs w:val="44"/>
        </w:rPr>
      </w:pPr>
    </w:p>
    <w:p w14:paraId="7E10EB89">
      <w:pPr>
        <w:ind w:firstLine="1040"/>
        <w:rPr>
          <w:rFonts w:hint="default" w:ascii="Times New Roman" w:hAnsi="Times New Roman" w:eastAsia="仿宋" w:cs="Times New Roman"/>
          <w:color w:val="auto"/>
          <w:sz w:val="44"/>
          <w:szCs w:val="44"/>
        </w:rPr>
      </w:pPr>
    </w:p>
    <w:p w14:paraId="41E8C49B">
      <w:pPr>
        <w:keepNext w:val="0"/>
        <w:keepLines w:val="0"/>
        <w:pageBreakBefore w:val="0"/>
        <w:widowControl w:val="0"/>
        <w:kinsoku/>
        <w:wordWrap/>
        <w:overflowPunct/>
        <w:topLinePunct w:val="0"/>
        <w:autoSpaceDE/>
        <w:autoSpaceDN/>
        <w:bidi w:val="0"/>
        <w:adjustRightInd w:val="0"/>
        <w:snapToGrid w:val="0"/>
        <w:spacing w:line="288" w:lineRule="auto"/>
        <w:ind w:firstLine="360" w:firstLineChars="100"/>
        <w:textAlignment w:val="auto"/>
        <w:rPr>
          <w:rFonts w:hint="default" w:ascii="Times New Roman" w:hAnsi="Times New Roman" w:eastAsia="仿宋_GB2312" w:cs="Times New Roman"/>
          <w:color w:val="auto"/>
          <w:sz w:val="36"/>
          <w:szCs w:val="36"/>
          <w:u w:val="single"/>
        </w:rPr>
      </w:pPr>
      <w:r>
        <w:rPr>
          <w:rFonts w:hint="default" w:ascii="Times New Roman" w:hAnsi="Times New Roman" w:eastAsia="仿宋_GB2312" w:cs="Times New Roman"/>
          <w:color w:val="auto"/>
          <w:sz w:val="36"/>
          <w:szCs w:val="36"/>
        </w:rPr>
        <w:t>项目名称：</w:t>
      </w:r>
      <w:r>
        <w:rPr>
          <w:rFonts w:hint="default" w:ascii="Times New Roman" w:hAnsi="Times New Roman" w:eastAsia="仿宋_GB2312" w:cs="Times New Roman"/>
          <w:color w:val="auto"/>
          <w:sz w:val="36"/>
          <w:szCs w:val="36"/>
          <w:u w:val="single"/>
        </w:rPr>
        <w:t>达州荣利达精密塑胶整体迁建技改扩能项目</w:t>
      </w:r>
    </w:p>
    <w:p w14:paraId="2831600D">
      <w:pPr>
        <w:keepNext w:val="0"/>
        <w:keepLines w:val="0"/>
        <w:pageBreakBefore w:val="0"/>
        <w:widowControl w:val="0"/>
        <w:kinsoku/>
        <w:wordWrap/>
        <w:overflowPunct/>
        <w:topLinePunct w:val="0"/>
        <w:autoSpaceDE/>
        <w:autoSpaceDN/>
        <w:bidi w:val="0"/>
        <w:adjustRightInd w:val="0"/>
        <w:snapToGrid w:val="0"/>
        <w:spacing w:line="288" w:lineRule="auto"/>
        <w:ind w:firstLine="360" w:firstLineChars="100"/>
        <w:textAlignment w:val="auto"/>
        <w:rPr>
          <w:rFonts w:hint="default" w:ascii="Times New Roman" w:hAnsi="Times New Roman" w:eastAsia="仿宋_GB2312" w:cs="Times New Roman"/>
          <w:color w:val="auto"/>
          <w:sz w:val="36"/>
          <w:szCs w:val="36"/>
          <w:u w:val="single"/>
        </w:rPr>
      </w:pPr>
    </w:p>
    <w:p w14:paraId="7CD5D155">
      <w:pPr>
        <w:keepNext w:val="0"/>
        <w:keepLines w:val="0"/>
        <w:pageBreakBefore w:val="0"/>
        <w:widowControl w:val="0"/>
        <w:kinsoku/>
        <w:wordWrap/>
        <w:overflowPunct/>
        <w:topLinePunct w:val="0"/>
        <w:autoSpaceDE/>
        <w:autoSpaceDN/>
        <w:bidi w:val="0"/>
        <w:adjustRightInd w:val="0"/>
        <w:snapToGrid w:val="0"/>
        <w:spacing w:line="288" w:lineRule="auto"/>
        <w:ind w:firstLine="360" w:firstLineChars="100"/>
        <w:textAlignment w:val="auto"/>
        <w:rPr>
          <w:rFonts w:hint="default" w:ascii="Times New Roman" w:hAnsi="Times New Roman" w:eastAsia="仿宋_GB2312" w:cs="Times New Roman"/>
          <w:color w:val="auto"/>
          <w:sz w:val="36"/>
          <w:szCs w:val="36"/>
          <w:u w:val="single"/>
          <w:lang w:val="en-US" w:eastAsia="zh-CN"/>
        </w:rPr>
      </w:pPr>
      <w:r>
        <w:rPr>
          <w:rFonts w:hint="default" w:ascii="Times New Roman" w:hAnsi="Times New Roman" w:eastAsia="仿宋_GB2312" w:cs="Times New Roman"/>
          <w:color w:val="auto"/>
          <w:sz w:val="36"/>
          <w:szCs w:val="36"/>
        </w:rPr>
        <w:t>建设单位（盖章）：</w:t>
      </w:r>
      <w:r>
        <w:rPr>
          <w:rFonts w:hint="default" w:ascii="Times New Roman" w:hAnsi="Times New Roman" w:eastAsia="仿宋_GB2312" w:cs="Times New Roman"/>
          <w:color w:val="auto"/>
          <w:sz w:val="36"/>
          <w:szCs w:val="36"/>
          <w:u w:val="single"/>
          <w:lang w:val="en-US" w:eastAsia="zh-CN"/>
        </w:rPr>
        <w:t xml:space="preserve">达州荣利达精密塑胶有限公司  </w:t>
      </w:r>
    </w:p>
    <w:p w14:paraId="1680E621">
      <w:pPr>
        <w:keepNext w:val="0"/>
        <w:keepLines w:val="0"/>
        <w:pageBreakBefore w:val="0"/>
        <w:widowControl w:val="0"/>
        <w:kinsoku/>
        <w:wordWrap/>
        <w:overflowPunct/>
        <w:topLinePunct w:val="0"/>
        <w:autoSpaceDE/>
        <w:autoSpaceDN/>
        <w:bidi w:val="0"/>
        <w:adjustRightInd w:val="0"/>
        <w:snapToGrid w:val="0"/>
        <w:spacing w:line="288" w:lineRule="auto"/>
        <w:ind w:firstLine="360" w:firstLineChars="100"/>
        <w:textAlignment w:val="auto"/>
        <w:rPr>
          <w:rFonts w:hint="default" w:ascii="Times New Roman" w:hAnsi="Times New Roman" w:eastAsia="仿宋_GB2312" w:cs="Times New Roman"/>
          <w:color w:val="auto"/>
          <w:sz w:val="36"/>
          <w:szCs w:val="36"/>
        </w:rPr>
      </w:pPr>
    </w:p>
    <w:p w14:paraId="58425EFA">
      <w:pPr>
        <w:keepNext w:val="0"/>
        <w:keepLines w:val="0"/>
        <w:pageBreakBefore w:val="0"/>
        <w:widowControl w:val="0"/>
        <w:kinsoku/>
        <w:wordWrap/>
        <w:overflowPunct/>
        <w:topLinePunct w:val="0"/>
        <w:autoSpaceDE/>
        <w:autoSpaceDN/>
        <w:bidi w:val="0"/>
        <w:adjustRightInd w:val="0"/>
        <w:snapToGrid w:val="0"/>
        <w:spacing w:line="288" w:lineRule="auto"/>
        <w:ind w:firstLine="360" w:firstLineChars="100"/>
        <w:textAlignment w:val="auto"/>
        <w:rPr>
          <w:rFonts w:hint="default" w:ascii="Times New Roman" w:hAnsi="Times New Roman" w:eastAsia="仿宋_GB2312" w:cs="Times New Roman"/>
          <w:color w:val="auto"/>
          <w:sz w:val="36"/>
          <w:szCs w:val="36"/>
          <w:u w:val="none"/>
          <w:lang w:val="en-US" w:eastAsia="zh-CN"/>
        </w:rPr>
      </w:pPr>
      <w:r>
        <w:rPr>
          <w:rFonts w:hint="default" w:ascii="Times New Roman" w:hAnsi="Times New Roman" w:eastAsia="仿宋_GB2312" w:cs="Times New Roman"/>
          <w:color w:val="auto"/>
          <w:sz w:val="36"/>
          <w:szCs w:val="36"/>
          <w:u w:val="none"/>
        </w:rPr>
        <w:t>编制日期：</w:t>
      </w:r>
      <w:r>
        <w:rPr>
          <w:rFonts w:hint="default" w:ascii="Times New Roman" w:hAnsi="Times New Roman" w:eastAsia="仿宋_GB2312" w:cs="Times New Roman"/>
          <w:color w:val="auto"/>
          <w:sz w:val="36"/>
          <w:szCs w:val="36"/>
          <w:u w:val="single"/>
        </w:rPr>
        <w:t>2025年</w:t>
      </w:r>
      <w:r>
        <w:rPr>
          <w:rFonts w:hint="eastAsia" w:eastAsia="仿宋_GB2312" w:cs="Times New Roman"/>
          <w:color w:val="auto"/>
          <w:sz w:val="36"/>
          <w:szCs w:val="36"/>
          <w:u w:val="single"/>
          <w:lang w:val="en-US" w:eastAsia="zh-CN"/>
        </w:rPr>
        <w:t>6</w:t>
      </w:r>
      <w:r>
        <w:rPr>
          <w:rFonts w:hint="default" w:ascii="Times New Roman" w:hAnsi="Times New Roman" w:eastAsia="仿宋_GB2312" w:cs="Times New Roman"/>
          <w:color w:val="auto"/>
          <w:sz w:val="36"/>
          <w:szCs w:val="36"/>
          <w:u w:val="single"/>
          <w:lang w:val="en-US" w:eastAsia="zh-CN"/>
        </w:rPr>
        <w:t>月</w:t>
      </w:r>
      <w:r>
        <w:rPr>
          <w:rFonts w:hint="default" w:ascii="Times New Roman" w:hAnsi="Times New Roman" w:eastAsia="宋体" w:cs="Times New Roman"/>
          <w:color w:val="auto"/>
          <w:sz w:val="36"/>
          <w:szCs w:val="36"/>
          <w:u w:val="single"/>
          <w:lang w:val="en-US" w:eastAsia="zh-CN"/>
        </w:rPr>
        <w:t xml:space="preserve">              </w:t>
      </w:r>
      <w:r>
        <w:rPr>
          <w:rFonts w:hint="default" w:ascii="Times New Roman" w:hAnsi="Times New Roman" w:eastAsia="仿宋_GB2312" w:cs="Times New Roman"/>
          <w:color w:val="auto"/>
          <w:sz w:val="36"/>
          <w:szCs w:val="36"/>
          <w:u w:val="none"/>
          <w:lang w:val="en-US" w:eastAsia="zh-CN"/>
        </w:rPr>
        <w:t xml:space="preserve">                          </w:t>
      </w:r>
    </w:p>
    <w:p w14:paraId="7D03E1FB">
      <w:pPr>
        <w:adjustRightInd w:val="0"/>
        <w:snapToGrid w:val="0"/>
        <w:spacing w:line="288" w:lineRule="auto"/>
        <w:ind w:firstLine="1040"/>
        <w:rPr>
          <w:rFonts w:hint="default" w:ascii="Times New Roman" w:hAnsi="Times New Roman" w:eastAsia="仿宋_GB2312" w:cs="Times New Roman"/>
          <w:color w:val="auto"/>
          <w:sz w:val="36"/>
          <w:szCs w:val="36"/>
          <w:u w:val="single"/>
        </w:rPr>
      </w:pPr>
      <w:bookmarkStart w:id="2" w:name="_Hlk57884087"/>
    </w:p>
    <w:p w14:paraId="035DC1C9">
      <w:pPr>
        <w:adjustRightInd w:val="0"/>
        <w:snapToGrid w:val="0"/>
        <w:spacing w:line="288" w:lineRule="auto"/>
        <w:rPr>
          <w:rFonts w:hint="default" w:ascii="Times New Roman" w:hAnsi="Times New Roman" w:eastAsia="仿宋_GB2312" w:cs="Times New Roman"/>
          <w:color w:val="auto"/>
          <w:sz w:val="36"/>
          <w:szCs w:val="36"/>
        </w:rPr>
      </w:pPr>
    </w:p>
    <w:p w14:paraId="5A4153C7">
      <w:pPr>
        <w:adjustRightInd w:val="0"/>
        <w:snapToGrid w:val="0"/>
        <w:spacing w:line="288" w:lineRule="auto"/>
        <w:ind w:firstLine="1040"/>
        <w:rPr>
          <w:rFonts w:hint="default" w:ascii="Times New Roman" w:hAnsi="Times New Roman" w:eastAsia="仿宋_GB2312" w:cs="Times New Roman"/>
          <w:color w:val="auto"/>
          <w:sz w:val="36"/>
          <w:szCs w:val="36"/>
        </w:rPr>
      </w:pPr>
    </w:p>
    <w:p w14:paraId="2BB0AED5">
      <w:pPr>
        <w:adjustRightInd w:val="0"/>
        <w:snapToGrid w:val="0"/>
        <w:spacing w:line="288" w:lineRule="auto"/>
        <w:ind w:firstLine="1040"/>
        <w:rPr>
          <w:rFonts w:hint="default" w:ascii="Times New Roman" w:hAnsi="Times New Roman" w:eastAsia="仿宋_GB2312" w:cs="Times New Roman"/>
          <w:color w:val="auto"/>
          <w:sz w:val="36"/>
          <w:szCs w:val="36"/>
        </w:rPr>
      </w:pPr>
    </w:p>
    <w:bookmarkEnd w:id="2"/>
    <w:p w14:paraId="120B59B1">
      <w:pPr>
        <w:adjustRightInd w:val="0"/>
        <w:snapToGrid w:val="0"/>
        <w:spacing w:line="288" w:lineRule="auto"/>
        <w:jc w:val="center"/>
        <w:rPr>
          <w:rFonts w:hint="default" w:ascii="Times New Roman" w:hAnsi="Times New Roman" w:eastAsia="楷体_GB2312" w:cs="Times New Roman"/>
          <w:color w:val="auto"/>
          <w:sz w:val="36"/>
          <w:szCs w:val="36"/>
        </w:rPr>
      </w:pPr>
      <w:r>
        <w:rPr>
          <w:rFonts w:hint="default" w:ascii="Times New Roman" w:hAnsi="Times New Roman" w:eastAsia="楷体_GB2312" w:cs="Times New Roman"/>
          <w:color w:val="auto"/>
          <w:sz w:val="36"/>
          <w:szCs w:val="36"/>
        </w:rPr>
        <w:t>中华人民共和国生态环境部制</w:t>
      </w:r>
    </w:p>
    <w:p w14:paraId="3AA5E0A5">
      <w:pPr>
        <w:adjustRightInd w:val="0"/>
        <w:snapToGrid w:val="0"/>
        <w:spacing w:line="288" w:lineRule="auto"/>
        <w:ind w:firstLine="1040"/>
        <w:rPr>
          <w:rFonts w:hint="default" w:ascii="Times New Roman" w:hAnsi="Times New Roman" w:eastAsia="仿宋_GB2312" w:cs="Times New Roman"/>
          <w:color w:val="auto"/>
          <w:sz w:val="36"/>
          <w:szCs w:val="36"/>
        </w:rPr>
        <w:sectPr>
          <w:footerReference r:id="rId3" w:type="default"/>
          <w:footerReference r:id="rId4" w:type="even"/>
          <w:pgSz w:w="11906" w:h="16838"/>
          <w:pgMar w:top="1701" w:right="1531" w:bottom="1701" w:left="1531" w:header="851" w:footer="1077" w:gutter="0"/>
          <w:pgNumType w:start="3"/>
          <w:cols w:space="720" w:num="1"/>
          <w:docGrid w:linePitch="312" w:charSpace="0"/>
        </w:sectPr>
      </w:pPr>
    </w:p>
    <w:p w14:paraId="0FC260A4">
      <w:pPr>
        <w:pStyle w:val="31"/>
        <w:jc w:val="center"/>
        <w:outlineLvl w:val="0"/>
        <w:rPr>
          <w:rFonts w:hint="default" w:ascii="Times New Roman" w:hAnsi="Times New Roman" w:eastAsia="黑体" w:cs="Times New Roman"/>
          <w:snapToGrid w:val="0"/>
          <w:color w:val="auto"/>
          <w:sz w:val="30"/>
          <w:szCs w:val="30"/>
        </w:rPr>
      </w:pPr>
      <w:bookmarkStart w:id="3" w:name="_Toc12853"/>
      <w:bookmarkStart w:id="4" w:name="_Toc20618"/>
      <w:r>
        <w:rPr>
          <w:rFonts w:hint="default" w:ascii="Times New Roman" w:hAnsi="Times New Roman" w:eastAsia="黑体" w:cs="Times New Roman"/>
          <w:snapToGrid w:val="0"/>
          <w:color w:val="auto"/>
          <w:sz w:val="30"/>
          <w:szCs w:val="30"/>
        </w:rPr>
        <w:t>一、建设项目基本情况</w:t>
      </w:r>
      <w:bookmarkEnd w:id="3"/>
      <w:bookmarkEnd w:id="4"/>
    </w:p>
    <w:tbl>
      <w:tblPr>
        <w:tblStyle w:val="35"/>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39"/>
        <w:gridCol w:w="1625"/>
        <w:gridCol w:w="1949"/>
        <w:gridCol w:w="2070"/>
        <w:gridCol w:w="3202"/>
      </w:tblGrid>
      <w:tr w14:paraId="6F578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64" w:type="dxa"/>
            <w:gridSpan w:val="2"/>
            <w:noWrap w:val="0"/>
            <w:tcMar>
              <w:top w:w="16" w:type="dxa"/>
              <w:left w:w="16" w:type="dxa"/>
              <w:right w:w="16" w:type="dxa"/>
            </w:tcMar>
            <w:vAlign w:val="center"/>
          </w:tcPr>
          <w:p w14:paraId="3868A89E">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建设项目名称</w:t>
            </w:r>
          </w:p>
        </w:tc>
        <w:tc>
          <w:tcPr>
            <w:tcW w:w="7221" w:type="dxa"/>
            <w:gridSpan w:val="3"/>
            <w:noWrap w:val="0"/>
            <w:vAlign w:val="center"/>
          </w:tcPr>
          <w:p w14:paraId="2D71676F">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达州荣利达精密塑胶整体迁建技改扩能项目</w:t>
            </w:r>
          </w:p>
        </w:tc>
      </w:tr>
      <w:tr w14:paraId="71E97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64" w:type="dxa"/>
            <w:gridSpan w:val="2"/>
            <w:noWrap w:val="0"/>
            <w:tcMar>
              <w:top w:w="16" w:type="dxa"/>
              <w:left w:w="16" w:type="dxa"/>
              <w:right w:w="16" w:type="dxa"/>
            </w:tcMar>
            <w:vAlign w:val="center"/>
          </w:tcPr>
          <w:p w14:paraId="3D62F8DB">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项目代码</w:t>
            </w:r>
          </w:p>
        </w:tc>
        <w:tc>
          <w:tcPr>
            <w:tcW w:w="7221" w:type="dxa"/>
            <w:gridSpan w:val="3"/>
            <w:noWrap w:val="0"/>
            <w:vAlign w:val="center"/>
          </w:tcPr>
          <w:p w14:paraId="5A871920">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2410-511724-07-02-332638</w:t>
            </w:r>
          </w:p>
        </w:tc>
      </w:tr>
      <w:tr w14:paraId="33E71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64" w:type="dxa"/>
            <w:gridSpan w:val="2"/>
            <w:noWrap w:val="0"/>
            <w:tcMar>
              <w:top w:w="16" w:type="dxa"/>
              <w:left w:w="16" w:type="dxa"/>
              <w:right w:w="16" w:type="dxa"/>
            </w:tcMar>
            <w:vAlign w:val="center"/>
          </w:tcPr>
          <w:p w14:paraId="21311D71">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建设单位联系人</w:t>
            </w:r>
          </w:p>
        </w:tc>
        <w:tc>
          <w:tcPr>
            <w:tcW w:w="1949" w:type="dxa"/>
            <w:noWrap w:val="0"/>
            <w:vAlign w:val="center"/>
          </w:tcPr>
          <w:p w14:paraId="3952283C">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刘*</w:t>
            </w:r>
            <w:bookmarkStart w:id="36" w:name="_GoBack"/>
            <w:bookmarkEnd w:id="36"/>
          </w:p>
        </w:tc>
        <w:tc>
          <w:tcPr>
            <w:tcW w:w="2070" w:type="dxa"/>
            <w:noWrap w:val="0"/>
            <w:vAlign w:val="center"/>
          </w:tcPr>
          <w:p w14:paraId="2294ACE6">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联系方式</w:t>
            </w:r>
          </w:p>
        </w:tc>
        <w:tc>
          <w:tcPr>
            <w:tcW w:w="3202" w:type="dxa"/>
            <w:noWrap w:val="0"/>
            <w:vAlign w:val="center"/>
          </w:tcPr>
          <w:p w14:paraId="22C205FC">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136</w:t>
            </w:r>
            <w:r>
              <w:rPr>
                <w:rFonts w:hint="eastAsia" w:cs="Times New Roman"/>
                <w:color w:val="auto"/>
                <w:sz w:val="24"/>
                <w:lang w:val="en-US" w:eastAsia="zh-CN"/>
              </w:rPr>
              <w:t>***</w:t>
            </w:r>
          </w:p>
        </w:tc>
      </w:tr>
      <w:tr w14:paraId="00F48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64" w:type="dxa"/>
            <w:gridSpan w:val="2"/>
            <w:noWrap w:val="0"/>
            <w:tcMar>
              <w:top w:w="16" w:type="dxa"/>
              <w:left w:w="16" w:type="dxa"/>
              <w:right w:w="16" w:type="dxa"/>
            </w:tcMar>
            <w:vAlign w:val="center"/>
          </w:tcPr>
          <w:p w14:paraId="4493BC53">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建设地点</w:t>
            </w:r>
          </w:p>
        </w:tc>
        <w:tc>
          <w:tcPr>
            <w:tcW w:w="7221" w:type="dxa"/>
            <w:gridSpan w:val="3"/>
            <w:noWrap w:val="0"/>
            <w:vAlign w:val="center"/>
          </w:tcPr>
          <w:p w14:paraId="02CC4EA4">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szCs w:val="24"/>
              </w:rPr>
              <w:t>四川大竹经济开发区</w:t>
            </w:r>
            <w:r>
              <w:rPr>
                <w:rFonts w:hint="default" w:ascii="Times New Roman" w:hAnsi="Times New Roman" w:cs="Times New Roman"/>
                <w:color w:val="auto"/>
                <w:sz w:val="24"/>
                <w:lang w:val="en-US" w:eastAsia="zh-CN"/>
              </w:rPr>
              <w:t>川渝合作（达州•大竹）示范园区A区三期标准化厂房三期1、2号楼</w:t>
            </w:r>
          </w:p>
        </w:tc>
      </w:tr>
      <w:tr w14:paraId="29247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7" w:hRule="atLeast"/>
          <w:jc w:val="center"/>
        </w:trPr>
        <w:tc>
          <w:tcPr>
            <w:tcW w:w="2064" w:type="dxa"/>
            <w:gridSpan w:val="2"/>
            <w:noWrap w:val="0"/>
            <w:tcMar>
              <w:top w:w="16" w:type="dxa"/>
              <w:left w:w="16" w:type="dxa"/>
              <w:right w:w="16" w:type="dxa"/>
            </w:tcMar>
            <w:vAlign w:val="center"/>
          </w:tcPr>
          <w:p w14:paraId="37B6A280">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地理坐标</w:t>
            </w:r>
          </w:p>
        </w:tc>
        <w:tc>
          <w:tcPr>
            <w:tcW w:w="7221" w:type="dxa"/>
            <w:gridSpan w:val="3"/>
            <w:noWrap w:val="0"/>
            <w:vAlign w:val="center"/>
          </w:tcPr>
          <w:p w14:paraId="4D2440DD">
            <w:pPr>
              <w:jc w:val="center"/>
              <w:rPr>
                <w:rFonts w:hint="default" w:ascii="Times New Roman" w:hAnsi="Times New Roman" w:cs="Times New Roman"/>
                <w:color w:val="auto"/>
                <w:sz w:val="24"/>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u w:val="single"/>
              </w:rPr>
              <w:t>10</w:t>
            </w:r>
            <w:r>
              <w:rPr>
                <w:rFonts w:hint="default" w:ascii="Times New Roman" w:hAnsi="Times New Roman" w:cs="Times New Roman"/>
                <w:color w:val="auto"/>
                <w:sz w:val="24"/>
                <w:highlight w:val="none"/>
                <w:u w:val="single"/>
                <w:lang w:val="en-US" w:eastAsia="zh-CN"/>
              </w:rPr>
              <w:t>7</w:t>
            </w:r>
            <w:r>
              <w:rPr>
                <w:rFonts w:hint="default" w:ascii="Times New Roman" w:hAnsi="Times New Roman" w:cs="Times New Roman"/>
                <w:color w:val="auto"/>
                <w:sz w:val="24"/>
                <w:highlight w:val="none"/>
              </w:rPr>
              <w:t>度</w:t>
            </w:r>
            <w:r>
              <w:rPr>
                <w:rFonts w:hint="default" w:ascii="Times New Roman" w:hAnsi="Times New Roman" w:cs="Times New Roman"/>
                <w:color w:val="auto"/>
                <w:sz w:val="24"/>
                <w:highlight w:val="none"/>
                <w:u w:val="single"/>
                <w:lang w:val="en-US" w:eastAsia="zh-CN"/>
              </w:rPr>
              <w:t>14</w:t>
            </w:r>
            <w:r>
              <w:rPr>
                <w:rFonts w:hint="default" w:ascii="Times New Roman" w:hAnsi="Times New Roman" w:cs="Times New Roman"/>
                <w:color w:val="auto"/>
                <w:sz w:val="24"/>
                <w:highlight w:val="none"/>
              </w:rPr>
              <w:t>分</w:t>
            </w:r>
            <w:r>
              <w:rPr>
                <w:rFonts w:hint="default" w:ascii="Times New Roman" w:hAnsi="Times New Roman" w:cs="Times New Roman"/>
                <w:color w:val="auto"/>
                <w:sz w:val="24"/>
                <w:highlight w:val="none"/>
                <w:u w:val="single"/>
                <w:lang w:val="en-US" w:eastAsia="zh-CN"/>
              </w:rPr>
              <w:t>38.861</w:t>
            </w:r>
            <w:r>
              <w:rPr>
                <w:rFonts w:hint="default" w:ascii="Times New Roman" w:hAnsi="Times New Roman" w:cs="Times New Roman"/>
                <w:color w:val="auto"/>
                <w:sz w:val="24"/>
                <w:highlight w:val="none"/>
              </w:rPr>
              <w:t>秒，</w:t>
            </w:r>
            <w:r>
              <w:rPr>
                <w:rFonts w:hint="default" w:ascii="Times New Roman" w:hAnsi="Times New Roman" w:cs="Times New Roman"/>
                <w:color w:val="auto"/>
                <w:sz w:val="24"/>
                <w:highlight w:val="none"/>
                <w:u w:val="single"/>
                <w:lang w:val="en-US" w:eastAsia="zh-CN"/>
              </w:rPr>
              <w:t>30</w:t>
            </w:r>
            <w:r>
              <w:rPr>
                <w:rFonts w:hint="default" w:ascii="Times New Roman" w:hAnsi="Times New Roman" w:cs="Times New Roman"/>
                <w:color w:val="auto"/>
                <w:sz w:val="24"/>
                <w:highlight w:val="none"/>
              </w:rPr>
              <w:t>度</w:t>
            </w:r>
            <w:r>
              <w:rPr>
                <w:rFonts w:hint="default" w:ascii="Times New Roman" w:hAnsi="Times New Roman" w:cs="Times New Roman"/>
                <w:color w:val="auto"/>
                <w:sz w:val="24"/>
                <w:highlight w:val="none"/>
                <w:u w:val="single"/>
                <w:lang w:val="en-US" w:eastAsia="zh-CN"/>
              </w:rPr>
              <w:t>43</w:t>
            </w:r>
            <w:r>
              <w:rPr>
                <w:rFonts w:hint="default" w:ascii="Times New Roman" w:hAnsi="Times New Roman" w:cs="Times New Roman"/>
                <w:color w:val="auto"/>
                <w:sz w:val="24"/>
                <w:highlight w:val="none"/>
              </w:rPr>
              <w:t>分</w:t>
            </w:r>
            <w:r>
              <w:rPr>
                <w:rFonts w:hint="default" w:ascii="Times New Roman" w:hAnsi="Times New Roman" w:cs="Times New Roman"/>
                <w:color w:val="auto"/>
                <w:sz w:val="24"/>
                <w:highlight w:val="none"/>
                <w:u w:val="single"/>
                <w:lang w:val="en-US" w:eastAsia="zh-CN"/>
              </w:rPr>
              <w:t>43.190</w:t>
            </w:r>
            <w:r>
              <w:rPr>
                <w:rFonts w:hint="default" w:ascii="Times New Roman" w:hAnsi="Times New Roman" w:cs="Times New Roman"/>
                <w:color w:val="auto"/>
                <w:sz w:val="24"/>
                <w:highlight w:val="none"/>
              </w:rPr>
              <w:t>秒）</w:t>
            </w:r>
          </w:p>
        </w:tc>
      </w:tr>
      <w:tr w14:paraId="0A836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064" w:type="dxa"/>
            <w:gridSpan w:val="2"/>
            <w:noWrap w:val="0"/>
            <w:tcMar>
              <w:top w:w="16" w:type="dxa"/>
              <w:left w:w="16" w:type="dxa"/>
              <w:right w:w="16" w:type="dxa"/>
            </w:tcMar>
            <w:vAlign w:val="center"/>
          </w:tcPr>
          <w:p w14:paraId="1D6DC385">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国民经济</w:t>
            </w:r>
          </w:p>
          <w:p w14:paraId="772039D2">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行业类别</w:t>
            </w:r>
          </w:p>
        </w:tc>
        <w:tc>
          <w:tcPr>
            <w:tcW w:w="1949" w:type="dxa"/>
            <w:noWrap w:val="0"/>
            <w:vAlign w:val="center"/>
          </w:tcPr>
          <w:p w14:paraId="6EF5A324">
            <w:pPr>
              <w:adjustRightInd w:val="0"/>
              <w:snapToGrid w:val="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C2319包装装潢及其他印刷</w:t>
            </w:r>
          </w:p>
          <w:p w14:paraId="53F1DE73">
            <w:pPr>
              <w:adjustRightInd w:val="0"/>
              <w:snapToGrid w:val="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C2929塑料零件及其他塑料制品制造</w:t>
            </w:r>
          </w:p>
        </w:tc>
        <w:tc>
          <w:tcPr>
            <w:tcW w:w="2070" w:type="dxa"/>
            <w:noWrap w:val="0"/>
            <w:vAlign w:val="center"/>
          </w:tcPr>
          <w:p w14:paraId="57D553B9">
            <w:pPr>
              <w:adjustRightInd w:val="0"/>
              <w:snapToGrid w:val="0"/>
              <w:jc w:val="center"/>
              <w:rPr>
                <w:rFonts w:hint="default" w:ascii="Times New Roman" w:hAnsi="Times New Roman" w:cs="Times New Roman"/>
                <w:color w:val="auto"/>
                <w:sz w:val="24"/>
              </w:rPr>
            </w:pPr>
            <w:bookmarkStart w:id="5" w:name="_Hlk49843745"/>
            <w:r>
              <w:rPr>
                <w:rFonts w:hint="default" w:ascii="Times New Roman" w:hAnsi="Times New Roman" w:cs="Times New Roman"/>
                <w:color w:val="auto"/>
                <w:sz w:val="24"/>
              </w:rPr>
              <w:t>建设项目</w:t>
            </w:r>
          </w:p>
          <w:p w14:paraId="115AFC14">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行业类别</w:t>
            </w:r>
            <w:bookmarkEnd w:id="5"/>
          </w:p>
        </w:tc>
        <w:tc>
          <w:tcPr>
            <w:tcW w:w="3202" w:type="dxa"/>
            <w:noWrap w:val="0"/>
            <w:vAlign w:val="center"/>
          </w:tcPr>
          <w:p w14:paraId="258B4B97">
            <w:pPr>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t>二十、印刷和记录媒介复制业39其他</w:t>
            </w:r>
          </w:p>
          <w:p w14:paraId="18C6C005">
            <w:pPr>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t>二十六、橡胶和塑料制品业53塑料制品业</w:t>
            </w:r>
          </w:p>
        </w:tc>
      </w:tr>
      <w:tr w14:paraId="4BE83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42" w:hRule="atLeast"/>
          <w:jc w:val="center"/>
        </w:trPr>
        <w:tc>
          <w:tcPr>
            <w:tcW w:w="2064" w:type="dxa"/>
            <w:gridSpan w:val="2"/>
            <w:noWrap w:val="0"/>
            <w:tcMar>
              <w:top w:w="16" w:type="dxa"/>
              <w:left w:w="16" w:type="dxa"/>
              <w:right w:w="16" w:type="dxa"/>
            </w:tcMar>
            <w:vAlign w:val="center"/>
          </w:tcPr>
          <w:p w14:paraId="71E32DB1">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建设性质</w:t>
            </w:r>
          </w:p>
        </w:tc>
        <w:tc>
          <w:tcPr>
            <w:tcW w:w="1949" w:type="dxa"/>
            <w:noWrap w:val="0"/>
            <w:vAlign w:val="center"/>
          </w:tcPr>
          <w:p w14:paraId="268EE823">
            <w:pPr>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52"/>
            </w:r>
            <w:r>
              <w:rPr>
                <w:rFonts w:hint="default" w:ascii="Times New Roman" w:hAnsi="Times New Roman" w:cs="Times New Roman"/>
                <w:color w:val="auto"/>
                <w:sz w:val="24"/>
              </w:rPr>
              <w:t>新建（迁建）</w:t>
            </w:r>
          </w:p>
          <w:p w14:paraId="7A7BE193">
            <w:pPr>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改建</w:t>
            </w:r>
          </w:p>
          <w:p w14:paraId="5D61C0E3">
            <w:pPr>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扩建</w:t>
            </w:r>
          </w:p>
          <w:p w14:paraId="587C3E24">
            <w:pPr>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技术改造</w:t>
            </w:r>
          </w:p>
        </w:tc>
        <w:tc>
          <w:tcPr>
            <w:tcW w:w="2070" w:type="dxa"/>
            <w:noWrap w:val="0"/>
            <w:vAlign w:val="center"/>
          </w:tcPr>
          <w:p w14:paraId="4C2EE74D">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建设项目</w:t>
            </w:r>
          </w:p>
          <w:p w14:paraId="13D30982">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申报情形</w:t>
            </w:r>
          </w:p>
        </w:tc>
        <w:tc>
          <w:tcPr>
            <w:tcW w:w="3202" w:type="dxa"/>
            <w:noWrap w:val="0"/>
            <w:vAlign w:val="center"/>
          </w:tcPr>
          <w:p w14:paraId="27DA6AD6">
            <w:pPr>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sym w:font="Wingdings 2" w:char="0052"/>
            </w:r>
            <w:r>
              <w:rPr>
                <w:rFonts w:hint="default" w:ascii="Times New Roman" w:hAnsi="Times New Roman" w:cs="Times New Roman"/>
                <w:color w:val="auto"/>
                <w:sz w:val="24"/>
                <w:highlight w:val="none"/>
              </w:rPr>
              <w:t>首</w:t>
            </w:r>
            <w:bookmarkStart w:id="6" w:name="OfficeAI_Del_50_40"/>
            <w:r>
              <w:rPr>
                <w:rFonts w:hint="default" w:ascii="Times New Roman" w:hAnsi="Times New Roman" w:cs="Times New Roman"/>
                <w:strike w:val="0"/>
                <w:dstrike w:val="0"/>
                <w:color w:val="auto"/>
                <w:sz w:val="24"/>
                <w:highlight w:val="none"/>
              </w:rPr>
              <w:t>次</w:t>
            </w:r>
            <w:bookmarkEnd w:id="6"/>
            <w:r>
              <w:rPr>
                <w:rFonts w:hint="default" w:ascii="Times New Roman" w:hAnsi="Times New Roman" w:cs="Times New Roman"/>
                <w:color w:val="auto"/>
                <w:sz w:val="24"/>
                <w:highlight w:val="none"/>
              </w:rPr>
              <w:t>申报项目</w:t>
            </w:r>
          </w:p>
          <w:p w14:paraId="2A396773">
            <w:pPr>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sym w:font="Wingdings 2" w:char="00A3"/>
            </w:r>
            <w:r>
              <w:rPr>
                <w:rFonts w:hint="default" w:ascii="Times New Roman" w:hAnsi="Times New Roman" w:cs="Times New Roman"/>
                <w:color w:val="auto"/>
                <w:sz w:val="24"/>
                <w:highlight w:val="none"/>
              </w:rPr>
              <w:t>不予</w:t>
            </w:r>
            <w:r>
              <w:rPr>
                <w:rFonts w:hint="eastAsia" w:ascii="Times New Roman" w:hAnsi="Times New Roman" w:cs="Times New Roman"/>
                <w:strike w:val="0"/>
                <w:dstrike w:val="0"/>
                <w:color w:val="auto"/>
                <w:sz w:val="24"/>
                <w:highlight w:val="none"/>
                <w:lang w:val="en-US" w:eastAsia="zh-CN"/>
              </w:rPr>
              <w:t>批准</w:t>
            </w:r>
            <w:r>
              <w:rPr>
                <w:rFonts w:hint="default" w:ascii="Times New Roman" w:hAnsi="Times New Roman" w:cs="Times New Roman"/>
                <w:color w:val="auto"/>
                <w:sz w:val="24"/>
                <w:highlight w:val="none"/>
              </w:rPr>
              <w:t>后再次申报项目</w:t>
            </w:r>
          </w:p>
          <w:p w14:paraId="0DBE46AC">
            <w:pPr>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sym w:font="Wingdings 2" w:char="00A3"/>
            </w:r>
            <w:r>
              <w:rPr>
                <w:rFonts w:hint="default" w:ascii="Times New Roman" w:hAnsi="Times New Roman" w:cs="Times New Roman"/>
                <w:color w:val="auto"/>
                <w:sz w:val="24"/>
                <w:highlight w:val="none"/>
              </w:rPr>
              <w:t>超五年重新审核项目</w:t>
            </w:r>
          </w:p>
          <w:p w14:paraId="54C87349">
            <w:pPr>
              <w:jc w:val="left"/>
              <w:rPr>
                <w:rFonts w:hint="default" w:ascii="Times New Roman" w:hAnsi="Times New Roman" w:cs="Times New Roman"/>
                <w:color w:val="auto"/>
                <w:sz w:val="24"/>
              </w:rPr>
            </w:pPr>
            <w:r>
              <w:rPr>
                <w:rFonts w:hint="default" w:ascii="Times New Roman" w:hAnsi="Times New Roman" w:cs="Times New Roman"/>
                <w:color w:val="auto"/>
                <w:sz w:val="24"/>
                <w:highlight w:val="none"/>
              </w:rPr>
              <w:sym w:font="Wingdings 2" w:char="00A3"/>
            </w:r>
            <w:r>
              <w:rPr>
                <w:rFonts w:hint="default" w:ascii="Times New Roman" w:hAnsi="Times New Roman" w:cs="Times New Roman"/>
                <w:color w:val="auto"/>
                <w:sz w:val="24"/>
                <w:highlight w:val="none"/>
              </w:rPr>
              <w:t>重大变动重新报批项目</w:t>
            </w:r>
          </w:p>
        </w:tc>
      </w:tr>
      <w:tr w14:paraId="73E90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064" w:type="dxa"/>
            <w:gridSpan w:val="2"/>
            <w:noWrap w:val="0"/>
            <w:tcMar>
              <w:top w:w="16" w:type="dxa"/>
              <w:left w:w="16" w:type="dxa"/>
              <w:right w:w="16" w:type="dxa"/>
            </w:tcMar>
            <w:vAlign w:val="center"/>
          </w:tcPr>
          <w:p w14:paraId="4EDAD0CE">
            <w:pPr>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t>项目审批（核准/备案）部门（选填）</w:t>
            </w:r>
          </w:p>
        </w:tc>
        <w:tc>
          <w:tcPr>
            <w:tcW w:w="1949" w:type="dxa"/>
            <w:noWrap w:val="0"/>
            <w:vAlign w:val="center"/>
          </w:tcPr>
          <w:p w14:paraId="697CE889">
            <w:pPr>
              <w:adjustRightInd w:val="0"/>
              <w:snapToGrid w:val="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大竹县经济和信息化局</w:t>
            </w:r>
          </w:p>
        </w:tc>
        <w:tc>
          <w:tcPr>
            <w:tcW w:w="2070" w:type="dxa"/>
            <w:noWrap w:val="0"/>
            <w:vAlign w:val="center"/>
          </w:tcPr>
          <w:p w14:paraId="1491A26B">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项目审批（核准/</w:t>
            </w:r>
          </w:p>
          <w:p w14:paraId="3D2B7C69">
            <w:pPr>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t>备案）文号（选填）</w:t>
            </w:r>
          </w:p>
        </w:tc>
        <w:tc>
          <w:tcPr>
            <w:tcW w:w="3202" w:type="dxa"/>
            <w:noWrap w:val="0"/>
            <w:vAlign w:val="center"/>
          </w:tcPr>
          <w:p w14:paraId="2E98872B">
            <w:pPr>
              <w:adjustRightInd w:val="0"/>
              <w:snapToGrid w:val="0"/>
              <w:jc w:val="center"/>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川投资备</w:t>
            </w:r>
          </w:p>
          <w:p w14:paraId="246429B5">
            <w:pPr>
              <w:adjustRightInd w:val="0"/>
              <w:snapToGrid w:val="0"/>
              <w:jc w:val="center"/>
              <w:rPr>
                <w:rFonts w:hint="default" w:ascii="Times New Roman" w:hAnsi="Times New Roman" w:cs="Times New Roman"/>
                <w:color w:val="auto"/>
                <w:sz w:val="24"/>
                <w:lang w:eastAsia="zh-CN"/>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2410-511724-07-02-332638</w:t>
            </w:r>
            <w:r>
              <w:rPr>
                <w:rFonts w:hint="default" w:ascii="Times New Roman" w:hAnsi="Times New Roman" w:cs="Times New Roman"/>
                <w:color w:val="auto"/>
                <w:sz w:val="24"/>
                <w:lang w:eastAsia="zh-CN"/>
              </w:rPr>
              <w:t>】</w:t>
            </w:r>
          </w:p>
          <w:p w14:paraId="39CD1923">
            <w:pPr>
              <w:adjustRightInd w:val="0"/>
              <w:snapToGrid w:val="0"/>
              <w:jc w:val="center"/>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JXQB-0652号</w:t>
            </w:r>
          </w:p>
        </w:tc>
      </w:tr>
      <w:tr w14:paraId="615A5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64" w:type="dxa"/>
            <w:gridSpan w:val="2"/>
            <w:noWrap w:val="0"/>
            <w:tcMar>
              <w:top w:w="16" w:type="dxa"/>
              <w:left w:w="16" w:type="dxa"/>
              <w:right w:w="16" w:type="dxa"/>
            </w:tcMar>
            <w:vAlign w:val="center"/>
          </w:tcPr>
          <w:p w14:paraId="7036004A">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总投资（万元）</w:t>
            </w:r>
          </w:p>
        </w:tc>
        <w:tc>
          <w:tcPr>
            <w:tcW w:w="1949" w:type="dxa"/>
            <w:noWrap w:val="0"/>
            <w:vAlign w:val="center"/>
          </w:tcPr>
          <w:p w14:paraId="0E03CCAF">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8000</w:t>
            </w:r>
          </w:p>
        </w:tc>
        <w:tc>
          <w:tcPr>
            <w:tcW w:w="2070" w:type="dxa"/>
            <w:noWrap w:val="0"/>
            <w:tcMar>
              <w:top w:w="16" w:type="dxa"/>
              <w:left w:w="16" w:type="dxa"/>
              <w:right w:w="16" w:type="dxa"/>
            </w:tcMar>
            <w:vAlign w:val="center"/>
          </w:tcPr>
          <w:p w14:paraId="69DCEB21">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环保投资（万元）</w:t>
            </w:r>
          </w:p>
        </w:tc>
        <w:tc>
          <w:tcPr>
            <w:tcW w:w="3202" w:type="dxa"/>
            <w:noWrap w:val="0"/>
            <w:vAlign w:val="center"/>
          </w:tcPr>
          <w:p w14:paraId="3A1DA4A0">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0000FF"/>
                <w:sz w:val="24"/>
                <w:highlight w:val="none"/>
                <w:lang w:val="en-US" w:eastAsia="zh-CN"/>
              </w:rPr>
              <w:t>38</w:t>
            </w:r>
          </w:p>
        </w:tc>
      </w:tr>
      <w:tr w14:paraId="310B0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64" w:type="dxa"/>
            <w:gridSpan w:val="2"/>
            <w:noWrap w:val="0"/>
            <w:tcMar>
              <w:top w:w="16" w:type="dxa"/>
              <w:left w:w="16" w:type="dxa"/>
              <w:right w:w="16" w:type="dxa"/>
            </w:tcMar>
            <w:vAlign w:val="center"/>
          </w:tcPr>
          <w:p w14:paraId="6F4A58D8">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环保投资占比（%）</w:t>
            </w:r>
          </w:p>
        </w:tc>
        <w:tc>
          <w:tcPr>
            <w:tcW w:w="1949" w:type="dxa"/>
            <w:noWrap w:val="0"/>
            <w:vAlign w:val="center"/>
          </w:tcPr>
          <w:p w14:paraId="60DD8636">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0000FF"/>
                <w:sz w:val="24"/>
                <w:highlight w:val="none"/>
                <w:lang w:val="en-US" w:eastAsia="zh-CN"/>
              </w:rPr>
              <w:t>0.475</w:t>
            </w:r>
          </w:p>
        </w:tc>
        <w:tc>
          <w:tcPr>
            <w:tcW w:w="2070" w:type="dxa"/>
            <w:noWrap w:val="0"/>
            <w:tcMar>
              <w:top w:w="16" w:type="dxa"/>
              <w:left w:w="16" w:type="dxa"/>
              <w:right w:w="16" w:type="dxa"/>
            </w:tcMar>
            <w:vAlign w:val="center"/>
          </w:tcPr>
          <w:p w14:paraId="0CC0F001">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施工工期</w:t>
            </w:r>
          </w:p>
        </w:tc>
        <w:tc>
          <w:tcPr>
            <w:tcW w:w="3202" w:type="dxa"/>
            <w:noWrap w:val="0"/>
            <w:vAlign w:val="center"/>
          </w:tcPr>
          <w:p w14:paraId="33D12F49">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rPr>
              <w:t>个月</w:t>
            </w:r>
          </w:p>
        </w:tc>
      </w:tr>
      <w:tr w14:paraId="0D747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64" w:type="dxa"/>
            <w:gridSpan w:val="2"/>
            <w:noWrap w:val="0"/>
            <w:tcMar>
              <w:top w:w="16" w:type="dxa"/>
              <w:left w:w="16" w:type="dxa"/>
              <w:right w:w="16" w:type="dxa"/>
            </w:tcMar>
            <w:vAlign w:val="center"/>
          </w:tcPr>
          <w:p w14:paraId="47521873">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是否开工建设</w:t>
            </w:r>
          </w:p>
        </w:tc>
        <w:tc>
          <w:tcPr>
            <w:tcW w:w="1949" w:type="dxa"/>
            <w:noWrap w:val="0"/>
            <w:vAlign w:val="center"/>
          </w:tcPr>
          <w:p w14:paraId="542B3445">
            <w:pPr>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52"/>
            </w:r>
            <w:r>
              <w:rPr>
                <w:rFonts w:hint="default" w:ascii="Times New Roman" w:hAnsi="Times New Roman" w:cs="Times New Roman"/>
                <w:color w:val="auto"/>
                <w:sz w:val="24"/>
              </w:rPr>
              <w:t>否</w:t>
            </w:r>
          </w:p>
          <w:p w14:paraId="27B5AC5E">
            <w:pPr>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是：</w:t>
            </w:r>
          </w:p>
        </w:tc>
        <w:tc>
          <w:tcPr>
            <w:tcW w:w="2070" w:type="dxa"/>
            <w:noWrap w:val="0"/>
            <w:tcMar>
              <w:top w:w="16" w:type="dxa"/>
              <w:left w:w="16" w:type="dxa"/>
              <w:right w:w="16" w:type="dxa"/>
            </w:tcMar>
            <w:vAlign w:val="center"/>
          </w:tcPr>
          <w:p w14:paraId="5D1B2248">
            <w:pPr>
              <w:adjustRightInd w:val="0"/>
              <w:snapToGrid w:val="0"/>
              <w:jc w:val="center"/>
              <w:rPr>
                <w:rFonts w:hint="default" w:ascii="Times New Roman" w:hAnsi="Times New Roman" w:cs="Times New Roman"/>
                <w:color w:val="auto"/>
                <w:spacing w:val="-6"/>
                <w:sz w:val="24"/>
              </w:rPr>
            </w:pPr>
            <w:r>
              <w:rPr>
                <w:rFonts w:hint="default" w:ascii="Times New Roman" w:hAnsi="Times New Roman" w:cs="Times New Roman"/>
                <w:color w:val="auto"/>
                <w:spacing w:val="-6"/>
                <w:sz w:val="24"/>
              </w:rPr>
              <w:t>用地（用海）</w:t>
            </w:r>
          </w:p>
          <w:p w14:paraId="7F0C0901">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pacing w:val="-6"/>
                <w:sz w:val="24"/>
              </w:rPr>
              <w:t>面积（m</w:t>
            </w:r>
            <w:r>
              <w:rPr>
                <w:rFonts w:hint="default" w:ascii="Times New Roman" w:hAnsi="Times New Roman" w:cs="Times New Roman"/>
                <w:color w:val="auto"/>
                <w:spacing w:val="-6"/>
                <w:sz w:val="24"/>
                <w:vertAlign w:val="superscript"/>
              </w:rPr>
              <w:t>2</w:t>
            </w:r>
            <w:r>
              <w:rPr>
                <w:rFonts w:hint="default" w:ascii="Times New Roman" w:hAnsi="Times New Roman" w:cs="Times New Roman"/>
                <w:color w:val="auto"/>
                <w:spacing w:val="-6"/>
                <w:sz w:val="24"/>
              </w:rPr>
              <w:t>）</w:t>
            </w:r>
          </w:p>
        </w:tc>
        <w:tc>
          <w:tcPr>
            <w:tcW w:w="3202" w:type="dxa"/>
            <w:noWrap w:val="0"/>
            <w:vAlign w:val="center"/>
          </w:tcPr>
          <w:p w14:paraId="3C63D47E">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highlight w:val="none"/>
                <w:lang w:val="en-US" w:eastAsia="zh-CN"/>
              </w:rPr>
              <w:t>30632.76</w:t>
            </w:r>
            <w:r>
              <w:rPr>
                <w:rFonts w:hint="default" w:ascii="Times New Roman" w:hAnsi="Times New Roman" w:cs="Times New Roman"/>
                <w:color w:val="auto"/>
                <w:spacing w:val="-6"/>
                <w:sz w:val="24"/>
              </w:rPr>
              <w:t>m</w:t>
            </w:r>
            <w:r>
              <w:rPr>
                <w:rFonts w:hint="default" w:ascii="Times New Roman" w:hAnsi="Times New Roman" w:cs="Times New Roman"/>
                <w:color w:val="auto"/>
                <w:spacing w:val="-6"/>
                <w:sz w:val="24"/>
                <w:vertAlign w:val="superscript"/>
              </w:rPr>
              <w:t>2</w:t>
            </w:r>
          </w:p>
        </w:tc>
      </w:tr>
      <w:tr w14:paraId="1BB2A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2064" w:type="dxa"/>
            <w:gridSpan w:val="2"/>
            <w:noWrap w:val="0"/>
            <w:vAlign w:val="center"/>
          </w:tcPr>
          <w:p w14:paraId="38A48AA6">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专项评价设置情况</w:t>
            </w:r>
          </w:p>
        </w:tc>
        <w:tc>
          <w:tcPr>
            <w:tcW w:w="7221" w:type="dxa"/>
            <w:gridSpan w:val="3"/>
            <w:noWrap w:val="0"/>
            <w:vAlign w:val="center"/>
          </w:tcPr>
          <w:p w14:paraId="1F845496">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rPr>
              <w:t>对照《建</w:t>
            </w:r>
            <w:bookmarkStart w:id="7" w:name="OfficeAI_Del_82_46"/>
            <w:r>
              <w:rPr>
                <w:rFonts w:hint="default" w:ascii="Times New Roman" w:hAnsi="Times New Roman" w:cs="Times New Roman"/>
                <w:strike w:val="0"/>
                <w:dstrike w:val="0"/>
                <w:color w:val="auto"/>
                <w:sz w:val="24"/>
              </w:rPr>
              <w:t>设</w:t>
            </w:r>
            <w:bookmarkEnd w:id="7"/>
            <w:r>
              <w:rPr>
                <w:rFonts w:hint="default" w:ascii="Times New Roman" w:hAnsi="Times New Roman" w:cs="Times New Roman"/>
                <w:color w:val="auto"/>
                <w:sz w:val="24"/>
              </w:rPr>
              <w:t>项目环境影响报告表编制技术指南（污染影响类）（试行）》中“表1专项评价设置原则表”，本项目是否开展专项评价情况见下表。</w:t>
            </w:r>
          </w:p>
          <w:p w14:paraId="445AAC3C">
            <w:pPr>
              <w:spacing w:line="460" w:lineRule="exact"/>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表1.1-1 专项设置情况一览表</w:t>
            </w:r>
          </w:p>
          <w:tbl>
            <w:tblPr>
              <w:tblStyle w:val="3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7"/>
              <w:gridCol w:w="3059"/>
              <w:gridCol w:w="2905"/>
            </w:tblGrid>
            <w:tr w14:paraId="28629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4" w:type="pct"/>
                  <w:noWrap w:val="0"/>
                  <w:vAlign w:val="center"/>
                </w:tcPr>
                <w:p w14:paraId="62069EA5">
                  <w:pPr>
                    <w:autoSpaceDE w:val="0"/>
                    <w:autoSpaceDN w:val="0"/>
                    <w:adjustRightInd w:val="0"/>
                    <w:snapToGrid w:val="0"/>
                    <w:spacing w:line="240" w:lineRule="auto"/>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专项评价的类别</w:t>
                  </w:r>
                </w:p>
              </w:tc>
              <w:tc>
                <w:tcPr>
                  <w:tcW w:w="2187" w:type="pct"/>
                  <w:noWrap w:val="0"/>
                  <w:vAlign w:val="center"/>
                </w:tcPr>
                <w:p w14:paraId="79D10FA2">
                  <w:pPr>
                    <w:autoSpaceDE w:val="0"/>
                    <w:autoSpaceDN w:val="0"/>
                    <w:adjustRightInd w:val="0"/>
                    <w:snapToGrid w:val="0"/>
                    <w:spacing w:line="240" w:lineRule="auto"/>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涉及项目类别</w:t>
                  </w:r>
                </w:p>
              </w:tc>
              <w:tc>
                <w:tcPr>
                  <w:tcW w:w="2077" w:type="pct"/>
                  <w:noWrap w:val="0"/>
                  <w:vAlign w:val="center"/>
                </w:tcPr>
                <w:p w14:paraId="1543E148">
                  <w:pPr>
                    <w:autoSpaceDE w:val="0"/>
                    <w:autoSpaceDN w:val="0"/>
                    <w:adjustRightInd w:val="0"/>
                    <w:snapToGrid w:val="0"/>
                    <w:spacing w:line="240" w:lineRule="auto"/>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项目情况</w:t>
                  </w:r>
                </w:p>
              </w:tc>
            </w:tr>
            <w:tr w14:paraId="530E0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734" w:type="pct"/>
                  <w:noWrap w:val="0"/>
                  <w:vAlign w:val="center"/>
                </w:tcPr>
                <w:p w14:paraId="61C37E41">
                  <w:pPr>
                    <w:autoSpaceDE w:val="0"/>
                    <w:autoSpaceDN w:val="0"/>
                    <w:adjustRightInd w:val="0"/>
                    <w:snapToGrid w:val="0"/>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大气</w:t>
                  </w:r>
                </w:p>
              </w:tc>
              <w:tc>
                <w:tcPr>
                  <w:tcW w:w="2187" w:type="pct"/>
                  <w:noWrap w:val="0"/>
                  <w:vAlign w:val="center"/>
                </w:tcPr>
                <w:p w14:paraId="48B3983A">
                  <w:pPr>
                    <w:autoSpaceDE w:val="0"/>
                    <w:autoSpaceDN w:val="0"/>
                    <w:adjustRightInd w:val="0"/>
                    <w:snapToGrid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排放废气含有毒有害污染物</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、二噁英、苯并[a]芘、氰化物、氯气且厂界外500米范围内有环境空气保护目标</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的建设项目</w:t>
                  </w:r>
                </w:p>
              </w:tc>
              <w:tc>
                <w:tcPr>
                  <w:tcW w:w="2077" w:type="pct"/>
                  <w:noWrap w:val="0"/>
                  <w:vAlign w:val="center"/>
                </w:tcPr>
                <w:p w14:paraId="54A72A2A">
                  <w:pPr>
                    <w:keepNext w:val="0"/>
                    <w:keepLines w:val="0"/>
                    <w:pageBreakBefore w:val="0"/>
                    <w:widowControl w:val="0"/>
                    <w:kinsoku/>
                    <w:wordWrap/>
                    <w:overflowPunct/>
                    <w:topLinePunct w:val="0"/>
                    <w:bidi w:val="0"/>
                    <w:spacing w:line="240" w:lineRule="auto"/>
                    <w:textAlignment w:val="auto"/>
                    <w:rPr>
                      <w:rFonts w:hint="eastAsia" w:ascii="Times New Roman" w:hAnsi="Times New Roman" w:cs="Times New Roman"/>
                      <w:color w:val="auto"/>
                      <w:sz w:val="21"/>
                      <w:szCs w:val="21"/>
                      <w:lang w:eastAsia="zh-CN"/>
                    </w:rPr>
                  </w:pPr>
                  <w:r>
                    <w:rPr>
                      <w:rFonts w:hint="default" w:ascii="Times New Roman" w:hAnsi="Times New Roman" w:cs="Times New Roman"/>
                      <w:color w:val="auto"/>
                      <w:sz w:val="21"/>
                      <w:szCs w:val="21"/>
                    </w:rPr>
                    <w:t>本项目排放废气中含有有毒有害污染物</w:t>
                  </w:r>
                  <w:r>
                    <w:rPr>
                      <w:rFonts w:hint="default" w:ascii="Times New Roman" w:hAnsi="Times New Roman" w:cs="Times New Roman"/>
                      <w:color w:val="auto"/>
                      <w:sz w:val="21"/>
                      <w:szCs w:val="21"/>
                      <w:vertAlign w:val="superscript"/>
                    </w:rPr>
                    <w:t>1</w:t>
                  </w:r>
                  <w:r>
                    <w:rPr>
                      <w:rFonts w:hint="default" w:ascii="Times New Roman" w:hAnsi="Times New Roman" w:cs="Times New Roman"/>
                      <w:color w:val="auto"/>
                      <w:sz w:val="21"/>
                      <w:szCs w:val="21"/>
                    </w:rPr>
                    <w:t>（二氯甲烷、乙醛）</w:t>
                  </w:r>
                  <w:r>
                    <w:rPr>
                      <w:rFonts w:hint="eastAsia" w:ascii="Times New Roman" w:hAnsi="Times New Roman" w:cs="Times New Roman"/>
                      <w:color w:val="auto"/>
                      <w:sz w:val="21"/>
                      <w:szCs w:val="21"/>
                      <w:lang w:eastAsia="zh-CN"/>
                    </w:rPr>
                    <w:t>。</w:t>
                  </w:r>
                </w:p>
                <w:p w14:paraId="41E93A7B">
                  <w:pPr>
                    <w:keepNext w:val="0"/>
                    <w:keepLines w:val="0"/>
                    <w:pageBreakBefore w:val="0"/>
                    <w:widowControl w:val="0"/>
                    <w:kinsoku/>
                    <w:wordWrap/>
                    <w:overflowPunct/>
                    <w:topLinePunct w:val="0"/>
                    <w:bidi w:val="0"/>
                    <w:spacing w:line="240" w:lineRule="auto"/>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本项目500m范围内分布</w:t>
                  </w:r>
                  <w:r>
                    <w:rPr>
                      <w:rFonts w:hint="eastAsia" w:ascii="Times New Roman" w:hAnsi="Times New Roman" w:cs="Times New Roman"/>
                      <w:color w:val="auto"/>
                      <w:sz w:val="21"/>
                      <w:szCs w:val="21"/>
                      <w:lang w:val="en-US" w:eastAsia="zh-CN"/>
                    </w:rPr>
                    <w:t>有5户居民点、</w:t>
                  </w:r>
                  <w:r>
                    <w:rPr>
                      <w:rFonts w:hint="default" w:ascii="Times New Roman" w:hAnsi="Times New Roman" w:cs="Times New Roman"/>
                      <w:color w:val="auto"/>
                      <w:sz w:val="21"/>
                      <w:szCs w:val="21"/>
                    </w:rPr>
                    <w:t>金龙社区党群服务中心</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大竹县康仁医院</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根据</w:t>
                  </w:r>
                  <w:r>
                    <w:rPr>
                      <w:rFonts w:hint="default" w:ascii="Times New Roman" w:hAnsi="Times New Roman" w:cs="Times New Roman"/>
                      <w:color w:val="auto"/>
                      <w:kern w:val="0"/>
                      <w:sz w:val="21"/>
                      <w:szCs w:val="21"/>
                      <w:highlight w:val="none"/>
                    </w:rPr>
                    <w:t>《四川大竹经济开发区总体规划（2021-2035）》</w:t>
                  </w:r>
                  <w:r>
                    <w:rPr>
                      <w:rFonts w:hint="eastAsia" w:ascii="Times New Roman" w:hAnsi="Times New Roman" w:cs="Times New Roman"/>
                      <w:color w:val="auto"/>
                      <w:kern w:val="0"/>
                      <w:sz w:val="21"/>
                      <w:szCs w:val="21"/>
                      <w:highlight w:val="none"/>
                      <w:lang w:val="en-US" w:eastAsia="zh-CN"/>
                    </w:rPr>
                    <w:t>及</w:t>
                  </w:r>
                  <w:r>
                    <w:rPr>
                      <w:rFonts w:hint="default" w:ascii="Times New Roman" w:hAnsi="Times New Roman" w:cs="Times New Roman"/>
                      <w:color w:val="auto"/>
                      <w:kern w:val="0"/>
                      <w:sz w:val="21"/>
                      <w:szCs w:val="21"/>
                      <w:highlight w:val="none"/>
                    </w:rPr>
                    <w:t>《四川大竹经济开发区总体规划（2021-2035）环境影响报告书》</w:t>
                  </w:r>
                  <w:r>
                    <w:rPr>
                      <w:rFonts w:hint="eastAsia" w:ascii="Times New Roman" w:hAnsi="Times New Roman" w:cs="Times New Roman"/>
                      <w:color w:val="auto"/>
                      <w:kern w:val="0"/>
                      <w:sz w:val="21"/>
                      <w:szCs w:val="21"/>
                      <w:highlight w:val="none"/>
                      <w:lang w:val="en-US" w:eastAsia="zh-CN"/>
                    </w:rPr>
                    <w:t>可知，</w:t>
                  </w:r>
                  <w:r>
                    <w:rPr>
                      <w:rFonts w:hint="eastAsia" w:ascii="Times New Roman" w:hAnsi="Times New Roman" w:cs="Times New Roman"/>
                      <w:color w:val="auto"/>
                      <w:sz w:val="21"/>
                      <w:szCs w:val="21"/>
                      <w:lang w:val="en-US" w:eastAsia="zh-CN"/>
                    </w:rPr>
                    <w:t>本项目500m</w:t>
                  </w:r>
                  <w:r>
                    <w:rPr>
                      <w:rFonts w:hint="default" w:ascii="Times New Roman" w:hAnsi="Times New Roman" w:cs="Times New Roman"/>
                      <w:color w:val="auto"/>
                      <w:sz w:val="21"/>
                      <w:szCs w:val="21"/>
                    </w:rPr>
                    <w:t>范围内金龙社区党群服务中心</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大竹县康仁医院均</w:t>
                  </w:r>
                  <w:r>
                    <w:rPr>
                      <w:rFonts w:hint="default" w:ascii="Times New Roman" w:hAnsi="Times New Roman" w:eastAsia="宋体" w:cs="Times New Roman"/>
                      <w:b w:val="0"/>
                      <w:bCs w:val="0"/>
                      <w:color w:val="auto"/>
                      <w:sz w:val="21"/>
                      <w:szCs w:val="21"/>
                      <w:lang w:val="en-US" w:eastAsia="zh-CN"/>
                    </w:rPr>
                    <w:t>位于</w:t>
                  </w:r>
                  <w:r>
                    <w:rPr>
                      <w:rFonts w:hint="default" w:ascii="Times New Roman" w:hAnsi="Times New Roman" w:cs="Times New Roman"/>
                      <w:color w:val="auto"/>
                      <w:kern w:val="0"/>
                      <w:sz w:val="21"/>
                      <w:szCs w:val="21"/>
                      <w:highlight w:val="none"/>
                    </w:rPr>
                    <w:t>四川大竹经济开发区</w:t>
                  </w:r>
                  <w:r>
                    <w:rPr>
                      <w:rFonts w:hint="default" w:ascii="Times New Roman" w:hAnsi="Times New Roman" w:cs="Times New Roman"/>
                      <w:b w:val="0"/>
                      <w:bCs w:val="0"/>
                      <w:color w:val="auto"/>
                      <w:kern w:val="0"/>
                      <w:sz w:val="21"/>
                      <w:szCs w:val="21"/>
                      <w:lang w:val="en-US" w:eastAsia="zh-CN"/>
                    </w:rPr>
                    <w:t>范围内，规划用地类型为</w:t>
                  </w:r>
                  <w:r>
                    <w:rPr>
                      <w:rFonts w:hint="default" w:ascii="Times New Roman" w:hAnsi="Times New Roman" w:eastAsia="宋体" w:cs="Times New Roman"/>
                      <w:b w:val="0"/>
                      <w:bCs w:val="0"/>
                      <w:color w:val="auto"/>
                      <w:sz w:val="21"/>
                      <w:szCs w:val="21"/>
                      <w:lang w:val="en-US" w:eastAsia="zh-CN"/>
                    </w:rPr>
                    <w:t>工业用地</w:t>
                  </w:r>
                  <w:r>
                    <w:rPr>
                      <w:rFonts w:hint="eastAsia" w:ascii="Times New Roman" w:hAnsi="Times New Roman" w:eastAsia="宋体" w:cs="Times New Roman"/>
                      <w:b w:val="0"/>
                      <w:bCs w:val="0"/>
                      <w:color w:val="auto"/>
                      <w:sz w:val="21"/>
                      <w:szCs w:val="21"/>
                      <w:lang w:val="en-US" w:eastAsia="zh-CN"/>
                    </w:rPr>
                    <w:t>。</w:t>
                  </w:r>
                </w:p>
                <w:p w14:paraId="58E9A2B7">
                  <w:pPr>
                    <w:keepNext w:val="0"/>
                    <w:keepLines w:val="0"/>
                    <w:pageBreakBefore w:val="0"/>
                    <w:widowControl w:val="0"/>
                    <w:kinsoku/>
                    <w:wordWrap/>
                    <w:overflowPunct/>
                    <w:topLinePunct w:val="0"/>
                    <w:bidi w:val="0"/>
                    <w:spacing w:line="24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根据</w:t>
                  </w:r>
                  <w:r>
                    <w:rPr>
                      <w:rFonts w:hint="default" w:ascii="Times New Roman" w:hAnsi="Times New Roman" w:cs="Times New Roman"/>
                      <w:color w:val="auto"/>
                      <w:sz w:val="21"/>
                      <w:szCs w:val="21"/>
                    </w:rPr>
                    <w:t>《建</w:t>
                  </w:r>
                  <w:r>
                    <w:rPr>
                      <w:rFonts w:hint="default" w:ascii="Times New Roman" w:hAnsi="Times New Roman" w:cs="Times New Roman"/>
                      <w:strike w:val="0"/>
                      <w:dstrike w:val="0"/>
                      <w:color w:val="auto"/>
                      <w:sz w:val="21"/>
                      <w:szCs w:val="21"/>
                    </w:rPr>
                    <w:t>设</w:t>
                  </w:r>
                  <w:r>
                    <w:rPr>
                      <w:rFonts w:hint="default" w:ascii="Times New Roman" w:hAnsi="Times New Roman" w:cs="Times New Roman"/>
                      <w:color w:val="auto"/>
                      <w:sz w:val="21"/>
                      <w:szCs w:val="21"/>
                    </w:rPr>
                    <w:t>项目环境影响报告表编制技术指南（污染影响类）（试行）》中</w:t>
                  </w:r>
                  <w:r>
                    <w:rPr>
                      <w:rFonts w:hint="eastAsia" w:ascii="宋体" w:hAnsi="宋体" w:eastAsia="宋体" w:cs="宋体"/>
                      <w:color w:val="auto"/>
                      <w:sz w:val="21"/>
                      <w:szCs w:val="21"/>
                    </w:rPr>
                    <w:t>“</w:t>
                  </w:r>
                  <w:r>
                    <w:rPr>
                      <w:rFonts w:hint="default" w:ascii="Times New Roman" w:hAnsi="Times New Roman" w:cs="Times New Roman"/>
                      <w:color w:val="auto"/>
                      <w:sz w:val="21"/>
                      <w:szCs w:val="21"/>
                    </w:rPr>
                    <w:t>表1专项评价设置原则</w:t>
                  </w:r>
                  <w:r>
                    <w:rPr>
                      <w:rFonts w:hint="eastAsia" w:ascii="宋体" w:hAnsi="宋体" w:eastAsia="宋体" w:cs="宋体"/>
                      <w:color w:val="auto"/>
                      <w:sz w:val="21"/>
                      <w:szCs w:val="21"/>
                    </w:rPr>
                    <w:t>表”</w:t>
                  </w:r>
                  <w:r>
                    <w:rPr>
                      <w:rFonts w:hint="eastAsia" w:ascii="Times New Roman" w:hAnsi="Times New Roman" w:cs="Times New Roman"/>
                      <w:color w:val="auto"/>
                      <w:sz w:val="21"/>
                      <w:szCs w:val="21"/>
                      <w:lang w:val="en-US" w:eastAsia="zh-CN"/>
                    </w:rPr>
                    <w:t>注释第2条，环境空气保护目标指自然保护区、风景名胜区、居住区、文化区和农村地区中人群较集中的区域。</w:t>
                  </w:r>
                </w:p>
                <w:p w14:paraId="33FC98E2">
                  <w:pPr>
                    <w:autoSpaceDE w:val="0"/>
                    <w:autoSpaceDN w:val="0"/>
                    <w:adjustRightInd w:val="0"/>
                    <w:snapToGrid w:val="0"/>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根据上述分析可知，本项目500m范围内</w:t>
                  </w:r>
                  <w:r>
                    <w:rPr>
                      <w:rFonts w:hint="eastAsia" w:ascii="Times New Roman" w:hAnsi="Times New Roman" w:cs="Times New Roman"/>
                      <w:color w:val="auto"/>
                      <w:sz w:val="21"/>
                      <w:szCs w:val="21"/>
                      <w:lang w:val="en-US" w:eastAsia="zh-CN"/>
                    </w:rPr>
                    <w:t>5户居民点、</w:t>
                  </w:r>
                  <w:r>
                    <w:rPr>
                      <w:rFonts w:hint="default" w:ascii="Times New Roman" w:hAnsi="Times New Roman" w:cs="Times New Roman"/>
                      <w:color w:val="auto"/>
                      <w:sz w:val="21"/>
                      <w:szCs w:val="21"/>
                    </w:rPr>
                    <w:t>金龙社区党群服务中心</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大竹县康仁医院均不属于</w:t>
                  </w:r>
                  <w:r>
                    <w:rPr>
                      <w:rFonts w:hint="default" w:ascii="Times New Roman" w:hAnsi="Times New Roman" w:cs="Times New Roman"/>
                      <w:color w:val="auto"/>
                      <w:sz w:val="21"/>
                      <w:szCs w:val="21"/>
                    </w:rPr>
                    <w:t>《建</w:t>
                  </w:r>
                  <w:r>
                    <w:rPr>
                      <w:rFonts w:hint="default" w:ascii="Times New Roman" w:hAnsi="Times New Roman" w:cs="Times New Roman"/>
                      <w:strike w:val="0"/>
                      <w:dstrike w:val="0"/>
                      <w:color w:val="auto"/>
                      <w:sz w:val="21"/>
                      <w:szCs w:val="21"/>
                    </w:rPr>
                    <w:t>设</w:t>
                  </w:r>
                  <w:r>
                    <w:rPr>
                      <w:rFonts w:hint="default" w:ascii="Times New Roman" w:hAnsi="Times New Roman" w:cs="Times New Roman"/>
                      <w:color w:val="auto"/>
                      <w:sz w:val="21"/>
                      <w:szCs w:val="21"/>
                    </w:rPr>
                    <w:t>项目环境影响报告表编制技术指南（污染影响类）（试行）》中</w:t>
                  </w:r>
                  <w:r>
                    <w:rPr>
                      <w:rFonts w:hint="eastAsia" w:ascii="宋体" w:hAnsi="宋体" w:eastAsia="宋体" w:cs="宋体"/>
                      <w:color w:val="auto"/>
                      <w:sz w:val="21"/>
                      <w:szCs w:val="21"/>
                    </w:rPr>
                    <w:t>“</w:t>
                  </w:r>
                  <w:r>
                    <w:rPr>
                      <w:rFonts w:hint="default" w:ascii="Times New Roman" w:hAnsi="Times New Roman" w:cs="Times New Roman"/>
                      <w:color w:val="auto"/>
                      <w:sz w:val="21"/>
                      <w:szCs w:val="21"/>
                    </w:rPr>
                    <w:t>表1专项评价设置原则</w:t>
                  </w:r>
                  <w:r>
                    <w:rPr>
                      <w:rFonts w:hint="eastAsia" w:ascii="宋体" w:hAnsi="宋体" w:eastAsia="宋体" w:cs="宋体"/>
                      <w:color w:val="auto"/>
                      <w:sz w:val="21"/>
                      <w:szCs w:val="21"/>
                    </w:rPr>
                    <w:t>表”</w:t>
                  </w:r>
                  <w:r>
                    <w:rPr>
                      <w:rFonts w:hint="eastAsia" w:ascii="Times New Roman" w:hAnsi="Times New Roman" w:cs="Times New Roman"/>
                      <w:color w:val="auto"/>
                      <w:sz w:val="21"/>
                      <w:szCs w:val="21"/>
                      <w:lang w:val="en-US" w:eastAsia="zh-CN"/>
                    </w:rPr>
                    <w:t>注释第2条中的环境空气保护目标</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因此</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本项目</w:t>
                  </w:r>
                  <w:r>
                    <w:rPr>
                      <w:rFonts w:hint="default" w:ascii="Times New Roman" w:hAnsi="Times New Roman" w:cs="Times New Roman"/>
                      <w:color w:val="auto"/>
                      <w:sz w:val="21"/>
                      <w:szCs w:val="21"/>
                    </w:rPr>
                    <w:t>无需开展大气专项评价。</w:t>
                  </w:r>
                </w:p>
              </w:tc>
            </w:tr>
            <w:tr w14:paraId="5B47D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4" w:type="pct"/>
                  <w:noWrap w:val="0"/>
                  <w:vAlign w:val="center"/>
                </w:tcPr>
                <w:p w14:paraId="38EAC58A">
                  <w:pPr>
                    <w:autoSpaceDE w:val="0"/>
                    <w:autoSpaceDN w:val="0"/>
                    <w:adjustRightInd w:val="0"/>
                    <w:snapToGrid w:val="0"/>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地表水</w:t>
                  </w:r>
                </w:p>
              </w:tc>
              <w:tc>
                <w:tcPr>
                  <w:tcW w:w="2187" w:type="pct"/>
                  <w:noWrap w:val="0"/>
                  <w:vAlign w:val="center"/>
                </w:tcPr>
                <w:p w14:paraId="619745CC">
                  <w:pPr>
                    <w:autoSpaceDE w:val="0"/>
                    <w:autoSpaceDN w:val="0"/>
                    <w:adjustRightInd w:val="0"/>
                    <w:snapToGrid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新增工业废水直排建设项目（槽罐车外送污水处理厂的除外）；</w:t>
                  </w:r>
                </w:p>
                <w:p w14:paraId="25408892">
                  <w:pPr>
                    <w:autoSpaceDE w:val="0"/>
                    <w:autoSpaceDN w:val="0"/>
                    <w:adjustRightInd w:val="0"/>
                    <w:snapToGrid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新增废水直排的污水集中处理厂</w:t>
                  </w:r>
                </w:p>
              </w:tc>
              <w:tc>
                <w:tcPr>
                  <w:tcW w:w="2077" w:type="pct"/>
                  <w:noWrap w:val="0"/>
                  <w:vAlign w:val="center"/>
                </w:tcPr>
                <w:p w14:paraId="67485FBF">
                  <w:pPr>
                    <w:autoSpaceDE w:val="0"/>
                    <w:autoSpaceDN w:val="0"/>
                    <w:adjustRightInd w:val="0"/>
                    <w:snapToGrid w:val="0"/>
                    <w:spacing w:line="240" w:lineRule="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本项目运营期生产废水、生活污水为间接排放</w:t>
                  </w:r>
                  <w:r>
                    <w:rPr>
                      <w:rFonts w:hint="default" w:ascii="Times New Roman" w:hAnsi="Times New Roman" w:cs="Times New Roman"/>
                      <w:color w:val="auto"/>
                      <w:sz w:val="21"/>
                      <w:szCs w:val="21"/>
                      <w:lang w:eastAsia="zh-CN"/>
                    </w:rPr>
                    <w:t>，故本项目无需开展地表水专项评价。</w:t>
                  </w:r>
                </w:p>
              </w:tc>
            </w:tr>
            <w:tr w14:paraId="7331B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4" w:type="pct"/>
                  <w:noWrap w:val="0"/>
                  <w:vAlign w:val="center"/>
                </w:tcPr>
                <w:p w14:paraId="7884459B">
                  <w:pPr>
                    <w:autoSpaceDE w:val="0"/>
                    <w:autoSpaceDN w:val="0"/>
                    <w:adjustRightInd w:val="0"/>
                    <w:snapToGrid w:val="0"/>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环境风险</w:t>
                  </w:r>
                </w:p>
              </w:tc>
              <w:tc>
                <w:tcPr>
                  <w:tcW w:w="2187" w:type="pct"/>
                  <w:noWrap w:val="0"/>
                  <w:vAlign w:val="center"/>
                </w:tcPr>
                <w:p w14:paraId="7B107009">
                  <w:pPr>
                    <w:autoSpaceDE w:val="0"/>
                    <w:autoSpaceDN w:val="0"/>
                    <w:adjustRightInd w:val="0"/>
                    <w:snapToGrid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有毒有害和易燃易爆危险物质存储量超过临界量</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的建设项目</w:t>
                  </w:r>
                </w:p>
              </w:tc>
              <w:tc>
                <w:tcPr>
                  <w:tcW w:w="2077" w:type="pct"/>
                  <w:noWrap w:val="0"/>
                  <w:vAlign w:val="center"/>
                </w:tcPr>
                <w:p w14:paraId="50C88266">
                  <w:pPr>
                    <w:autoSpaceDE w:val="0"/>
                    <w:autoSpaceDN w:val="0"/>
                    <w:adjustRightInd w:val="0"/>
                    <w:snapToGrid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本项目危险物质储存量未超过临界量，故本项目无需开展环境风险专项评价。</w:t>
                  </w:r>
                </w:p>
              </w:tc>
            </w:tr>
            <w:tr w14:paraId="71CE0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4" w:type="pct"/>
                  <w:noWrap w:val="0"/>
                  <w:vAlign w:val="center"/>
                </w:tcPr>
                <w:p w14:paraId="67136EB4">
                  <w:pPr>
                    <w:autoSpaceDE w:val="0"/>
                    <w:autoSpaceDN w:val="0"/>
                    <w:adjustRightInd w:val="0"/>
                    <w:snapToGrid w:val="0"/>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生态</w:t>
                  </w:r>
                </w:p>
              </w:tc>
              <w:tc>
                <w:tcPr>
                  <w:tcW w:w="2187" w:type="pct"/>
                  <w:noWrap w:val="0"/>
                  <w:vAlign w:val="center"/>
                </w:tcPr>
                <w:p w14:paraId="3C8BAFC9">
                  <w:pPr>
                    <w:autoSpaceDE w:val="0"/>
                    <w:autoSpaceDN w:val="0"/>
                    <w:adjustRightInd w:val="0"/>
                    <w:snapToGrid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取水口下游500米范围内有重要水生生物的自然产卵场、索饵场、越冬场和洄游通道的新增河道取水的污染类建设项目</w:t>
                  </w:r>
                </w:p>
              </w:tc>
              <w:tc>
                <w:tcPr>
                  <w:tcW w:w="2077" w:type="pct"/>
                  <w:noWrap w:val="0"/>
                  <w:vAlign w:val="center"/>
                </w:tcPr>
                <w:p w14:paraId="64BC9DE3">
                  <w:pPr>
                    <w:autoSpaceDE w:val="0"/>
                    <w:autoSpaceDN w:val="0"/>
                    <w:adjustRightInd w:val="0"/>
                    <w:snapToGrid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本项目不涉及取水，故本项目无需开展生态专项评价。</w:t>
                  </w:r>
                </w:p>
              </w:tc>
            </w:tr>
            <w:tr w14:paraId="03B19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4" w:type="pct"/>
                  <w:noWrap w:val="0"/>
                  <w:vAlign w:val="center"/>
                </w:tcPr>
                <w:p w14:paraId="095DE711">
                  <w:pPr>
                    <w:autoSpaceDE w:val="0"/>
                    <w:autoSpaceDN w:val="0"/>
                    <w:adjustRightInd w:val="0"/>
                    <w:snapToGrid w:val="0"/>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海洋</w:t>
                  </w:r>
                </w:p>
              </w:tc>
              <w:tc>
                <w:tcPr>
                  <w:tcW w:w="2187" w:type="pct"/>
                  <w:noWrap w:val="0"/>
                  <w:vAlign w:val="center"/>
                </w:tcPr>
                <w:p w14:paraId="7BF55304">
                  <w:pPr>
                    <w:autoSpaceDE w:val="0"/>
                    <w:autoSpaceDN w:val="0"/>
                    <w:adjustRightInd w:val="0"/>
                    <w:snapToGrid w:val="0"/>
                    <w:spacing w:line="240" w:lineRule="auto"/>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直接向海排放污染物的海洋工程建设项目</w:t>
                  </w:r>
                </w:p>
              </w:tc>
              <w:tc>
                <w:tcPr>
                  <w:tcW w:w="2077" w:type="pct"/>
                  <w:noWrap w:val="0"/>
                  <w:vAlign w:val="center"/>
                </w:tcPr>
                <w:p w14:paraId="179BF9A9">
                  <w:pPr>
                    <w:autoSpaceDE w:val="0"/>
                    <w:autoSpaceDN w:val="0"/>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本项目不属于海洋工程建设项目，故本项目无需开展海洋专项评价。</w:t>
                  </w:r>
                </w:p>
              </w:tc>
            </w:tr>
            <w:tr w14:paraId="5FF94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4" w:type="pct"/>
                  <w:noWrap w:val="0"/>
                  <w:vAlign w:val="center"/>
                </w:tcPr>
                <w:p w14:paraId="4B27D312">
                  <w:pPr>
                    <w:adjustRightInd w:val="0"/>
                    <w:snapToGrid w:val="0"/>
                    <w:spacing w:line="240" w:lineRule="auto"/>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地下水</w:t>
                  </w:r>
                </w:p>
              </w:tc>
              <w:tc>
                <w:tcPr>
                  <w:tcW w:w="2187" w:type="pct"/>
                  <w:noWrap w:val="0"/>
                  <w:vAlign w:val="center"/>
                </w:tcPr>
                <w:p w14:paraId="523A0109">
                  <w:pPr>
                    <w:adjustRightInd w:val="0"/>
                    <w:snapToGrid w:val="0"/>
                    <w:spacing w:line="240" w:lineRule="auto"/>
                    <w:jc w:val="left"/>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涉及集中式饮用水水源和热水、矿泉水、温泉等特殊地下水资源保护区</w:t>
                  </w:r>
                </w:p>
              </w:tc>
              <w:tc>
                <w:tcPr>
                  <w:tcW w:w="2077" w:type="pct"/>
                  <w:noWrap w:val="0"/>
                  <w:vAlign w:val="center"/>
                </w:tcPr>
                <w:p w14:paraId="6DB7BEF2">
                  <w:pPr>
                    <w:adjustRightInd w:val="0"/>
                    <w:snapToGrid w:val="0"/>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本项目不涉及集中式饮用水水源和热水、矿泉水、温泉等特殊地下水资源保护区，</w:t>
                  </w:r>
                  <w:r>
                    <w:rPr>
                      <w:rFonts w:hint="default" w:ascii="Times New Roman" w:hAnsi="Times New Roman" w:cs="Times New Roman"/>
                      <w:bCs/>
                      <w:color w:val="auto"/>
                      <w:sz w:val="21"/>
                      <w:szCs w:val="21"/>
                    </w:rPr>
                    <w:t>故无需开展地下水专项评价。</w:t>
                  </w:r>
                </w:p>
              </w:tc>
            </w:tr>
            <w:tr w14:paraId="64553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3"/>
                  <w:noWrap w:val="0"/>
                  <w:vAlign w:val="center"/>
                </w:tcPr>
                <w:p w14:paraId="56D99669">
                  <w:pPr>
                    <w:autoSpaceDE w:val="0"/>
                    <w:autoSpaceDN w:val="0"/>
                    <w:adjustRightInd w:val="0"/>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注：1.废气中有毒有害污染物指纳入《有毒有害大气污染物名录》的污染物（不包括无排放标准的污染物）。2.环境空气保护目标指自然保护区、风景名胜区、居住区、文化区和农村地区中人群较集中的区域。3.临界量及其计算方法可参考《建设项目环境风险评价技术导则》（HJ 169）附录B、附录C。</w:t>
                  </w:r>
                </w:p>
              </w:tc>
            </w:tr>
          </w:tbl>
          <w:p w14:paraId="2F249E7F">
            <w:pPr>
              <w:autoSpaceDE w:val="0"/>
              <w:autoSpaceDN w:val="0"/>
              <w:adjustRightInd w:val="0"/>
              <w:snapToGrid w:val="0"/>
              <w:spacing w:line="360" w:lineRule="auto"/>
              <w:jc w:val="center"/>
              <w:rPr>
                <w:rFonts w:hint="default" w:ascii="Times New Roman" w:hAnsi="Times New Roman" w:cs="Times New Roman"/>
                <w:color w:val="auto"/>
                <w:sz w:val="24"/>
              </w:rPr>
            </w:pPr>
          </w:p>
        </w:tc>
      </w:tr>
      <w:tr w14:paraId="4A5E4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2064" w:type="dxa"/>
            <w:gridSpan w:val="2"/>
            <w:noWrap w:val="0"/>
            <w:vAlign w:val="center"/>
          </w:tcPr>
          <w:p w14:paraId="344F49A1">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sz w:val="24"/>
              </w:rPr>
              <w:t>规划情况</w:t>
            </w:r>
          </w:p>
        </w:tc>
        <w:tc>
          <w:tcPr>
            <w:tcW w:w="7221" w:type="dxa"/>
            <w:gridSpan w:val="3"/>
            <w:noWrap w:val="0"/>
            <w:vAlign w:val="center"/>
          </w:tcPr>
          <w:p w14:paraId="5E9EBBCF">
            <w:pPr>
              <w:keepNext w:val="0"/>
              <w:keepLines w:val="0"/>
              <w:pageBreakBefore w:val="0"/>
              <w:widowControl w:val="0"/>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四川大竹经济开发区总体规划（2021</w:t>
            </w:r>
            <w:r>
              <w:rPr>
                <w:rFonts w:hint="eastAsia" w:cs="Times New Roman"/>
                <w:color w:val="auto"/>
                <w:kern w:val="0"/>
                <w:sz w:val="24"/>
                <w:highlight w:val="none"/>
                <w:lang w:eastAsia="zh-CN"/>
              </w:rPr>
              <w:t>—</w:t>
            </w:r>
            <w:r>
              <w:rPr>
                <w:rFonts w:hint="default" w:ascii="Times New Roman" w:hAnsi="Times New Roman" w:cs="Times New Roman"/>
                <w:color w:val="auto"/>
                <w:kern w:val="0"/>
                <w:sz w:val="24"/>
                <w:highlight w:val="none"/>
              </w:rPr>
              <w:t>2035年）</w:t>
            </w:r>
          </w:p>
        </w:tc>
      </w:tr>
      <w:tr w14:paraId="21049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064" w:type="dxa"/>
            <w:gridSpan w:val="2"/>
            <w:noWrap w:val="0"/>
            <w:vAlign w:val="center"/>
          </w:tcPr>
          <w:p w14:paraId="2F2A43C6">
            <w:pPr>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sz w:val="24"/>
              </w:rPr>
              <w:t>规划环境影响评价情况</w:t>
            </w:r>
          </w:p>
        </w:tc>
        <w:tc>
          <w:tcPr>
            <w:tcW w:w="7221" w:type="dxa"/>
            <w:gridSpan w:val="3"/>
            <w:noWrap w:val="0"/>
            <w:vAlign w:val="center"/>
          </w:tcPr>
          <w:p w14:paraId="1166D874">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文件名称：《四川大竹经济开发区总体规划（2021-2035）环境影响报告书》</w:t>
            </w:r>
          </w:p>
          <w:p w14:paraId="67A44C6D">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审查机关及时间：</w:t>
            </w:r>
            <w:r>
              <w:rPr>
                <w:rFonts w:hint="default" w:ascii="Times New Roman" w:hAnsi="Times New Roman" w:cs="Times New Roman"/>
                <w:color w:val="auto"/>
                <w:kern w:val="0"/>
                <w:sz w:val="24"/>
                <w:highlight w:val="none"/>
                <w:lang w:val="en-US" w:eastAsia="zh-CN"/>
              </w:rPr>
              <w:t>达州市</w:t>
            </w:r>
            <w:r>
              <w:rPr>
                <w:rFonts w:hint="default" w:ascii="Times New Roman" w:hAnsi="Times New Roman" w:cs="Times New Roman"/>
                <w:color w:val="auto"/>
                <w:kern w:val="0"/>
                <w:sz w:val="24"/>
                <w:highlight w:val="none"/>
              </w:rPr>
              <w:t>生态环境局，20</w:t>
            </w:r>
            <w:r>
              <w:rPr>
                <w:rFonts w:hint="default" w:ascii="Times New Roman" w:hAnsi="Times New Roman" w:cs="Times New Roman"/>
                <w:color w:val="auto"/>
                <w:kern w:val="0"/>
                <w:sz w:val="24"/>
                <w:highlight w:val="none"/>
                <w:lang w:val="en-US" w:eastAsia="zh-CN"/>
              </w:rPr>
              <w:t>24</w:t>
            </w:r>
            <w:r>
              <w:rPr>
                <w:rFonts w:hint="default" w:ascii="Times New Roman" w:hAnsi="Times New Roman" w:cs="Times New Roman"/>
                <w:color w:val="auto"/>
                <w:kern w:val="0"/>
                <w:sz w:val="24"/>
                <w:highlight w:val="none"/>
              </w:rPr>
              <w:t>年</w:t>
            </w:r>
            <w:r>
              <w:rPr>
                <w:rFonts w:hint="default" w:ascii="Times New Roman" w:hAnsi="Times New Roman" w:cs="Times New Roman"/>
                <w:color w:val="auto"/>
                <w:kern w:val="0"/>
                <w:sz w:val="24"/>
                <w:highlight w:val="none"/>
                <w:lang w:val="en-US" w:eastAsia="zh-CN"/>
              </w:rPr>
              <w:t>12</w:t>
            </w:r>
            <w:r>
              <w:rPr>
                <w:rFonts w:hint="default" w:ascii="Times New Roman" w:hAnsi="Times New Roman" w:cs="Times New Roman"/>
                <w:color w:val="auto"/>
                <w:kern w:val="0"/>
                <w:sz w:val="24"/>
                <w:highlight w:val="none"/>
              </w:rPr>
              <w:t>月</w:t>
            </w:r>
            <w:r>
              <w:rPr>
                <w:rFonts w:hint="default" w:ascii="Times New Roman" w:hAnsi="Times New Roman" w:cs="Times New Roman"/>
                <w:color w:val="auto"/>
                <w:kern w:val="0"/>
                <w:sz w:val="24"/>
                <w:highlight w:val="none"/>
                <w:lang w:val="en-US" w:eastAsia="zh-CN"/>
              </w:rPr>
              <w:t>30</w:t>
            </w:r>
            <w:r>
              <w:rPr>
                <w:rFonts w:hint="default" w:ascii="Times New Roman" w:hAnsi="Times New Roman" w:cs="Times New Roman"/>
                <w:color w:val="auto"/>
                <w:kern w:val="0"/>
                <w:sz w:val="24"/>
                <w:highlight w:val="none"/>
              </w:rPr>
              <w:t>日</w:t>
            </w:r>
          </w:p>
          <w:p w14:paraId="628CE60C">
            <w:pPr>
              <w:keepNext w:val="0"/>
              <w:keepLines w:val="0"/>
              <w:pageBreakBefore w:val="0"/>
              <w:widowControl w:val="0"/>
              <w:kinsoku/>
              <w:wordWrap/>
              <w:overflowPunct/>
              <w:topLinePunct w:val="0"/>
              <w:autoSpaceDE w:val="0"/>
              <w:autoSpaceDN w:val="0"/>
              <w:bidi w:val="0"/>
              <w:adjustRightInd w:val="0"/>
              <w:snapToGrid w:val="0"/>
              <w:spacing w:line="360" w:lineRule="auto"/>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审查文件名称及文号：《</w:t>
            </w:r>
            <w:r>
              <w:rPr>
                <w:rFonts w:hint="default" w:ascii="Times New Roman" w:hAnsi="Times New Roman" w:cs="Times New Roman"/>
                <w:color w:val="auto"/>
                <w:kern w:val="0"/>
                <w:sz w:val="24"/>
                <w:highlight w:val="none"/>
                <w:lang w:val="en-US" w:eastAsia="zh-CN"/>
              </w:rPr>
              <w:t>达州市生态环境局</w:t>
            </w:r>
            <w:r>
              <w:rPr>
                <w:rFonts w:hint="default" w:ascii="Times New Roman" w:hAnsi="Times New Roman" w:cs="Times New Roman"/>
                <w:color w:val="auto"/>
                <w:kern w:val="0"/>
                <w:sz w:val="24"/>
                <w:highlight w:val="none"/>
              </w:rPr>
              <w:t>关于</w:t>
            </w:r>
            <w:r>
              <w:rPr>
                <w:rFonts w:hint="default" w:ascii="Times New Roman" w:hAnsi="Times New Roman" w:cs="Times New Roman"/>
                <w:color w:val="auto"/>
                <w:kern w:val="0"/>
                <w:sz w:val="24"/>
                <w:highlight w:val="none"/>
                <w:lang w:val="en-US" w:eastAsia="zh-CN"/>
              </w:rPr>
              <w:t>印发</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四川大竹经济开发区总体规划</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2021-2035</w:t>
            </w:r>
            <w:r>
              <w:rPr>
                <w:rFonts w:hint="default" w:ascii="Times New Roman" w:hAnsi="Times New Roman" w:cs="Times New Roman"/>
                <w:color w:val="auto"/>
                <w:kern w:val="0"/>
                <w:sz w:val="24"/>
                <w:highlight w:val="none"/>
              </w:rPr>
              <w:t>)环境影响报告书〉审查意见的函》（</w:t>
            </w:r>
            <w:r>
              <w:rPr>
                <w:rFonts w:hint="default" w:ascii="Times New Roman" w:hAnsi="Times New Roman" w:cs="Times New Roman"/>
                <w:color w:val="auto"/>
                <w:kern w:val="0"/>
                <w:sz w:val="24"/>
                <w:highlight w:val="none"/>
                <w:lang w:val="en-US" w:eastAsia="zh-CN"/>
              </w:rPr>
              <w:t>达市环函</w:t>
            </w:r>
            <w:r>
              <w:rPr>
                <w:rFonts w:hint="eastAsia" w:cs="Times New Roman"/>
                <w:color w:val="auto"/>
                <w:kern w:val="0"/>
                <w:sz w:val="24"/>
                <w:highlight w:val="none"/>
                <w:lang w:val="en-US" w:eastAsia="zh-CN"/>
              </w:rPr>
              <w:t>〔2024〕308号</w:t>
            </w:r>
            <w:r>
              <w:rPr>
                <w:rFonts w:hint="default" w:ascii="Times New Roman" w:hAnsi="Times New Roman" w:cs="Times New Roman"/>
                <w:color w:val="auto"/>
                <w:kern w:val="0"/>
                <w:sz w:val="24"/>
                <w:highlight w:val="none"/>
              </w:rPr>
              <w:t>）。</w:t>
            </w:r>
          </w:p>
        </w:tc>
      </w:tr>
      <w:tr w14:paraId="30683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39" w:type="dxa"/>
            <w:noWrap w:val="0"/>
            <w:vAlign w:val="center"/>
          </w:tcPr>
          <w:p w14:paraId="63173D71">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规划及规划环境</w:t>
            </w:r>
          </w:p>
          <w:p w14:paraId="7BE1F4DE">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rPr>
              <w:t>影响评价符合性分析</w:t>
            </w:r>
          </w:p>
        </w:tc>
        <w:tc>
          <w:tcPr>
            <w:tcW w:w="8846" w:type="dxa"/>
            <w:gridSpan w:val="4"/>
            <w:noWrap w:val="0"/>
            <w:vAlign w:val="center"/>
          </w:tcPr>
          <w:p w14:paraId="2C3F9A83">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cs="Times New Roman"/>
                <w:b/>
                <w:color w:val="auto"/>
                <w:kern w:val="0"/>
                <w:sz w:val="24"/>
                <w:highlight w:val="none"/>
              </w:rPr>
            </w:pPr>
            <w:r>
              <w:rPr>
                <w:rFonts w:hint="default" w:ascii="Times New Roman" w:hAnsi="Times New Roman" w:cs="Times New Roman"/>
                <w:b/>
                <w:color w:val="auto"/>
                <w:kern w:val="0"/>
                <w:sz w:val="24"/>
                <w:highlight w:val="none"/>
              </w:rPr>
              <w:t>1.1规划及规划环境影响评价符合性分析</w:t>
            </w:r>
          </w:p>
          <w:p w14:paraId="5892FBA6">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cs="Times New Roman"/>
                <w:b/>
                <w:color w:val="auto"/>
                <w:kern w:val="0"/>
                <w:sz w:val="24"/>
                <w:highlight w:val="none"/>
              </w:rPr>
            </w:pPr>
            <w:r>
              <w:rPr>
                <w:rFonts w:hint="default" w:ascii="Times New Roman" w:hAnsi="Times New Roman" w:cs="Times New Roman"/>
                <w:b/>
                <w:color w:val="auto"/>
                <w:kern w:val="0"/>
                <w:sz w:val="24"/>
                <w:highlight w:val="none"/>
              </w:rPr>
              <w:t>1.1.1与</w:t>
            </w:r>
            <w:r>
              <w:rPr>
                <w:rFonts w:hint="default" w:ascii="Times New Roman" w:hAnsi="Times New Roman" w:cs="Times New Roman"/>
                <w:b/>
                <w:color w:val="auto"/>
                <w:kern w:val="0"/>
                <w:sz w:val="24"/>
                <w:highlight w:val="none"/>
                <w:lang w:val="en-US" w:eastAsia="zh-CN"/>
              </w:rPr>
              <w:t>园区</w:t>
            </w:r>
            <w:r>
              <w:rPr>
                <w:rFonts w:hint="default" w:ascii="Times New Roman" w:hAnsi="Times New Roman" w:cs="Times New Roman"/>
                <w:b/>
                <w:color w:val="auto"/>
                <w:kern w:val="0"/>
                <w:sz w:val="24"/>
                <w:highlight w:val="none"/>
              </w:rPr>
              <w:t>规划符合分析</w:t>
            </w:r>
          </w:p>
          <w:p w14:paraId="3412F9E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rPr>
              <w:t>四川大竹经济开发区位于城东郊，地处东柳镇，规划区西距县城中心约 2.6km，本次规划范围面积为7.516</w:t>
            </w:r>
            <w:r>
              <w:rPr>
                <w:rFonts w:hint="eastAsia" w:cs="Times New Roman"/>
                <w:color w:val="auto"/>
                <w:kern w:val="0"/>
                <w:sz w:val="24"/>
                <w:highlight w:val="none"/>
                <w:lang w:val="en-US" w:eastAsia="zh-CN"/>
              </w:rPr>
              <w:t>km</w:t>
            </w:r>
            <w:r>
              <w:rPr>
                <w:rFonts w:hint="eastAsia" w:cs="Times New Roman"/>
                <w:color w:val="auto"/>
                <w:kern w:val="0"/>
                <w:sz w:val="24"/>
                <w:highlight w:val="none"/>
                <w:vertAlign w:val="superscript"/>
                <w:lang w:val="en-US" w:eastAsia="zh-CN"/>
              </w:rPr>
              <w:t>2</w:t>
            </w:r>
            <w:r>
              <w:rPr>
                <w:rFonts w:hint="default" w:ascii="Times New Roman" w:hAnsi="Times New Roman" w:cs="Times New Roman"/>
                <w:color w:val="auto"/>
                <w:kern w:val="0"/>
                <w:sz w:val="24"/>
                <w:highlight w:val="none"/>
              </w:rPr>
              <w:t>。</w:t>
            </w:r>
          </w:p>
          <w:p w14:paraId="3D618F4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（1）规划范围</w:t>
            </w:r>
          </w:p>
          <w:p w14:paraId="2AF3E52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四川大竹经济开发区位于城东郊，地处东柳镇，四至范围：西至竹凤大道，东至环城东路，南至东湖大道南侧，北至北城大道北侧</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rPr>
              <w:t>本次规划范围共计7.516km</w:t>
            </w:r>
            <w:r>
              <w:rPr>
                <w:rFonts w:hint="default" w:ascii="Times New Roman" w:hAnsi="Times New Roman" w:cs="Times New Roman"/>
                <w:color w:val="auto"/>
                <w:kern w:val="0"/>
                <w:sz w:val="24"/>
                <w:highlight w:val="none"/>
                <w:vertAlign w:val="superscript"/>
              </w:rPr>
              <w:t>2</w:t>
            </w:r>
            <w:r>
              <w:rPr>
                <w:rFonts w:hint="default" w:ascii="Times New Roman" w:hAnsi="Times New Roman" w:cs="Times New Roman"/>
                <w:color w:val="auto"/>
                <w:kern w:val="0"/>
                <w:sz w:val="24"/>
                <w:highlight w:val="none"/>
              </w:rPr>
              <w:t>。</w:t>
            </w:r>
          </w:p>
          <w:p w14:paraId="0BC0F6A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（2）规划期限</w:t>
            </w:r>
          </w:p>
          <w:p w14:paraId="0361485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规划确定的规划目标年为20</w:t>
            </w:r>
            <w:r>
              <w:rPr>
                <w:rFonts w:hint="default" w:ascii="Times New Roman" w:hAnsi="Times New Roman" w:cs="Times New Roman"/>
                <w:color w:val="auto"/>
                <w:kern w:val="0"/>
                <w:sz w:val="24"/>
                <w:highlight w:val="none"/>
                <w:lang w:val="en-US" w:eastAsia="zh-CN"/>
              </w:rPr>
              <w:t>21</w:t>
            </w:r>
            <w:r>
              <w:rPr>
                <w:rFonts w:hint="default" w:ascii="Times New Roman" w:hAnsi="Times New Roman" w:cs="Times New Roman"/>
                <w:color w:val="auto"/>
                <w:kern w:val="0"/>
                <w:sz w:val="24"/>
                <w:highlight w:val="none"/>
              </w:rPr>
              <w:t>年</w:t>
            </w:r>
            <w:r>
              <w:rPr>
                <w:rFonts w:hint="eastAsia" w:cs="Times New Roman"/>
                <w:color w:val="auto"/>
                <w:kern w:val="0"/>
                <w:sz w:val="24"/>
                <w:highlight w:val="none"/>
                <w:lang w:eastAsia="zh-CN"/>
              </w:rPr>
              <w:t>—</w:t>
            </w:r>
            <w:r>
              <w:rPr>
                <w:rFonts w:hint="default" w:ascii="Times New Roman" w:hAnsi="Times New Roman" w:cs="Times New Roman"/>
                <w:color w:val="auto"/>
                <w:kern w:val="0"/>
                <w:sz w:val="24"/>
                <w:highlight w:val="none"/>
              </w:rPr>
              <w:t>20</w:t>
            </w:r>
            <w:r>
              <w:rPr>
                <w:rFonts w:hint="default" w:ascii="Times New Roman" w:hAnsi="Times New Roman" w:cs="Times New Roman"/>
                <w:color w:val="auto"/>
                <w:kern w:val="0"/>
                <w:sz w:val="24"/>
                <w:highlight w:val="none"/>
                <w:lang w:val="en-US" w:eastAsia="zh-CN"/>
              </w:rPr>
              <w:t>35</w:t>
            </w:r>
            <w:r>
              <w:rPr>
                <w:rFonts w:hint="default" w:ascii="Times New Roman" w:hAnsi="Times New Roman" w:cs="Times New Roman"/>
                <w:color w:val="auto"/>
                <w:kern w:val="0"/>
                <w:sz w:val="24"/>
                <w:highlight w:val="none"/>
              </w:rPr>
              <w:t>年。</w:t>
            </w:r>
          </w:p>
          <w:p w14:paraId="2A28F3E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（3）产业定位</w:t>
            </w:r>
          </w:p>
          <w:p w14:paraId="7864360C">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以电子信息、建材、能源为主导，辅助发展轻纺鞋服、智能制造、现代服务业等产业，形成产业集群集聚发展。</w:t>
            </w:r>
          </w:p>
          <w:p w14:paraId="36FC1E8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（4）规划结构</w:t>
            </w:r>
          </w:p>
          <w:p w14:paraId="2F1A659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园区的主体功能大致分为：机电汽摩产业、轻纺鞋服产业、商贸物流、文化创意、旅游产业、中介咨询、生产生活服务。</w:t>
            </w:r>
          </w:p>
          <w:p w14:paraId="555705D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highlight w:val="none"/>
                <w:lang w:eastAsia="zh-CN"/>
              </w:rPr>
            </w:pPr>
            <w:r>
              <w:rPr>
                <w:rFonts w:hint="default" w:ascii="Times New Roman" w:hAnsi="Times New Roman" w:cs="Times New Roman"/>
                <w:color w:val="auto"/>
                <w:kern w:val="0"/>
                <w:sz w:val="24"/>
                <w:highlight w:val="none"/>
              </w:rPr>
              <w:t>（5）土地利用</w:t>
            </w:r>
            <w:r>
              <w:rPr>
                <w:rFonts w:hint="default" w:ascii="Times New Roman" w:hAnsi="Times New Roman" w:cs="Times New Roman"/>
                <w:color w:val="auto"/>
                <w:kern w:val="0"/>
                <w:sz w:val="24"/>
                <w:highlight w:val="none"/>
                <w:lang w:val="en-US" w:eastAsia="zh-CN"/>
              </w:rPr>
              <w:t>现状</w:t>
            </w:r>
          </w:p>
          <w:p w14:paraId="0822E78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目前，经开区已开发建设用地共计380.53</w:t>
            </w:r>
            <w:r>
              <w:rPr>
                <w:rFonts w:hint="eastAsia" w:cs="Times New Roman"/>
                <w:color w:val="auto"/>
                <w:kern w:val="0"/>
                <w:sz w:val="24"/>
                <w:highlight w:val="none"/>
                <w:lang w:val="en-US" w:eastAsia="zh-CN"/>
              </w:rPr>
              <w:t>hm</w:t>
            </w:r>
            <w:r>
              <w:rPr>
                <w:rFonts w:hint="eastAsia" w:cs="Times New Roman"/>
                <w:color w:val="auto"/>
                <w:kern w:val="0"/>
                <w:sz w:val="24"/>
                <w:highlight w:val="none"/>
                <w:vertAlign w:val="superscript"/>
                <w:lang w:val="en-US" w:eastAsia="zh-CN"/>
              </w:rPr>
              <w:t>2</w:t>
            </w:r>
            <w:r>
              <w:rPr>
                <w:rFonts w:hint="default" w:ascii="Times New Roman" w:hAnsi="Times New Roman" w:cs="Times New Roman"/>
                <w:color w:val="auto"/>
                <w:kern w:val="0"/>
                <w:sz w:val="24"/>
                <w:highlight w:val="none"/>
              </w:rPr>
              <w:t>，主要用地类型包括城镇住宅用地、农村宅基地、公共管理与公共服务用地、商业服务用地、工矿用地、仓储用地、交通运输用地、公用设施用地、绿地等。区内未开发用地类型主要为耕地、园地、林地、水域等。</w:t>
            </w:r>
          </w:p>
          <w:p w14:paraId="4758DB6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本项目</w:t>
            </w:r>
            <w:r>
              <w:rPr>
                <w:rFonts w:hint="default" w:ascii="Times New Roman" w:hAnsi="Times New Roman" w:cs="Times New Roman"/>
                <w:color w:val="auto"/>
                <w:kern w:val="0"/>
                <w:sz w:val="24"/>
                <w:highlight w:val="none"/>
                <w:lang w:val="en-US" w:eastAsia="zh-CN"/>
              </w:rPr>
              <w:t>租用经济开发区川渝合作（达州•大竹）示范园区A区三期标准化厂房三期1、2号楼。本项目属于C2319包装装潢及其他印刷和C2929塑料零件及其他塑料制品制造，主要生产手机充电器零部件、路由器等，与园区产业规划不冲突，符合园区规划。</w:t>
            </w:r>
          </w:p>
          <w:p w14:paraId="7ED01A24">
            <w:pPr>
              <w:keepNext w:val="0"/>
              <w:keepLines w:val="0"/>
              <w:pageBreakBefore w:val="0"/>
              <w:widowControl w:val="0"/>
              <w:kinsoku/>
              <w:wordWrap/>
              <w:overflowPunct/>
              <w:topLinePunct w:val="0"/>
              <w:bidi w:val="0"/>
              <w:spacing w:line="360" w:lineRule="auto"/>
              <w:textAlignment w:val="auto"/>
              <w:rPr>
                <w:rFonts w:hint="default" w:ascii="Times New Roman" w:hAnsi="Times New Roman" w:cs="Times New Roman"/>
                <w:b/>
                <w:color w:val="auto"/>
                <w:kern w:val="0"/>
                <w:sz w:val="24"/>
                <w:highlight w:val="none"/>
              </w:rPr>
            </w:pPr>
            <w:r>
              <w:rPr>
                <w:rFonts w:hint="default" w:ascii="Times New Roman" w:hAnsi="Times New Roman" w:cs="Times New Roman"/>
                <w:b/>
                <w:color w:val="auto"/>
                <w:kern w:val="0"/>
                <w:sz w:val="24"/>
                <w:highlight w:val="none"/>
              </w:rPr>
              <w:t>1.1.2与园区规划环境影响评价及审查意见的符合性分析</w:t>
            </w:r>
          </w:p>
          <w:p w14:paraId="663C4F7C">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根据</w:t>
            </w:r>
            <w:r>
              <w:rPr>
                <w:rFonts w:hint="default" w:ascii="Times New Roman" w:hAnsi="Times New Roman" w:cs="Times New Roman"/>
                <w:bCs/>
                <w:color w:val="auto"/>
                <w:kern w:val="0"/>
                <w:sz w:val="24"/>
                <w:lang w:val="en-US" w:eastAsia="zh-CN"/>
              </w:rPr>
              <w:t>四川省环科源科技有限公司</w:t>
            </w:r>
            <w:r>
              <w:rPr>
                <w:rFonts w:hint="default" w:ascii="Times New Roman" w:hAnsi="Times New Roman" w:cs="Times New Roman"/>
                <w:bCs/>
                <w:color w:val="auto"/>
                <w:kern w:val="0"/>
                <w:sz w:val="24"/>
              </w:rPr>
              <w:t>编制的《</w:t>
            </w:r>
            <w:r>
              <w:rPr>
                <w:rFonts w:hint="default" w:ascii="Times New Roman" w:hAnsi="Times New Roman" w:cs="Times New Roman"/>
                <w:bCs/>
                <w:color w:val="auto"/>
                <w:kern w:val="0"/>
                <w:sz w:val="24"/>
                <w:lang w:val="en-US" w:eastAsia="zh-CN"/>
              </w:rPr>
              <w:t>四川大竹经济开发区总体规划</w:t>
            </w:r>
            <w:r>
              <w:rPr>
                <w:rFonts w:hint="default" w:ascii="Times New Roman" w:hAnsi="Times New Roman" w:cs="Times New Roman"/>
                <w:bCs/>
                <w:color w:val="auto"/>
                <w:kern w:val="0"/>
                <w:sz w:val="24"/>
                <w:lang w:eastAsia="zh-CN"/>
              </w:rPr>
              <w:t>（</w:t>
            </w:r>
            <w:r>
              <w:rPr>
                <w:rFonts w:hint="default" w:ascii="Times New Roman" w:hAnsi="Times New Roman" w:cs="Times New Roman"/>
                <w:bCs/>
                <w:color w:val="auto"/>
                <w:kern w:val="0"/>
                <w:sz w:val="24"/>
                <w:lang w:val="en-US" w:eastAsia="zh-CN"/>
              </w:rPr>
              <w:t>2021</w:t>
            </w:r>
            <w:r>
              <w:rPr>
                <w:rFonts w:hint="eastAsia" w:cs="Times New Roman"/>
                <w:bCs/>
                <w:color w:val="auto"/>
                <w:kern w:val="0"/>
                <w:sz w:val="24"/>
                <w:lang w:val="en-US" w:eastAsia="zh-CN"/>
              </w:rPr>
              <w:t>—</w:t>
            </w:r>
            <w:r>
              <w:rPr>
                <w:rFonts w:hint="default" w:ascii="Times New Roman" w:hAnsi="Times New Roman" w:cs="Times New Roman"/>
                <w:bCs/>
                <w:color w:val="auto"/>
                <w:kern w:val="0"/>
                <w:sz w:val="24"/>
                <w:lang w:val="en-US" w:eastAsia="zh-CN"/>
              </w:rPr>
              <w:t>2035年</w:t>
            </w:r>
            <w:r>
              <w:rPr>
                <w:rFonts w:hint="default" w:ascii="Times New Roman" w:hAnsi="Times New Roman" w:cs="Times New Roman"/>
                <w:bCs/>
                <w:color w:val="auto"/>
                <w:kern w:val="0"/>
                <w:sz w:val="24"/>
                <w:lang w:eastAsia="zh-CN"/>
              </w:rPr>
              <w:t>）</w:t>
            </w:r>
            <w:r>
              <w:rPr>
                <w:rFonts w:hint="default" w:ascii="Times New Roman" w:hAnsi="Times New Roman" w:cs="Times New Roman"/>
                <w:bCs/>
                <w:color w:val="auto"/>
                <w:kern w:val="0"/>
                <w:sz w:val="24"/>
              </w:rPr>
              <w:t>环境影响报告书》及《</w:t>
            </w:r>
            <w:r>
              <w:rPr>
                <w:rFonts w:hint="default" w:ascii="Times New Roman" w:hAnsi="Times New Roman" w:cs="Times New Roman"/>
                <w:color w:val="auto"/>
                <w:kern w:val="0"/>
                <w:sz w:val="24"/>
                <w:highlight w:val="none"/>
                <w:lang w:val="en-US" w:eastAsia="zh-CN"/>
              </w:rPr>
              <w:t>达州市生态环境局</w:t>
            </w:r>
            <w:r>
              <w:rPr>
                <w:rFonts w:hint="default" w:ascii="Times New Roman" w:hAnsi="Times New Roman" w:cs="Times New Roman"/>
                <w:color w:val="auto"/>
                <w:kern w:val="0"/>
                <w:sz w:val="24"/>
                <w:highlight w:val="none"/>
              </w:rPr>
              <w:t>关于</w:t>
            </w:r>
            <w:r>
              <w:rPr>
                <w:rFonts w:hint="default" w:ascii="Times New Roman" w:hAnsi="Times New Roman" w:cs="Times New Roman"/>
                <w:color w:val="auto"/>
                <w:kern w:val="0"/>
                <w:sz w:val="24"/>
                <w:highlight w:val="none"/>
                <w:lang w:val="en-US" w:eastAsia="zh-CN"/>
              </w:rPr>
              <w:t>印发</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四川大竹经济开发区总体规划</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2021-2035</w:t>
            </w:r>
            <w:r>
              <w:rPr>
                <w:rFonts w:hint="default" w:ascii="Times New Roman" w:hAnsi="Times New Roman" w:cs="Times New Roman"/>
                <w:color w:val="auto"/>
                <w:kern w:val="0"/>
                <w:sz w:val="24"/>
                <w:highlight w:val="none"/>
              </w:rPr>
              <w:t>)环境影响报告书〉审查意见的函</w:t>
            </w:r>
            <w:r>
              <w:rPr>
                <w:rFonts w:hint="default" w:ascii="Times New Roman" w:hAnsi="Times New Roman" w:cs="Times New Roman"/>
                <w:bCs/>
                <w:color w:val="auto"/>
                <w:kern w:val="0"/>
                <w:sz w:val="24"/>
              </w:rPr>
              <w:t>》（达市环函</w:t>
            </w:r>
            <w:r>
              <w:rPr>
                <w:rFonts w:hint="eastAsia" w:cs="Times New Roman"/>
                <w:bCs/>
                <w:color w:val="auto"/>
                <w:kern w:val="0"/>
                <w:sz w:val="24"/>
                <w:lang w:eastAsia="zh-CN"/>
              </w:rPr>
              <w:t>〔2024〕308号</w:t>
            </w:r>
            <w:r>
              <w:rPr>
                <w:rFonts w:hint="default" w:ascii="Times New Roman" w:hAnsi="Times New Roman" w:cs="Times New Roman"/>
                <w:bCs/>
                <w:color w:val="auto"/>
                <w:kern w:val="0"/>
                <w:sz w:val="24"/>
              </w:rPr>
              <w:t>），明确了鼓励、允许、禁止入园行业名录。本项目与园区规划环评的符合性分析见表1.1-2。</w:t>
            </w:r>
          </w:p>
          <w:p w14:paraId="18101844">
            <w:pPr>
              <w:spacing w:line="240" w:lineRule="auto"/>
              <w:jc w:val="center"/>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表1.1-2  与园区规划环评的符合性分析一览表</w:t>
            </w:r>
          </w:p>
          <w:tbl>
            <w:tblPr>
              <w:tblStyle w:val="3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907"/>
              <w:gridCol w:w="4313"/>
              <w:gridCol w:w="2010"/>
              <w:gridCol w:w="518"/>
            </w:tblGrid>
            <w:tr w14:paraId="1660D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56" w:type="dxa"/>
                  <w:noWrap w:val="0"/>
                  <w:vAlign w:val="center"/>
                </w:tcPr>
                <w:p w14:paraId="1DEFF49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类别</w:t>
                  </w:r>
                </w:p>
              </w:tc>
              <w:tc>
                <w:tcPr>
                  <w:tcW w:w="5220" w:type="dxa"/>
                  <w:gridSpan w:val="2"/>
                  <w:noWrap w:val="0"/>
                  <w:vAlign w:val="center"/>
                </w:tcPr>
                <w:p w14:paraId="2F815A7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准入要求主要内容</w:t>
                  </w:r>
                </w:p>
              </w:tc>
              <w:tc>
                <w:tcPr>
                  <w:tcW w:w="2010" w:type="dxa"/>
                  <w:noWrap w:val="0"/>
                  <w:vAlign w:val="center"/>
                </w:tcPr>
                <w:p w14:paraId="50C5651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本项目情况</w:t>
                  </w:r>
                </w:p>
              </w:tc>
              <w:tc>
                <w:tcPr>
                  <w:tcW w:w="518" w:type="dxa"/>
                  <w:noWrap w:val="0"/>
                  <w:vAlign w:val="center"/>
                </w:tcPr>
                <w:p w14:paraId="2734CF8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符合性</w:t>
                  </w:r>
                </w:p>
              </w:tc>
            </w:tr>
            <w:tr w14:paraId="14F3D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noWrap w:val="0"/>
                  <w:vAlign w:val="center"/>
                </w:tcPr>
                <w:p w14:paraId="7F7B749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空间布局约束</w:t>
                  </w:r>
                </w:p>
              </w:tc>
              <w:tc>
                <w:tcPr>
                  <w:tcW w:w="907" w:type="dxa"/>
                  <w:noWrap w:val="0"/>
                  <w:vAlign w:val="center"/>
                </w:tcPr>
                <w:p w14:paraId="7E14D84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产业功能区</w:t>
                  </w:r>
                </w:p>
              </w:tc>
              <w:tc>
                <w:tcPr>
                  <w:tcW w:w="4313" w:type="dxa"/>
                  <w:noWrap w:val="0"/>
                  <w:vAlign w:val="center"/>
                </w:tcPr>
                <w:p w14:paraId="718E3CF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①禁止引入不符合国家产业政策、规划和行业准入条件、国家和地方明令禁止、清洁生产水平不能达到二级或国内先进水平的项目。</w:t>
                  </w:r>
                </w:p>
                <w:p w14:paraId="55B6C59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②禁止新建石化、化工（橡胶制品业除外，化工行业类别界定以行业主管部门要求或相关规定为准）、农药、有色和黑色金属冶炼、焦化、水泥、火电、平板玻璃、化学原料药制造、酿造、屠宰、制浆造纸、印染、制革、集成电路制造（含前工序的）、印制电路板制造、硅太阳能电池片制造（仅组装的</w:t>
                  </w:r>
                </w:p>
                <w:p w14:paraId="7CB1836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除外）、液晶显示器件制造、专业电镀项目。</w:t>
                  </w:r>
                </w:p>
                <w:p w14:paraId="5B73A4C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③禁止引入废水排放涉及重金属（汞、镉、铅、砷、铬）的项目，禁止引入不符合重金属管控要求的项目。</w:t>
                  </w:r>
                </w:p>
                <w:p w14:paraId="0795EC89">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④禁止与园区生活空间冲突或经环保论证与周边企业、规划用地等环境不相容或存在重大环境风险隐患且无法消除的项目。</w:t>
                  </w:r>
                </w:p>
              </w:tc>
              <w:tc>
                <w:tcPr>
                  <w:tcW w:w="2010" w:type="dxa"/>
                  <w:noWrap w:val="0"/>
                  <w:vAlign w:val="center"/>
                </w:tcPr>
                <w:p w14:paraId="7163DF9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本项目属于C2319包装装潢及其他印刷和C2929塑料零件及其他塑料制品制造，符合国家产业政策、规划和政策准入条件，清洁水平能达到国内先进水平；项目不属于石化、化工、农药、有色等项目；不涉及重金属排放项目；项目位于经开区，与周边环境相容。</w:t>
                  </w:r>
                </w:p>
              </w:tc>
              <w:tc>
                <w:tcPr>
                  <w:tcW w:w="518" w:type="dxa"/>
                  <w:noWrap w:val="0"/>
                  <w:vAlign w:val="center"/>
                </w:tcPr>
                <w:p w14:paraId="3417A69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符合</w:t>
                  </w:r>
                </w:p>
              </w:tc>
            </w:tr>
            <w:tr w14:paraId="17839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756" w:type="dxa"/>
                  <w:vMerge w:val="restart"/>
                  <w:noWrap w:val="0"/>
                  <w:vAlign w:val="center"/>
                </w:tcPr>
                <w:p w14:paraId="4CC8AB9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污染物排放及总量控制</w:t>
                  </w:r>
                </w:p>
              </w:tc>
              <w:tc>
                <w:tcPr>
                  <w:tcW w:w="907" w:type="dxa"/>
                  <w:noWrap w:val="0"/>
                  <w:vAlign w:val="center"/>
                </w:tcPr>
                <w:p w14:paraId="157042A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水污染物排放管控要求</w:t>
                  </w:r>
                </w:p>
              </w:tc>
              <w:tc>
                <w:tcPr>
                  <w:tcW w:w="4313" w:type="dxa"/>
                  <w:noWrap w:val="0"/>
                  <w:vAlign w:val="center"/>
                </w:tcPr>
                <w:p w14:paraId="5289317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园区废水依托大竹县工业园区污水处理厂集中处理；企业废水自建废水站预处理，出水须满足相关行业间接排放标准、《污水综合排放标准》（GB8978-1996）的三级标准或满足国家及地方要求的协议标准。</w:t>
                  </w:r>
                </w:p>
              </w:tc>
              <w:tc>
                <w:tcPr>
                  <w:tcW w:w="2010" w:type="dxa"/>
                  <w:noWrap w:val="0"/>
                  <w:vAlign w:val="center"/>
                </w:tcPr>
                <w:p w14:paraId="542871D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项目生活废水进入生化池处理达标后排入市政污水管网；冷却塔废水经厂区总排口排入市政污水管网。</w:t>
                  </w:r>
                </w:p>
              </w:tc>
              <w:tc>
                <w:tcPr>
                  <w:tcW w:w="518" w:type="dxa"/>
                  <w:noWrap w:val="0"/>
                  <w:vAlign w:val="center"/>
                </w:tcPr>
                <w:p w14:paraId="0B0D011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符合</w:t>
                  </w:r>
                </w:p>
              </w:tc>
            </w:tr>
            <w:tr w14:paraId="1E60D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8" w:hRule="atLeast"/>
                <w:jc w:val="center"/>
              </w:trPr>
              <w:tc>
                <w:tcPr>
                  <w:tcW w:w="756" w:type="dxa"/>
                  <w:vMerge w:val="continue"/>
                  <w:noWrap w:val="0"/>
                  <w:vAlign w:val="center"/>
                </w:tcPr>
                <w:p w14:paraId="4BA75A61">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07" w:type="dxa"/>
                  <w:noWrap w:val="0"/>
                  <w:vAlign w:val="center"/>
                </w:tcPr>
                <w:p w14:paraId="47B12EA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大气污染物排放管控要求</w:t>
                  </w:r>
                </w:p>
              </w:tc>
              <w:tc>
                <w:tcPr>
                  <w:tcW w:w="4313" w:type="dxa"/>
                  <w:noWrap w:val="0"/>
                  <w:vAlign w:val="center"/>
                </w:tcPr>
                <w:p w14:paraId="3B2BD07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①规划区使用天然气、电等清洁能源，禁止新引入使用燃煤等高污染燃料的项目，现有燃煤锅炉应尽快实施“煤改气”；燃气锅炉应采用低氮燃烧技术；</w:t>
                  </w:r>
                </w:p>
                <w:p w14:paraId="06EBF1D1">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②区内企业大气污染物排放应执行相应行业特别排放限值；</w:t>
                  </w:r>
                  <w:r>
                    <w:rPr>
                      <w:rFonts w:hint="eastAsia" w:ascii="Times New Roman" w:hAnsi="Times New Roman" w:eastAsia="宋体" w:cs="Times New Roman"/>
                      <w:i w:val="0"/>
                      <w:iCs w:val="0"/>
                      <w:color w:val="auto"/>
                      <w:kern w:val="0"/>
                      <w:sz w:val="21"/>
                      <w:szCs w:val="21"/>
                      <w:u w:val="none"/>
                      <w:lang w:val="en-US" w:eastAsia="zh-CN" w:bidi="ar"/>
                    </w:rPr>
                    <w:t>VOCs</w:t>
                  </w:r>
                  <w:r>
                    <w:rPr>
                      <w:rFonts w:hint="default" w:ascii="Times New Roman" w:hAnsi="Times New Roman" w:eastAsia="宋体" w:cs="Times New Roman"/>
                      <w:i w:val="0"/>
                      <w:iCs w:val="0"/>
                      <w:color w:val="auto"/>
                      <w:kern w:val="0"/>
                      <w:sz w:val="21"/>
                      <w:szCs w:val="21"/>
                      <w:u w:val="none"/>
                      <w:lang w:val="en-US" w:eastAsia="zh-CN" w:bidi="ar"/>
                    </w:rPr>
                    <w:t>排放须达到《四川省固定污染源大气挥发性有机物排放标准》（DB51/ 2377-2017）要求；</w:t>
                  </w:r>
                </w:p>
                <w:p w14:paraId="553D415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③若上一年大气环境质量不达标，规划区新增相关大气污染物须按照总量控制相关要求进行倍量削减替代。</w:t>
                  </w:r>
                </w:p>
              </w:tc>
              <w:tc>
                <w:tcPr>
                  <w:tcW w:w="2010" w:type="dxa"/>
                  <w:noWrap w:val="0"/>
                  <w:vAlign w:val="center"/>
                </w:tcPr>
                <w:p w14:paraId="24B01B6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项目不使用燃煤锅炉；项目产生的</w:t>
                  </w:r>
                  <w:r>
                    <w:rPr>
                      <w:rFonts w:hint="eastAsia" w:ascii="Times New Roman" w:hAnsi="Times New Roman" w:eastAsia="宋体" w:cs="Times New Roman"/>
                      <w:i w:val="0"/>
                      <w:iCs w:val="0"/>
                      <w:color w:val="auto"/>
                      <w:kern w:val="0"/>
                      <w:sz w:val="21"/>
                      <w:szCs w:val="21"/>
                      <w:u w:val="none"/>
                      <w:lang w:val="en-US" w:eastAsia="zh-CN" w:bidi="ar"/>
                    </w:rPr>
                    <w:t>VOCs</w:t>
                  </w:r>
                  <w:r>
                    <w:rPr>
                      <w:rFonts w:hint="default" w:ascii="Times New Roman" w:hAnsi="Times New Roman" w:eastAsia="宋体" w:cs="Times New Roman"/>
                      <w:i w:val="0"/>
                      <w:iCs w:val="0"/>
                      <w:color w:val="auto"/>
                      <w:kern w:val="0"/>
                      <w:sz w:val="21"/>
                      <w:szCs w:val="21"/>
                      <w:u w:val="none"/>
                      <w:lang w:val="en-US" w:eastAsia="zh-CN" w:bidi="ar"/>
                    </w:rPr>
                    <w:t>经“两级活性炭”处理达标后排放；项目新增大气污染物按照总量控制要求进行倍量削减替代，总量指标由生态环境主管部门核发后下达。</w:t>
                  </w:r>
                </w:p>
              </w:tc>
              <w:tc>
                <w:tcPr>
                  <w:tcW w:w="518" w:type="dxa"/>
                  <w:noWrap w:val="0"/>
                  <w:vAlign w:val="center"/>
                </w:tcPr>
                <w:p w14:paraId="0CC6AD3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符合</w:t>
                  </w:r>
                </w:p>
              </w:tc>
            </w:tr>
            <w:tr w14:paraId="25188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vMerge w:val="continue"/>
                  <w:noWrap w:val="0"/>
                  <w:vAlign w:val="center"/>
                </w:tcPr>
                <w:p w14:paraId="5EB701E1">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07" w:type="dxa"/>
                  <w:noWrap w:val="0"/>
                  <w:vAlign w:val="center"/>
                </w:tcPr>
                <w:p w14:paraId="3662A9D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危险废物安全处置要求</w:t>
                  </w:r>
                </w:p>
              </w:tc>
              <w:tc>
                <w:tcPr>
                  <w:tcW w:w="4313" w:type="dxa"/>
                  <w:noWrap w:val="0"/>
                  <w:vAlign w:val="center"/>
                </w:tcPr>
                <w:p w14:paraId="509F077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危险废物安全处置率规划近期、远期均达100%。</w:t>
                  </w:r>
                </w:p>
              </w:tc>
              <w:tc>
                <w:tcPr>
                  <w:tcW w:w="2010" w:type="dxa"/>
                  <w:noWrap w:val="0"/>
                  <w:vAlign w:val="center"/>
                </w:tcPr>
                <w:p w14:paraId="73FD205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项目危险废物全部交有资质单位处理。</w:t>
                  </w:r>
                </w:p>
              </w:tc>
              <w:tc>
                <w:tcPr>
                  <w:tcW w:w="518" w:type="dxa"/>
                  <w:noWrap w:val="0"/>
                  <w:vAlign w:val="center"/>
                </w:tcPr>
                <w:p w14:paraId="014C60A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符合</w:t>
                  </w:r>
                </w:p>
              </w:tc>
            </w:tr>
            <w:tr w14:paraId="64B87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56" w:type="dxa"/>
                  <w:vMerge w:val="continue"/>
                  <w:noWrap w:val="0"/>
                  <w:vAlign w:val="center"/>
                </w:tcPr>
                <w:p w14:paraId="54A0CC05">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07" w:type="dxa"/>
                  <w:noWrap w:val="0"/>
                  <w:vAlign w:val="center"/>
                </w:tcPr>
                <w:p w14:paraId="04D09F1F">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重金属管控要求</w:t>
                  </w:r>
                </w:p>
              </w:tc>
              <w:tc>
                <w:tcPr>
                  <w:tcW w:w="4313" w:type="dxa"/>
                  <w:noWrap w:val="0"/>
                  <w:vAlign w:val="center"/>
                </w:tcPr>
                <w:p w14:paraId="0AA4280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符合国家及省、市重金属污染防治规划要求。</w:t>
                  </w:r>
                </w:p>
              </w:tc>
              <w:tc>
                <w:tcPr>
                  <w:tcW w:w="2010" w:type="dxa"/>
                  <w:noWrap w:val="0"/>
                  <w:vAlign w:val="center"/>
                </w:tcPr>
                <w:p w14:paraId="615BEEF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项目不涉及重金属排放。</w:t>
                  </w:r>
                </w:p>
              </w:tc>
              <w:tc>
                <w:tcPr>
                  <w:tcW w:w="518" w:type="dxa"/>
                  <w:noWrap w:val="0"/>
                  <w:vAlign w:val="center"/>
                </w:tcPr>
                <w:p w14:paraId="6F2CFA6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符合</w:t>
                  </w:r>
                </w:p>
              </w:tc>
            </w:tr>
            <w:tr w14:paraId="5D914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756" w:type="dxa"/>
                  <w:vMerge w:val="continue"/>
                  <w:noWrap w:val="0"/>
                  <w:vAlign w:val="center"/>
                </w:tcPr>
                <w:p w14:paraId="3C65FAE1">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07" w:type="dxa"/>
                  <w:noWrap w:val="0"/>
                  <w:vAlign w:val="center"/>
                </w:tcPr>
                <w:p w14:paraId="140672C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新污染物管控要求</w:t>
                  </w:r>
                </w:p>
              </w:tc>
              <w:tc>
                <w:tcPr>
                  <w:tcW w:w="4313" w:type="dxa"/>
                  <w:noWrap w:val="0"/>
                  <w:vAlign w:val="center"/>
                </w:tcPr>
                <w:p w14:paraId="610061D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①禁止引入不符合《重点管控新污染物清单（2023年版）》的项目；②严格落实《四川省新污染物治理工作方案</w:t>
                  </w: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关于加强涉新污染物工业企业环境管理的通知</w:t>
                  </w: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达州市新污染物治理实施方案》提出的相关要求。</w:t>
                  </w:r>
                </w:p>
              </w:tc>
              <w:tc>
                <w:tcPr>
                  <w:tcW w:w="2010" w:type="dxa"/>
                  <w:noWrap w:val="0"/>
                  <w:vAlign w:val="center"/>
                </w:tcPr>
                <w:p w14:paraId="5A0334D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项目不涉及新污染物排放。</w:t>
                  </w:r>
                </w:p>
              </w:tc>
              <w:tc>
                <w:tcPr>
                  <w:tcW w:w="518" w:type="dxa"/>
                  <w:noWrap w:val="0"/>
                  <w:vAlign w:val="center"/>
                </w:tcPr>
                <w:p w14:paraId="0513FC5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符合</w:t>
                  </w:r>
                </w:p>
              </w:tc>
            </w:tr>
            <w:tr w14:paraId="4AF5C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56" w:type="dxa"/>
                  <w:vMerge w:val="continue"/>
                  <w:noWrap w:val="0"/>
                  <w:vAlign w:val="center"/>
                </w:tcPr>
                <w:p w14:paraId="49F22979">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07" w:type="dxa"/>
                  <w:noWrap w:val="0"/>
                  <w:vAlign w:val="center"/>
                </w:tcPr>
                <w:p w14:paraId="2F8A1E84">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总量控制要求</w:t>
                  </w:r>
                </w:p>
              </w:tc>
              <w:tc>
                <w:tcPr>
                  <w:tcW w:w="4313" w:type="dxa"/>
                  <w:noWrap w:val="0"/>
                  <w:vAlign w:val="center"/>
                </w:tcPr>
                <w:p w14:paraId="2681039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污染物排放须落实总量指标。</w:t>
                  </w:r>
                </w:p>
              </w:tc>
              <w:tc>
                <w:tcPr>
                  <w:tcW w:w="2010" w:type="dxa"/>
                  <w:noWrap w:val="0"/>
                  <w:vAlign w:val="center"/>
                </w:tcPr>
                <w:p w14:paraId="11C00BC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项目落实总量指标</w:t>
                  </w: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0000FF"/>
                      <w:kern w:val="0"/>
                      <w:sz w:val="21"/>
                      <w:szCs w:val="21"/>
                      <w:u w:val="none"/>
                      <w:lang w:val="en-US" w:eastAsia="zh-CN" w:bidi="ar"/>
                    </w:rPr>
                    <w:t>总量指标由生态环境主管部门核发后下达。</w:t>
                  </w:r>
                </w:p>
              </w:tc>
              <w:tc>
                <w:tcPr>
                  <w:tcW w:w="518" w:type="dxa"/>
                  <w:noWrap w:val="0"/>
                  <w:vAlign w:val="center"/>
                </w:tcPr>
                <w:p w14:paraId="30C6BF4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符合</w:t>
                  </w:r>
                </w:p>
              </w:tc>
            </w:tr>
            <w:tr w14:paraId="5B2AA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56" w:type="dxa"/>
                  <w:noWrap w:val="0"/>
                  <w:vAlign w:val="center"/>
                </w:tcPr>
                <w:p w14:paraId="29FF43E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环境风险防控</w:t>
                  </w:r>
                </w:p>
              </w:tc>
              <w:tc>
                <w:tcPr>
                  <w:tcW w:w="5220" w:type="dxa"/>
                  <w:gridSpan w:val="2"/>
                  <w:noWrap w:val="0"/>
                  <w:vAlign w:val="center"/>
                </w:tcPr>
                <w:p w14:paraId="1F93F06C">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园区和各企业应加强风险措施防范，编制突发环境事件应急预案。加强应急演练，园区演练频率不得低于每年一次。建立园区三级防控体系，禁止园区事故废水外排。</w:t>
                  </w:r>
                </w:p>
              </w:tc>
              <w:tc>
                <w:tcPr>
                  <w:tcW w:w="2010" w:type="dxa"/>
                  <w:noWrap w:val="0"/>
                  <w:vAlign w:val="center"/>
                </w:tcPr>
                <w:p w14:paraId="2274E1D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项目严格落实本次评价提出的环境风险防范措施后，环境风险可控。</w:t>
                  </w:r>
                </w:p>
              </w:tc>
              <w:tc>
                <w:tcPr>
                  <w:tcW w:w="518" w:type="dxa"/>
                  <w:noWrap w:val="0"/>
                  <w:vAlign w:val="center"/>
                </w:tcPr>
                <w:p w14:paraId="2C40EFD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符合</w:t>
                  </w:r>
                </w:p>
              </w:tc>
            </w:tr>
          </w:tbl>
          <w:p w14:paraId="74AF4858">
            <w:pPr>
              <w:pStyle w:val="53"/>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bCs/>
                <w:color w:val="auto"/>
                <w:kern w:val="0"/>
                <w:sz w:val="24"/>
              </w:rPr>
            </w:pPr>
            <w:r>
              <w:rPr>
                <w:rFonts w:hint="default" w:ascii="Times New Roman" w:hAnsi="Times New Roman" w:cs="Times New Roman"/>
                <w:bCs/>
                <w:color w:val="auto"/>
                <w:kern w:val="0"/>
                <w:sz w:val="24"/>
              </w:rPr>
              <w:t>综上所述，本项目的建设符合园区规划环评的要求。</w:t>
            </w:r>
          </w:p>
          <w:p w14:paraId="18CF726C">
            <w:pPr>
              <w:spacing w:line="360" w:lineRule="auto"/>
              <w:ind w:firstLine="482"/>
              <w:rPr>
                <w:bCs/>
                <w:color w:val="auto"/>
              </w:rPr>
            </w:pPr>
            <w:r>
              <w:rPr>
                <w:rFonts w:hint="eastAsia"/>
                <w:bCs/>
                <w:color w:val="auto"/>
                <w:sz w:val="24"/>
              </w:rPr>
              <w:t>（2）与规划环评审查意见符合性</w:t>
            </w:r>
          </w:p>
          <w:p w14:paraId="6CDD4A11">
            <w:pPr>
              <w:spacing w:line="360" w:lineRule="auto"/>
              <w:ind w:firstLine="482"/>
              <w:rPr>
                <w:color w:val="auto"/>
                <w:sz w:val="24"/>
              </w:rPr>
            </w:pPr>
            <w:r>
              <w:rPr>
                <w:rFonts w:hint="eastAsia"/>
                <w:color w:val="auto"/>
                <w:sz w:val="24"/>
              </w:rPr>
              <w:t>根据《关于印发〈四川大竹经济开发区总体规划（2021-2035）环境影响报告书〉审查意见的函》（</w:t>
            </w:r>
            <w:r>
              <w:rPr>
                <w:rFonts w:hint="eastAsia"/>
                <w:color w:val="auto"/>
                <w:kern w:val="0"/>
                <w:sz w:val="24"/>
              </w:rPr>
              <w:t>达市环函</w:t>
            </w:r>
            <w:r>
              <w:rPr>
                <w:color w:val="auto"/>
                <w:kern w:val="0"/>
                <w:sz w:val="24"/>
              </w:rPr>
              <w:t>〔2024〕308</w:t>
            </w:r>
            <w:r>
              <w:rPr>
                <w:rFonts w:hint="eastAsia" w:ascii="宋体" w:hAnsi="宋体" w:cs="宋体"/>
                <w:color w:val="auto"/>
                <w:kern w:val="0"/>
                <w:sz w:val="24"/>
              </w:rPr>
              <w:t>号</w:t>
            </w:r>
            <w:r>
              <w:rPr>
                <w:rFonts w:hint="eastAsia"/>
                <w:color w:val="auto"/>
                <w:sz w:val="24"/>
              </w:rPr>
              <w:t>），本项目与该意见的符合性分析如下：</w:t>
            </w:r>
          </w:p>
          <w:p w14:paraId="15796ED8">
            <w:pPr>
              <w:jc w:val="center"/>
              <w:rPr>
                <w:b/>
                <w:bCs/>
                <w:color w:val="auto"/>
                <w:spacing w:val="-3"/>
                <w:sz w:val="24"/>
              </w:rPr>
            </w:pPr>
            <w:r>
              <w:rPr>
                <w:rFonts w:hint="eastAsia"/>
                <w:b/>
                <w:bCs/>
                <w:color w:val="auto"/>
                <w:spacing w:val="-3"/>
                <w:sz w:val="24"/>
              </w:rPr>
              <w:t>表1</w:t>
            </w:r>
            <w:r>
              <w:rPr>
                <w:b/>
                <w:bCs/>
                <w:color w:val="auto"/>
                <w:spacing w:val="-3"/>
                <w:sz w:val="24"/>
              </w:rPr>
              <w:t xml:space="preserve">.1-3 </w:t>
            </w:r>
            <w:r>
              <w:rPr>
                <w:rFonts w:hint="eastAsia"/>
                <w:b/>
                <w:bCs/>
                <w:color w:val="auto"/>
                <w:spacing w:val="-3"/>
                <w:sz w:val="24"/>
              </w:rPr>
              <w:t xml:space="preserve"> 本项目与规划环评审查意见的符合性分析</w:t>
            </w:r>
          </w:p>
          <w:tbl>
            <w:tblPr>
              <w:tblStyle w:val="35"/>
              <w:tblW w:w="825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499"/>
              <w:gridCol w:w="4372"/>
              <w:gridCol w:w="2654"/>
              <w:gridCol w:w="732"/>
            </w:tblGrid>
            <w:tr w14:paraId="2F4425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3" w:hRule="atLeast"/>
                <w:tblHeader/>
                <w:jc w:val="center"/>
              </w:trPr>
              <w:tc>
                <w:tcPr>
                  <w:tcW w:w="499" w:type="dxa"/>
                  <w:noWrap w:val="0"/>
                  <w:vAlign w:val="center"/>
                </w:tcPr>
                <w:p w14:paraId="440194E2">
                  <w:pPr>
                    <w:widowControl/>
                    <w:jc w:val="center"/>
                    <w:rPr>
                      <w:b/>
                      <w:color w:val="auto"/>
                      <w:szCs w:val="21"/>
                    </w:rPr>
                  </w:pPr>
                  <w:r>
                    <w:rPr>
                      <w:rFonts w:hint="eastAsia"/>
                      <w:b/>
                      <w:color w:val="auto"/>
                      <w:szCs w:val="21"/>
                    </w:rPr>
                    <w:t>序号</w:t>
                  </w:r>
                </w:p>
              </w:tc>
              <w:tc>
                <w:tcPr>
                  <w:tcW w:w="4372" w:type="dxa"/>
                  <w:noWrap w:val="0"/>
                  <w:vAlign w:val="center"/>
                </w:tcPr>
                <w:p w14:paraId="4813F11C">
                  <w:pPr>
                    <w:widowControl/>
                    <w:jc w:val="center"/>
                    <w:rPr>
                      <w:b/>
                      <w:bCs/>
                      <w:color w:val="auto"/>
                      <w:kern w:val="0"/>
                      <w:szCs w:val="21"/>
                      <w:lang w:bidi="ar"/>
                    </w:rPr>
                  </w:pPr>
                  <w:r>
                    <w:rPr>
                      <w:b/>
                      <w:bCs/>
                      <w:color w:val="auto"/>
                      <w:kern w:val="0"/>
                      <w:szCs w:val="21"/>
                      <w:lang w:bidi="ar"/>
                    </w:rPr>
                    <w:t>审查意见</w:t>
                  </w:r>
                  <w:r>
                    <w:rPr>
                      <w:rFonts w:hint="eastAsia"/>
                      <w:b/>
                      <w:bCs/>
                      <w:color w:val="auto"/>
                      <w:kern w:val="0"/>
                      <w:szCs w:val="21"/>
                      <w:lang w:bidi="ar"/>
                    </w:rPr>
                    <w:t>原文</w:t>
                  </w:r>
                </w:p>
              </w:tc>
              <w:tc>
                <w:tcPr>
                  <w:tcW w:w="2654" w:type="dxa"/>
                  <w:noWrap w:val="0"/>
                  <w:vAlign w:val="center"/>
                </w:tcPr>
                <w:p w14:paraId="4B849626">
                  <w:pPr>
                    <w:jc w:val="center"/>
                    <w:rPr>
                      <w:b/>
                      <w:color w:val="auto"/>
                      <w:szCs w:val="21"/>
                    </w:rPr>
                  </w:pPr>
                  <w:r>
                    <w:rPr>
                      <w:b/>
                      <w:color w:val="auto"/>
                      <w:szCs w:val="21"/>
                    </w:rPr>
                    <w:t>本项目情况</w:t>
                  </w:r>
                </w:p>
              </w:tc>
              <w:tc>
                <w:tcPr>
                  <w:tcW w:w="732" w:type="dxa"/>
                  <w:noWrap w:val="0"/>
                  <w:vAlign w:val="center"/>
                </w:tcPr>
                <w:p w14:paraId="73BC028D">
                  <w:pPr>
                    <w:jc w:val="center"/>
                    <w:rPr>
                      <w:b/>
                      <w:color w:val="auto"/>
                      <w:szCs w:val="21"/>
                    </w:rPr>
                  </w:pPr>
                  <w:r>
                    <w:rPr>
                      <w:b/>
                      <w:color w:val="auto"/>
                      <w:szCs w:val="21"/>
                    </w:rPr>
                    <w:t>符合性</w:t>
                  </w:r>
                </w:p>
              </w:tc>
            </w:tr>
            <w:tr w14:paraId="5D1EE64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499" w:type="dxa"/>
                  <w:noWrap w:val="0"/>
                  <w:vAlign w:val="center"/>
                </w:tcPr>
                <w:p w14:paraId="4F68AE03">
                  <w:pPr>
                    <w:widowControl/>
                    <w:jc w:val="center"/>
                    <w:rPr>
                      <w:color w:val="auto"/>
                      <w:szCs w:val="21"/>
                    </w:rPr>
                  </w:pPr>
                  <w:r>
                    <w:rPr>
                      <w:rFonts w:hint="eastAsia"/>
                      <w:color w:val="auto"/>
                      <w:szCs w:val="21"/>
                    </w:rPr>
                    <w:t>1</w:t>
                  </w:r>
                </w:p>
              </w:tc>
              <w:tc>
                <w:tcPr>
                  <w:tcW w:w="4372" w:type="dxa"/>
                  <w:noWrap w:val="0"/>
                  <w:vAlign w:val="center"/>
                </w:tcPr>
                <w:p w14:paraId="35C77029">
                  <w:pPr>
                    <w:widowControl/>
                    <w:jc w:val="left"/>
                    <w:rPr>
                      <w:color w:val="auto"/>
                      <w:szCs w:val="21"/>
                    </w:rPr>
                  </w:pPr>
                  <w:r>
                    <w:rPr>
                      <w:rFonts w:hint="eastAsia"/>
                      <w:b/>
                      <w:bCs/>
                      <w:color w:val="auto"/>
                      <w:kern w:val="0"/>
                      <w:szCs w:val="21"/>
                      <w:lang w:bidi="ar"/>
                    </w:rPr>
                    <w:t>（</w:t>
                  </w:r>
                  <w:r>
                    <w:rPr>
                      <w:b/>
                      <w:bCs/>
                      <w:color w:val="auto"/>
                      <w:kern w:val="0"/>
                      <w:szCs w:val="21"/>
                      <w:lang w:bidi="ar"/>
                    </w:rPr>
                    <w:t>二）严格生态环境准入。</w:t>
                  </w:r>
                  <w:r>
                    <w:rPr>
                      <w:color w:val="auto"/>
                      <w:kern w:val="0"/>
                      <w:szCs w:val="21"/>
                      <w:lang w:bidi="ar"/>
                    </w:rPr>
                    <w:t>按照《报告书》提出的《规划》优化调整建议﹑生态环境准入</w:t>
                  </w:r>
                  <w:r>
                    <w:rPr>
                      <w:rFonts w:hint="eastAsia"/>
                      <w:color w:val="auto"/>
                      <w:kern w:val="0"/>
                      <w:szCs w:val="21"/>
                      <w:lang w:bidi="ar"/>
                    </w:rPr>
                    <w:t>清单</w:t>
                  </w:r>
                  <w:r>
                    <w:rPr>
                      <w:color w:val="auto"/>
                      <w:kern w:val="0"/>
                      <w:szCs w:val="21"/>
                      <w:lang w:bidi="ar"/>
                    </w:rPr>
                    <w:t>，做好园区的项目引入和规划建设工作。</w:t>
                  </w:r>
                  <w:r>
                    <w:rPr>
                      <w:rFonts w:hint="eastAsia"/>
                      <w:color w:val="auto"/>
                      <w:kern w:val="0"/>
                      <w:szCs w:val="21"/>
                      <w:lang w:bidi="ar"/>
                    </w:rPr>
                    <w:t>新引入项目应严格落实重金属和新污染物相关管控要求，确保水环境安全</w:t>
                  </w:r>
                </w:p>
              </w:tc>
              <w:tc>
                <w:tcPr>
                  <w:tcW w:w="2654" w:type="dxa"/>
                  <w:noWrap w:val="0"/>
                  <w:vAlign w:val="center"/>
                </w:tcPr>
                <w:p w14:paraId="3365C969">
                  <w:pPr>
                    <w:widowControl/>
                    <w:jc w:val="center"/>
                    <w:rPr>
                      <w:color w:val="auto"/>
                      <w:szCs w:val="21"/>
                    </w:rPr>
                  </w:pPr>
                  <w:r>
                    <w:rPr>
                      <w:rFonts w:hint="eastAsia"/>
                      <w:color w:val="auto"/>
                      <w:szCs w:val="21"/>
                    </w:rPr>
                    <w:t>本项目属于C2319包装装潢及其他印刷和C2929塑料零件及其他塑料制品制造，主要生产手机充电器零部件、路由器等，与园区产业规划不冲突，符合园区规划</w:t>
                  </w:r>
                  <w:r>
                    <w:rPr>
                      <w:color w:val="auto"/>
                      <w:kern w:val="0"/>
                      <w:szCs w:val="21"/>
                      <w:lang w:bidi="ar"/>
                    </w:rPr>
                    <w:t>。</w:t>
                  </w:r>
                  <w:r>
                    <w:rPr>
                      <w:rFonts w:hint="eastAsia"/>
                      <w:color w:val="auto"/>
                      <w:kern w:val="0"/>
                      <w:szCs w:val="21"/>
                      <w:lang w:bidi="ar"/>
                    </w:rPr>
                    <w:t>项目不涉及重金属和新污染物排放。</w:t>
                  </w:r>
                </w:p>
              </w:tc>
              <w:tc>
                <w:tcPr>
                  <w:tcW w:w="732" w:type="dxa"/>
                  <w:noWrap w:val="0"/>
                  <w:vAlign w:val="center"/>
                </w:tcPr>
                <w:p w14:paraId="63953D68">
                  <w:pPr>
                    <w:widowControl/>
                    <w:jc w:val="center"/>
                    <w:rPr>
                      <w:color w:val="auto"/>
                      <w:szCs w:val="21"/>
                    </w:rPr>
                  </w:pPr>
                  <w:r>
                    <w:rPr>
                      <w:color w:val="auto"/>
                      <w:szCs w:val="21"/>
                    </w:rPr>
                    <w:t>符合</w:t>
                  </w:r>
                </w:p>
              </w:tc>
            </w:tr>
            <w:tr w14:paraId="6F20F58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499" w:type="dxa"/>
                  <w:noWrap w:val="0"/>
                  <w:vAlign w:val="center"/>
                </w:tcPr>
                <w:p w14:paraId="1545F1BC">
                  <w:pPr>
                    <w:jc w:val="center"/>
                    <w:rPr>
                      <w:color w:val="auto"/>
                      <w:szCs w:val="21"/>
                    </w:rPr>
                  </w:pPr>
                  <w:r>
                    <w:rPr>
                      <w:rFonts w:hint="eastAsia"/>
                      <w:color w:val="auto"/>
                      <w:szCs w:val="21"/>
                    </w:rPr>
                    <w:t>2</w:t>
                  </w:r>
                </w:p>
              </w:tc>
              <w:tc>
                <w:tcPr>
                  <w:tcW w:w="4372" w:type="dxa"/>
                  <w:noWrap w:val="0"/>
                  <w:vAlign w:val="center"/>
                </w:tcPr>
                <w:p w14:paraId="1B6142F1">
                  <w:pPr>
                    <w:widowControl/>
                    <w:jc w:val="left"/>
                    <w:rPr>
                      <w:color w:val="auto"/>
                      <w:szCs w:val="21"/>
                    </w:rPr>
                  </w:pPr>
                  <w:r>
                    <w:rPr>
                      <w:rFonts w:hint="eastAsia"/>
                      <w:b/>
                      <w:bCs/>
                      <w:color w:val="auto"/>
                      <w:kern w:val="0"/>
                      <w:szCs w:val="21"/>
                      <w:lang w:bidi="ar"/>
                    </w:rPr>
                    <w:t>（</w:t>
                  </w:r>
                  <w:r>
                    <w:rPr>
                      <w:b/>
                      <w:bCs/>
                      <w:color w:val="auto"/>
                      <w:kern w:val="0"/>
                      <w:szCs w:val="21"/>
                      <w:lang w:bidi="ar"/>
                    </w:rPr>
                    <w:t>三）严格空间管控、优化功能布局。</w:t>
                  </w:r>
                  <w:r>
                    <w:rPr>
                      <w:color w:val="auto"/>
                      <w:kern w:val="0"/>
                      <w:szCs w:val="21"/>
                      <w:lang w:bidi="ar"/>
                    </w:rPr>
                    <w:t>《规划》应符合达州市</w:t>
                  </w:r>
                  <w:r>
                    <w:rPr>
                      <w:rFonts w:hint="eastAsia"/>
                      <w:color w:val="auto"/>
                      <w:kern w:val="0"/>
                      <w:szCs w:val="21"/>
                      <w:lang w:bidi="ar"/>
                    </w:rPr>
                    <w:t>、大竹县</w:t>
                  </w:r>
                  <w:r>
                    <w:rPr>
                      <w:color w:val="auto"/>
                      <w:kern w:val="0"/>
                      <w:szCs w:val="21"/>
                      <w:lang w:bidi="ar"/>
                    </w:rPr>
                    <w:t>国土空间总体规划，规划建设应严格落实自然资源部关于做好城镇开发边界管理的相关要求</w:t>
                  </w:r>
                  <w:r>
                    <w:rPr>
                      <w:rFonts w:hint="eastAsia"/>
                      <w:color w:val="auto"/>
                      <w:kern w:val="0"/>
                      <w:szCs w:val="21"/>
                      <w:lang w:bidi="ar"/>
                    </w:rPr>
                    <w:t>，临近四川省百岛湖湿地公园、四川五峰山国家级森林公园和居民聚集区的新引入项目应充分论证选址合理性和环境相容性，合理设置环境防护距离，环境防护距离内不得有居民区、学校、医院等环境敏感目标</w:t>
                  </w:r>
                  <w:r>
                    <w:rPr>
                      <w:color w:val="auto"/>
                      <w:kern w:val="0"/>
                      <w:szCs w:val="21"/>
                      <w:lang w:bidi="ar"/>
                    </w:rPr>
                    <w:t>。</w:t>
                  </w:r>
                </w:p>
              </w:tc>
              <w:tc>
                <w:tcPr>
                  <w:tcW w:w="2654" w:type="dxa"/>
                  <w:noWrap w:val="0"/>
                  <w:vAlign w:val="center"/>
                </w:tcPr>
                <w:p w14:paraId="2784ACA1">
                  <w:pPr>
                    <w:widowControl/>
                    <w:jc w:val="center"/>
                    <w:rPr>
                      <w:color w:val="auto"/>
                      <w:szCs w:val="21"/>
                    </w:rPr>
                  </w:pPr>
                  <w:r>
                    <w:rPr>
                      <w:color w:val="auto"/>
                      <w:kern w:val="0"/>
                      <w:szCs w:val="21"/>
                      <w:lang w:bidi="ar"/>
                    </w:rPr>
                    <w:t>本项目</w:t>
                  </w:r>
                  <w:r>
                    <w:rPr>
                      <w:rFonts w:hint="eastAsia"/>
                      <w:color w:val="auto"/>
                      <w:szCs w:val="21"/>
                    </w:rPr>
                    <w:t>周围为规划的工业用地，项目与周围环境是相容的。</w:t>
                  </w:r>
                </w:p>
              </w:tc>
              <w:tc>
                <w:tcPr>
                  <w:tcW w:w="732" w:type="dxa"/>
                  <w:noWrap w:val="0"/>
                  <w:vAlign w:val="center"/>
                </w:tcPr>
                <w:p w14:paraId="6C8200BA">
                  <w:pPr>
                    <w:jc w:val="center"/>
                    <w:rPr>
                      <w:color w:val="auto"/>
                      <w:szCs w:val="21"/>
                    </w:rPr>
                  </w:pPr>
                  <w:r>
                    <w:rPr>
                      <w:color w:val="auto"/>
                      <w:szCs w:val="21"/>
                    </w:rPr>
                    <w:t>符合</w:t>
                  </w:r>
                </w:p>
              </w:tc>
            </w:tr>
            <w:tr w14:paraId="186736A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499" w:type="dxa"/>
                  <w:noWrap w:val="0"/>
                  <w:vAlign w:val="center"/>
                </w:tcPr>
                <w:p w14:paraId="449159D2">
                  <w:pPr>
                    <w:jc w:val="center"/>
                    <w:rPr>
                      <w:color w:val="auto"/>
                      <w:szCs w:val="21"/>
                    </w:rPr>
                  </w:pPr>
                  <w:r>
                    <w:rPr>
                      <w:rFonts w:hint="eastAsia"/>
                      <w:color w:val="auto"/>
                      <w:szCs w:val="21"/>
                    </w:rPr>
                    <w:t>3</w:t>
                  </w:r>
                </w:p>
              </w:tc>
              <w:tc>
                <w:tcPr>
                  <w:tcW w:w="4372" w:type="dxa"/>
                  <w:noWrap w:val="0"/>
                  <w:vAlign w:val="center"/>
                </w:tcPr>
                <w:p w14:paraId="3C4E92FE">
                  <w:pPr>
                    <w:widowControl/>
                    <w:numPr>
                      <w:ilvl w:val="0"/>
                      <w:numId w:val="3"/>
                    </w:numPr>
                    <w:jc w:val="left"/>
                    <w:rPr>
                      <w:color w:val="auto"/>
                      <w:kern w:val="0"/>
                      <w:szCs w:val="21"/>
                      <w:lang w:bidi="ar"/>
                    </w:rPr>
                  </w:pPr>
                  <w:r>
                    <w:rPr>
                      <w:b/>
                      <w:bCs/>
                      <w:color w:val="auto"/>
                      <w:kern w:val="0"/>
                      <w:szCs w:val="21"/>
                      <w:lang w:bidi="ar"/>
                    </w:rPr>
                    <w:t>严守环境</w:t>
                  </w:r>
                  <w:r>
                    <w:rPr>
                      <w:rFonts w:hint="eastAsia"/>
                      <w:b/>
                      <w:bCs/>
                      <w:color w:val="auto"/>
                      <w:kern w:val="0"/>
                      <w:szCs w:val="21"/>
                      <w:lang w:bidi="ar"/>
                    </w:rPr>
                    <w:t>质量</w:t>
                  </w:r>
                  <w:r>
                    <w:rPr>
                      <w:b/>
                      <w:bCs/>
                      <w:color w:val="auto"/>
                      <w:kern w:val="0"/>
                      <w:szCs w:val="21"/>
                      <w:lang w:bidi="ar"/>
                    </w:rPr>
                    <w:t>底线。</w:t>
                  </w:r>
                  <w:r>
                    <w:rPr>
                      <w:rFonts w:hint="eastAsia"/>
                      <w:color w:val="auto"/>
                      <w:kern w:val="0"/>
                      <w:szCs w:val="21"/>
                      <w:lang w:bidi="ar"/>
                    </w:rPr>
                    <w:t>按照大气污染防治相关要求，加强区域大气污染防治防控，严格落实《四川省空气质量持续改善行动计划实施方案》《四川省2023</w:t>
                  </w:r>
                  <w:r>
                    <w:rPr>
                      <w:rFonts w:hint="eastAsia"/>
                      <w:color w:val="auto"/>
                      <w:kern w:val="0"/>
                      <w:szCs w:val="21"/>
                      <w:lang w:eastAsia="zh-CN" w:bidi="ar"/>
                    </w:rPr>
                    <w:t>—</w:t>
                  </w:r>
                  <w:r>
                    <w:rPr>
                      <w:rFonts w:hint="eastAsia"/>
                      <w:color w:val="auto"/>
                      <w:kern w:val="0"/>
                      <w:szCs w:val="21"/>
                      <w:lang w:bidi="ar"/>
                    </w:rPr>
                    <w:t>2025年工业源专项整治行动实施方案》《达州市大气环境质量限期达标规划（2018</w:t>
                  </w:r>
                  <w:r>
                    <w:rPr>
                      <w:rFonts w:hint="eastAsia"/>
                      <w:color w:val="auto"/>
                      <w:kern w:val="0"/>
                      <w:szCs w:val="21"/>
                      <w:lang w:eastAsia="zh-CN" w:bidi="ar"/>
                    </w:rPr>
                    <w:t>—</w:t>
                  </w:r>
                  <w:r>
                    <w:rPr>
                      <w:rFonts w:hint="eastAsia"/>
                      <w:color w:val="auto"/>
                      <w:kern w:val="0"/>
                      <w:szCs w:val="21"/>
                      <w:lang w:bidi="ar"/>
                    </w:rPr>
                    <w:t>2030年）》《大竹县环境空气质量达标规划（2024</w:t>
                  </w:r>
                  <w:r>
                    <w:rPr>
                      <w:rFonts w:hint="eastAsia"/>
                      <w:color w:val="auto"/>
                      <w:kern w:val="0"/>
                      <w:szCs w:val="21"/>
                      <w:lang w:eastAsia="zh-CN" w:bidi="ar"/>
                    </w:rPr>
                    <w:t>—</w:t>
                  </w:r>
                  <w:r>
                    <w:rPr>
                      <w:rFonts w:hint="eastAsia"/>
                      <w:color w:val="auto"/>
                      <w:kern w:val="0"/>
                      <w:szCs w:val="21"/>
                      <w:lang w:bidi="ar"/>
                    </w:rPr>
                    <w:t>2035年）》等要求，优化产业结构，加大区域工程减排力度，强化企业废气无组织排放管控，严格控制大气污染物排放总量，持续改善区域大气环境质量</w:t>
                  </w:r>
                </w:p>
                <w:p w14:paraId="6A0E534A">
                  <w:pPr>
                    <w:widowControl/>
                    <w:numPr>
                      <w:ilvl w:val="0"/>
                      <w:numId w:val="0"/>
                    </w:numPr>
                    <w:jc w:val="left"/>
                    <w:rPr>
                      <w:color w:val="auto"/>
                      <w:kern w:val="0"/>
                      <w:szCs w:val="21"/>
                      <w:lang w:bidi="ar"/>
                    </w:rPr>
                  </w:pPr>
                  <w:r>
                    <w:rPr>
                      <w:rFonts w:hint="eastAsia"/>
                      <w:color w:val="auto"/>
                      <w:kern w:val="0"/>
                      <w:szCs w:val="21"/>
                      <w:lang w:bidi="ar"/>
                    </w:rPr>
                    <w:t>按照水污染防治相关要求，严格落实《达州市水生态环境保护“十四五”规划》《四川省达州市大竹县东柳河一河一策管理保护方案（2021</w:t>
                  </w:r>
                  <w:r>
                    <w:rPr>
                      <w:rFonts w:hint="eastAsia"/>
                      <w:color w:val="auto"/>
                      <w:kern w:val="0"/>
                      <w:szCs w:val="21"/>
                      <w:lang w:eastAsia="zh-CN" w:bidi="ar"/>
                    </w:rPr>
                    <w:t>—</w:t>
                  </w:r>
                  <w:r>
                    <w:rPr>
                      <w:rFonts w:hint="eastAsia"/>
                      <w:color w:val="auto"/>
                      <w:kern w:val="0"/>
                      <w:szCs w:val="21"/>
                      <w:lang w:bidi="ar"/>
                    </w:rPr>
                    <w:t>2025年）》《大竹县东柳河流域综合治理工作方案》《大竹县“十四五”生态环境保护规划》等相关要求，严控水污染物排放总量，持续改善区域地表水环境质量。</w:t>
                  </w:r>
                </w:p>
                <w:p w14:paraId="342D732D">
                  <w:pPr>
                    <w:widowControl/>
                    <w:numPr>
                      <w:ilvl w:val="0"/>
                      <w:numId w:val="0"/>
                    </w:numPr>
                    <w:jc w:val="left"/>
                    <w:rPr>
                      <w:color w:val="auto"/>
                      <w:kern w:val="0"/>
                      <w:szCs w:val="21"/>
                      <w:lang w:bidi="ar"/>
                    </w:rPr>
                  </w:pPr>
                  <w:r>
                    <w:rPr>
                      <w:rFonts w:hint="eastAsia"/>
                      <w:color w:val="auto"/>
                      <w:kern w:val="0"/>
                      <w:szCs w:val="21"/>
                      <w:lang w:bidi="ar"/>
                    </w:rPr>
                    <w:t>严格规范固体废物（特别是危险废物）的收集暂存、转运、利用及处置过程的环境管理，采取有效、可靠的防范措施，防止产生二次污染。</w:t>
                  </w:r>
                </w:p>
              </w:tc>
              <w:tc>
                <w:tcPr>
                  <w:tcW w:w="2654" w:type="dxa"/>
                  <w:noWrap w:val="0"/>
                  <w:vAlign w:val="center"/>
                </w:tcPr>
                <w:p w14:paraId="1371353F">
                  <w:pPr>
                    <w:widowControl/>
                    <w:jc w:val="center"/>
                    <w:rPr>
                      <w:color w:val="auto"/>
                      <w:szCs w:val="21"/>
                    </w:rPr>
                  </w:pPr>
                  <w:r>
                    <w:rPr>
                      <w:color w:val="auto"/>
                      <w:kern w:val="0"/>
                      <w:szCs w:val="21"/>
                      <w:lang w:bidi="ar"/>
                    </w:rPr>
                    <w:t>本项目</w:t>
                  </w:r>
                  <w:r>
                    <w:rPr>
                      <w:rFonts w:hint="eastAsia"/>
                      <w:color w:val="auto"/>
                      <w:kern w:val="0"/>
                      <w:szCs w:val="21"/>
                      <w:lang w:bidi="ar"/>
                    </w:rPr>
                    <w:t>严格落实相关大气污染防治措施，使产生的大气污染物排放值符合要求，</w:t>
                  </w:r>
                  <w:r>
                    <w:rPr>
                      <w:rFonts w:hint="eastAsia"/>
                      <w:bCs/>
                      <w:color w:val="auto"/>
                      <w:szCs w:val="21"/>
                    </w:rPr>
                    <w:t>新增大气污染物</w:t>
                  </w:r>
                  <w:r>
                    <w:rPr>
                      <w:color w:val="auto"/>
                      <w:kern w:val="0"/>
                      <w:szCs w:val="21"/>
                      <w:lang w:bidi="ar"/>
                    </w:rPr>
                    <w:t>实施总量削减替代</w:t>
                  </w:r>
                  <w:r>
                    <w:rPr>
                      <w:rFonts w:hint="eastAsia"/>
                      <w:color w:val="auto"/>
                      <w:kern w:val="0"/>
                      <w:szCs w:val="21"/>
                      <w:lang w:bidi="ar"/>
                    </w:rPr>
                    <w:t>；本项目</w:t>
                  </w:r>
                  <w:r>
                    <w:rPr>
                      <w:rFonts w:hint="eastAsia"/>
                      <w:color w:val="auto"/>
                      <w:kern w:val="0"/>
                      <w:szCs w:val="21"/>
                      <w:lang w:val="en-US" w:eastAsia="zh-CN" w:bidi="ar"/>
                    </w:rPr>
                    <w:t>废水</w:t>
                  </w:r>
                  <w:r>
                    <w:rPr>
                      <w:rFonts w:hint="eastAsia"/>
                      <w:color w:val="auto"/>
                      <w:kern w:val="0"/>
                      <w:szCs w:val="21"/>
                      <w:lang w:bidi="ar"/>
                    </w:rPr>
                    <w:t>经生化池预处理后通过市政污水管网排入大竹县工业园区污水处理厂处理；固废（特别是危险废物）均得到</w:t>
                  </w:r>
                  <w:r>
                    <w:rPr>
                      <w:rFonts w:hint="eastAsia"/>
                      <w:color w:val="auto"/>
                      <w:kern w:val="0"/>
                      <w:szCs w:val="21"/>
                      <w:lang w:eastAsia="zh-CN" w:bidi="ar"/>
                    </w:rPr>
                    <w:t>妥善</w:t>
                  </w:r>
                  <w:r>
                    <w:rPr>
                      <w:rFonts w:hint="eastAsia"/>
                      <w:color w:val="auto"/>
                      <w:kern w:val="0"/>
                      <w:szCs w:val="21"/>
                      <w:lang w:bidi="ar"/>
                    </w:rPr>
                    <w:t>处置。</w:t>
                  </w:r>
                </w:p>
              </w:tc>
              <w:tc>
                <w:tcPr>
                  <w:tcW w:w="732" w:type="dxa"/>
                  <w:noWrap w:val="0"/>
                  <w:vAlign w:val="center"/>
                </w:tcPr>
                <w:p w14:paraId="27609B03">
                  <w:pPr>
                    <w:widowControl/>
                    <w:jc w:val="center"/>
                    <w:rPr>
                      <w:color w:val="auto"/>
                      <w:szCs w:val="21"/>
                    </w:rPr>
                  </w:pPr>
                  <w:r>
                    <w:rPr>
                      <w:color w:val="auto"/>
                      <w:szCs w:val="21"/>
                    </w:rPr>
                    <w:t>符合</w:t>
                  </w:r>
                </w:p>
              </w:tc>
            </w:tr>
            <w:tr w14:paraId="15943EF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499" w:type="dxa"/>
                  <w:noWrap w:val="0"/>
                  <w:vAlign w:val="center"/>
                </w:tcPr>
                <w:p w14:paraId="2BD1EA6D">
                  <w:pPr>
                    <w:widowControl/>
                    <w:jc w:val="center"/>
                    <w:rPr>
                      <w:color w:val="auto"/>
                      <w:szCs w:val="21"/>
                    </w:rPr>
                  </w:pPr>
                  <w:r>
                    <w:rPr>
                      <w:rFonts w:hint="eastAsia"/>
                      <w:color w:val="auto"/>
                      <w:szCs w:val="21"/>
                    </w:rPr>
                    <w:t>4</w:t>
                  </w:r>
                </w:p>
              </w:tc>
              <w:tc>
                <w:tcPr>
                  <w:tcW w:w="4372" w:type="dxa"/>
                  <w:noWrap w:val="0"/>
                  <w:vAlign w:val="center"/>
                </w:tcPr>
                <w:p w14:paraId="53CE82FB">
                  <w:pPr>
                    <w:widowControl/>
                    <w:jc w:val="left"/>
                    <w:rPr>
                      <w:color w:val="auto"/>
                      <w:szCs w:val="21"/>
                    </w:rPr>
                  </w:pPr>
                  <w:r>
                    <w:rPr>
                      <w:rFonts w:hint="eastAsia"/>
                      <w:b/>
                      <w:bCs/>
                      <w:color w:val="auto"/>
                      <w:kern w:val="0"/>
                      <w:szCs w:val="21"/>
                      <w:lang w:bidi="ar"/>
                    </w:rPr>
                    <w:t>（</w:t>
                  </w:r>
                  <w:r>
                    <w:rPr>
                      <w:b/>
                      <w:bCs/>
                      <w:color w:val="auto"/>
                      <w:kern w:val="0"/>
                      <w:szCs w:val="21"/>
                      <w:lang w:bidi="ar"/>
                    </w:rPr>
                    <w:t>五</w:t>
                  </w:r>
                  <w:r>
                    <w:rPr>
                      <w:rFonts w:hint="eastAsia"/>
                      <w:b/>
                      <w:bCs/>
                      <w:color w:val="auto"/>
                      <w:kern w:val="0"/>
                      <w:szCs w:val="21"/>
                      <w:lang w:bidi="ar"/>
                    </w:rPr>
                    <w:t>）</w:t>
                  </w:r>
                  <w:r>
                    <w:rPr>
                      <w:b/>
                      <w:bCs/>
                      <w:color w:val="auto"/>
                      <w:kern w:val="0"/>
                      <w:szCs w:val="21"/>
                      <w:lang w:bidi="ar"/>
                    </w:rPr>
                    <w:t>强化环境基础设施建设。</w:t>
                  </w:r>
                  <w:r>
                    <w:rPr>
                      <w:rFonts w:hint="eastAsia"/>
                      <w:color w:val="auto"/>
                      <w:kern w:val="0"/>
                      <w:szCs w:val="21"/>
                      <w:lang w:bidi="ar"/>
                    </w:rPr>
                    <w:t>严格落实园区废水集中处理和中水回用等相关措施，加快大竹县城市生活污水处理厂三期工程、园区中水回用设施及配套管网建设，完善园区雨污分流管网</w:t>
                  </w:r>
                </w:p>
              </w:tc>
              <w:tc>
                <w:tcPr>
                  <w:tcW w:w="2654" w:type="dxa"/>
                  <w:noWrap w:val="0"/>
                  <w:vAlign w:val="center"/>
                </w:tcPr>
                <w:p w14:paraId="0AFF7E25">
                  <w:pPr>
                    <w:widowControl/>
                    <w:jc w:val="center"/>
                    <w:rPr>
                      <w:color w:val="auto"/>
                      <w:szCs w:val="21"/>
                    </w:rPr>
                  </w:pPr>
                  <w:r>
                    <w:rPr>
                      <w:color w:val="auto"/>
                      <w:kern w:val="0"/>
                      <w:szCs w:val="21"/>
                      <w:lang w:bidi="ar"/>
                    </w:rPr>
                    <w:t>本项目</w:t>
                  </w:r>
                  <w:r>
                    <w:rPr>
                      <w:rFonts w:hint="eastAsia"/>
                      <w:color w:val="auto"/>
                      <w:kern w:val="0"/>
                      <w:szCs w:val="21"/>
                      <w:lang w:val="en-US" w:eastAsia="zh-CN" w:bidi="ar"/>
                    </w:rPr>
                    <w:t>废水</w:t>
                  </w:r>
                  <w:r>
                    <w:rPr>
                      <w:rFonts w:hint="eastAsia"/>
                      <w:color w:val="auto"/>
                      <w:szCs w:val="21"/>
                    </w:rPr>
                    <w:t>依托生化池预处理后</w:t>
                  </w:r>
                  <w:r>
                    <w:rPr>
                      <w:rFonts w:hint="eastAsia"/>
                      <w:bCs/>
                      <w:color w:val="auto"/>
                      <w:szCs w:val="21"/>
                    </w:rPr>
                    <w:t>排入市政污水管网。</w:t>
                  </w:r>
                </w:p>
              </w:tc>
              <w:tc>
                <w:tcPr>
                  <w:tcW w:w="732" w:type="dxa"/>
                  <w:noWrap w:val="0"/>
                  <w:vAlign w:val="center"/>
                </w:tcPr>
                <w:p w14:paraId="2559317D">
                  <w:pPr>
                    <w:jc w:val="center"/>
                    <w:rPr>
                      <w:color w:val="auto"/>
                      <w:szCs w:val="21"/>
                    </w:rPr>
                  </w:pPr>
                  <w:r>
                    <w:rPr>
                      <w:color w:val="auto"/>
                      <w:szCs w:val="21"/>
                    </w:rPr>
                    <w:t>符合</w:t>
                  </w:r>
                </w:p>
              </w:tc>
            </w:tr>
            <w:tr w14:paraId="7120FB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283" w:hRule="atLeast"/>
                <w:jc w:val="center"/>
              </w:trPr>
              <w:tc>
                <w:tcPr>
                  <w:tcW w:w="499" w:type="dxa"/>
                  <w:noWrap w:val="0"/>
                  <w:vAlign w:val="center"/>
                </w:tcPr>
                <w:p w14:paraId="641193A9">
                  <w:pPr>
                    <w:widowControl/>
                    <w:jc w:val="center"/>
                    <w:rPr>
                      <w:color w:val="auto"/>
                      <w:kern w:val="0"/>
                      <w:szCs w:val="21"/>
                      <w:lang w:bidi="ar"/>
                    </w:rPr>
                  </w:pPr>
                  <w:r>
                    <w:rPr>
                      <w:rFonts w:hint="eastAsia"/>
                      <w:color w:val="auto"/>
                      <w:kern w:val="0"/>
                      <w:szCs w:val="21"/>
                      <w:lang w:bidi="ar"/>
                    </w:rPr>
                    <w:t>5</w:t>
                  </w:r>
                </w:p>
              </w:tc>
              <w:tc>
                <w:tcPr>
                  <w:tcW w:w="4372" w:type="dxa"/>
                  <w:noWrap w:val="0"/>
                  <w:vAlign w:val="center"/>
                </w:tcPr>
                <w:p w14:paraId="22E59418">
                  <w:pPr>
                    <w:widowControl/>
                    <w:jc w:val="left"/>
                    <w:rPr>
                      <w:color w:val="auto"/>
                      <w:kern w:val="0"/>
                      <w:szCs w:val="21"/>
                      <w:lang w:bidi="ar"/>
                    </w:rPr>
                  </w:pPr>
                  <w:r>
                    <w:rPr>
                      <w:rFonts w:hint="eastAsia"/>
                      <w:b/>
                      <w:bCs/>
                      <w:color w:val="auto"/>
                      <w:kern w:val="0"/>
                      <w:szCs w:val="21"/>
                      <w:lang w:bidi="ar"/>
                    </w:rPr>
                    <w:t>（</w:t>
                  </w:r>
                  <w:r>
                    <w:rPr>
                      <w:b/>
                      <w:bCs/>
                      <w:color w:val="auto"/>
                      <w:kern w:val="0"/>
                      <w:szCs w:val="21"/>
                      <w:lang w:bidi="ar"/>
                    </w:rPr>
                    <w:t>六</w:t>
                  </w:r>
                  <w:r>
                    <w:rPr>
                      <w:rFonts w:hint="eastAsia"/>
                      <w:b/>
                      <w:bCs/>
                      <w:color w:val="auto"/>
                      <w:kern w:val="0"/>
                      <w:szCs w:val="21"/>
                      <w:lang w:bidi="ar"/>
                    </w:rPr>
                    <w:t>）</w:t>
                  </w:r>
                  <w:r>
                    <w:rPr>
                      <w:b/>
                      <w:bCs/>
                      <w:color w:val="auto"/>
                      <w:kern w:val="0"/>
                      <w:szCs w:val="21"/>
                      <w:lang w:bidi="ar"/>
                    </w:rPr>
                    <w:t>强化园区环境风险管控。</w:t>
                  </w:r>
                  <w:r>
                    <w:rPr>
                      <w:color w:val="auto"/>
                      <w:kern w:val="0"/>
                      <w:szCs w:val="21"/>
                      <w:lang w:bidi="ar"/>
                    </w:rPr>
                    <w:t>健全园区环境风险多级防控体系，完善环境应急管理制度，落实事故废水收集处置措施，杜绝事故废水入河</w:t>
                  </w:r>
                  <w:r>
                    <w:rPr>
                      <w:rFonts w:hint="eastAsia"/>
                      <w:color w:val="auto"/>
                      <w:kern w:val="0"/>
                      <w:szCs w:val="21"/>
                      <w:lang w:bidi="ar"/>
                    </w:rPr>
                    <w:t>；</w:t>
                  </w:r>
                  <w:r>
                    <w:rPr>
                      <w:color w:val="auto"/>
                      <w:kern w:val="0"/>
                      <w:szCs w:val="21"/>
                      <w:lang w:bidi="ar"/>
                    </w:rPr>
                    <w:t>完善园区环境风险应急预案，强化环境应急物资储备，配备环境应急监测设备，定期开展环境风险应急演练，提升环境应急能力，确保环境安全。</w:t>
                  </w:r>
                </w:p>
              </w:tc>
              <w:tc>
                <w:tcPr>
                  <w:tcW w:w="2654" w:type="dxa"/>
                  <w:noWrap w:val="0"/>
                  <w:vAlign w:val="center"/>
                </w:tcPr>
                <w:p w14:paraId="1E3B24F9">
                  <w:pPr>
                    <w:widowControl/>
                    <w:jc w:val="center"/>
                    <w:rPr>
                      <w:color w:val="auto"/>
                      <w:kern w:val="0"/>
                      <w:szCs w:val="21"/>
                      <w:lang w:bidi="ar"/>
                    </w:rPr>
                  </w:pPr>
                  <w:r>
                    <w:rPr>
                      <w:rFonts w:hint="eastAsia"/>
                      <w:color w:val="auto"/>
                      <w:kern w:val="0"/>
                      <w:szCs w:val="21"/>
                    </w:rPr>
                    <w:t>项目严格落实本次评价提出的环境风险防范措施后，环境风险可控</w:t>
                  </w:r>
                  <w:r>
                    <w:rPr>
                      <w:color w:val="auto"/>
                      <w:szCs w:val="21"/>
                    </w:rPr>
                    <w:t>。</w:t>
                  </w:r>
                </w:p>
              </w:tc>
              <w:tc>
                <w:tcPr>
                  <w:tcW w:w="732" w:type="dxa"/>
                  <w:noWrap w:val="0"/>
                  <w:vAlign w:val="center"/>
                </w:tcPr>
                <w:p w14:paraId="5DBF15B1">
                  <w:pPr>
                    <w:jc w:val="center"/>
                    <w:rPr>
                      <w:color w:val="auto"/>
                      <w:szCs w:val="21"/>
                    </w:rPr>
                  </w:pPr>
                  <w:r>
                    <w:rPr>
                      <w:rFonts w:hint="eastAsia"/>
                      <w:color w:val="auto"/>
                      <w:szCs w:val="21"/>
                    </w:rPr>
                    <w:t>符合</w:t>
                  </w:r>
                </w:p>
              </w:tc>
            </w:tr>
          </w:tbl>
          <w:p w14:paraId="74ED370B">
            <w:pPr>
              <w:pStyle w:val="53"/>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bCs/>
                <w:color w:val="auto"/>
                <w:kern w:val="0"/>
                <w:sz w:val="24"/>
              </w:rPr>
            </w:pPr>
            <w:r>
              <w:rPr>
                <w:rFonts w:hint="eastAsia"/>
                <w:bCs/>
                <w:color w:val="auto"/>
                <w:kern w:val="0"/>
                <w:sz w:val="24"/>
              </w:rPr>
              <w:t>综上所述，本项目符合规划环评审查意见的要求。</w:t>
            </w:r>
          </w:p>
          <w:p w14:paraId="5C7EB946">
            <w:pPr>
              <w:keepNext w:val="0"/>
              <w:keepLines w:val="0"/>
              <w:pageBreakBefore w:val="0"/>
              <w:widowControl w:val="0"/>
              <w:kinsoku/>
              <w:wordWrap/>
              <w:overflowPunct/>
              <w:topLinePunct w:val="0"/>
              <w:bidi w:val="0"/>
              <w:spacing w:line="360" w:lineRule="auto"/>
              <w:textAlignment w:val="auto"/>
              <w:rPr>
                <w:rFonts w:hint="default" w:ascii="Times New Roman" w:hAnsi="Times New Roman" w:cs="Times New Roman"/>
                <w:b/>
                <w:color w:val="0000FF"/>
                <w:kern w:val="0"/>
                <w:sz w:val="24"/>
                <w:highlight w:val="none"/>
              </w:rPr>
            </w:pPr>
            <w:r>
              <w:rPr>
                <w:rFonts w:hint="default" w:ascii="Times New Roman" w:hAnsi="Times New Roman" w:cs="Times New Roman"/>
                <w:b/>
                <w:color w:val="0000FF"/>
                <w:kern w:val="0"/>
                <w:sz w:val="24"/>
                <w:highlight w:val="none"/>
              </w:rPr>
              <w:t>1.1.</w:t>
            </w:r>
            <w:r>
              <w:rPr>
                <w:rFonts w:hint="eastAsia" w:cs="Times New Roman"/>
                <w:b/>
                <w:color w:val="0000FF"/>
                <w:kern w:val="0"/>
                <w:sz w:val="24"/>
                <w:highlight w:val="none"/>
                <w:lang w:val="en-US" w:eastAsia="zh-CN"/>
              </w:rPr>
              <w:t>3</w:t>
            </w:r>
            <w:r>
              <w:rPr>
                <w:rFonts w:hint="default" w:ascii="Times New Roman" w:hAnsi="Times New Roman" w:cs="Times New Roman"/>
                <w:b/>
                <w:color w:val="0000FF"/>
                <w:kern w:val="0"/>
                <w:sz w:val="24"/>
                <w:highlight w:val="none"/>
              </w:rPr>
              <w:t>与园区</w:t>
            </w:r>
            <w:r>
              <w:rPr>
                <w:rFonts w:hint="eastAsia" w:cs="Times New Roman"/>
                <w:b/>
                <w:color w:val="0000FF"/>
                <w:kern w:val="0"/>
                <w:sz w:val="24"/>
                <w:highlight w:val="none"/>
                <w:lang w:val="en-US" w:eastAsia="zh-CN"/>
              </w:rPr>
              <w:t>土地利用规划</w:t>
            </w:r>
            <w:r>
              <w:rPr>
                <w:rFonts w:hint="default" w:ascii="Times New Roman" w:hAnsi="Times New Roman" w:cs="Times New Roman"/>
                <w:b/>
                <w:color w:val="0000FF"/>
                <w:kern w:val="0"/>
                <w:sz w:val="24"/>
                <w:highlight w:val="none"/>
              </w:rPr>
              <w:t>的符合性分析</w:t>
            </w:r>
          </w:p>
          <w:p w14:paraId="2D149F58">
            <w:pPr>
              <w:pStyle w:val="53"/>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bCs/>
                <w:color w:val="0000FF"/>
                <w:kern w:val="0"/>
                <w:sz w:val="24"/>
                <w:lang w:val="en-US" w:eastAsia="zh-CN"/>
              </w:rPr>
            </w:pPr>
            <w:r>
              <w:rPr>
                <w:rFonts w:hint="eastAsia" w:ascii="Times New Roman" w:hAnsi="Times New Roman" w:cs="Times New Roman"/>
                <w:bCs/>
                <w:color w:val="0000FF"/>
                <w:kern w:val="0"/>
                <w:sz w:val="24"/>
                <w:lang w:val="en-US" w:eastAsia="zh-CN"/>
              </w:rPr>
              <w:t>本项目位于</w:t>
            </w:r>
            <w:r>
              <w:rPr>
                <w:rFonts w:hint="default" w:ascii="Times New Roman" w:hAnsi="Times New Roman" w:cs="Times New Roman"/>
                <w:bCs/>
                <w:color w:val="0000FF"/>
                <w:kern w:val="0"/>
                <w:sz w:val="24"/>
                <w:lang w:val="en-US" w:eastAsia="zh-CN"/>
              </w:rPr>
              <w:t>四川大竹经济开发区川渝合作（达州•大竹）示范园区A区三期标准化厂房三期1、2号楼</w:t>
            </w:r>
            <w:r>
              <w:rPr>
                <w:rFonts w:hint="eastAsia" w:ascii="Times New Roman" w:hAnsi="Times New Roman" w:cs="Times New Roman"/>
                <w:bCs/>
                <w:color w:val="0000FF"/>
                <w:kern w:val="0"/>
                <w:sz w:val="24"/>
                <w:lang w:val="en-US" w:eastAsia="zh-CN"/>
              </w:rPr>
              <w:t>。</w:t>
            </w:r>
          </w:p>
          <w:p w14:paraId="27D62F9A">
            <w:pPr>
              <w:pStyle w:val="53"/>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Times New Roman" w:hAnsi="Times New Roman" w:cs="Times New Roman"/>
                <w:bCs/>
                <w:color w:val="0000FF"/>
                <w:kern w:val="0"/>
                <w:sz w:val="24"/>
                <w:lang w:val="en-US" w:eastAsia="zh-CN"/>
              </w:rPr>
            </w:pPr>
            <w:r>
              <w:rPr>
                <w:rFonts w:hint="default" w:ascii="Times New Roman" w:hAnsi="Times New Roman" w:cs="Times New Roman"/>
                <w:bCs/>
                <w:color w:val="0000FF"/>
                <w:kern w:val="0"/>
                <w:sz w:val="24"/>
                <w:lang w:val="en-US" w:eastAsia="zh-CN"/>
              </w:rPr>
              <w:t>根据《四川大竹经济开发区总体规划（2021-2035）环境影响报告书》</w:t>
            </w:r>
            <w:r>
              <w:rPr>
                <w:rFonts w:hint="eastAsia" w:ascii="Times New Roman" w:hAnsi="Times New Roman" w:cs="Times New Roman"/>
                <w:bCs/>
                <w:color w:val="0000FF"/>
                <w:kern w:val="0"/>
                <w:sz w:val="24"/>
                <w:lang w:val="en-US" w:eastAsia="zh-CN"/>
              </w:rPr>
              <w:t>可知，本项目所在区域土地利用性质为工业用地，符合园区土地利用规划，详见附图5 。</w:t>
            </w:r>
          </w:p>
          <w:p w14:paraId="641A3F7D">
            <w:pPr>
              <w:pStyle w:val="53"/>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Times New Roman" w:hAnsi="Times New Roman" w:cs="Times New Roman"/>
                <w:bCs/>
                <w:color w:val="0000FF"/>
                <w:kern w:val="0"/>
                <w:sz w:val="24"/>
                <w:lang w:val="en-US" w:eastAsia="zh-CN"/>
              </w:rPr>
            </w:pPr>
          </w:p>
          <w:p w14:paraId="34ADBFE1">
            <w:pPr>
              <w:keepNext w:val="0"/>
              <w:keepLines w:val="0"/>
              <w:pageBreakBefore w:val="0"/>
              <w:widowControl w:val="0"/>
              <w:kinsoku/>
              <w:wordWrap/>
              <w:overflowPunct/>
              <w:topLinePunct w:val="0"/>
              <w:bidi w:val="0"/>
              <w:spacing w:line="360" w:lineRule="auto"/>
              <w:textAlignment w:val="auto"/>
              <w:rPr>
                <w:rFonts w:hint="default" w:ascii="Times New Roman" w:hAnsi="Times New Roman" w:cs="Times New Roman"/>
                <w:b/>
                <w:color w:val="0000FF"/>
                <w:kern w:val="0"/>
                <w:sz w:val="24"/>
                <w:highlight w:val="none"/>
              </w:rPr>
            </w:pPr>
            <w:r>
              <w:rPr>
                <w:rFonts w:hint="default" w:ascii="Times New Roman" w:hAnsi="Times New Roman" w:cs="Times New Roman"/>
                <w:b/>
                <w:color w:val="0000FF"/>
                <w:kern w:val="0"/>
                <w:sz w:val="24"/>
                <w:highlight w:val="none"/>
              </w:rPr>
              <w:t>1.1.</w:t>
            </w:r>
            <w:r>
              <w:rPr>
                <w:rFonts w:hint="eastAsia" w:cs="Times New Roman"/>
                <w:b/>
                <w:color w:val="0000FF"/>
                <w:kern w:val="0"/>
                <w:sz w:val="24"/>
                <w:highlight w:val="none"/>
                <w:lang w:val="en-US" w:eastAsia="zh-CN"/>
              </w:rPr>
              <w:t>4</w:t>
            </w:r>
            <w:r>
              <w:rPr>
                <w:rFonts w:hint="default" w:ascii="Times New Roman" w:hAnsi="Times New Roman" w:cs="Times New Roman"/>
                <w:b/>
                <w:color w:val="0000FF"/>
                <w:kern w:val="0"/>
                <w:sz w:val="24"/>
                <w:highlight w:val="none"/>
              </w:rPr>
              <w:t>与园区</w:t>
            </w:r>
            <w:r>
              <w:rPr>
                <w:rFonts w:hint="eastAsia" w:cs="Times New Roman"/>
                <w:b/>
                <w:color w:val="0000FF"/>
                <w:kern w:val="0"/>
                <w:sz w:val="24"/>
                <w:highlight w:val="none"/>
                <w:lang w:val="en-US" w:eastAsia="zh-CN"/>
              </w:rPr>
              <w:t>功能分区规划</w:t>
            </w:r>
            <w:r>
              <w:rPr>
                <w:rFonts w:hint="default" w:ascii="Times New Roman" w:hAnsi="Times New Roman" w:cs="Times New Roman"/>
                <w:b/>
                <w:color w:val="0000FF"/>
                <w:kern w:val="0"/>
                <w:sz w:val="24"/>
                <w:highlight w:val="none"/>
              </w:rPr>
              <w:t>的符合性分析</w:t>
            </w:r>
          </w:p>
          <w:p w14:paraId="6D12B308">
            <w:pPr>
              <w:pStyle w:val="53"/>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ind w:firstLine="480" w:firstLineChars="200"/>
              <w:textAlignment w:val="auto"/>
              <w:rPr>
                <w:rFonts w:hint="eastAsia" w:ascii="Times New Roman" w:hAnsi="Times New Roman" w:cs="Times New Roman"/>
                <w:bCs/>
                <w:color w:val="0000FF"/>
                <w:kern w:val="0"/>
                <w:sz w:val="24"/>
                <w:lang w:val="en-US" w:eastAsia="zh-CN"/>
              </w:rPr>
            </w:pPr>
            <w:r>
              <w:rPr>
                <w:rFonts w:hint="eastAsia" w:ascii="Times New Roman" w:hAnsi="Times New Roman" w:cs="Times New Roman"/>
                <w:bCs/>
                <w:color w:val="0000FF"/>
                <w:kern w:val="0"/>
                <w:sz w:val="24"/>
                <w:lang w:val="en-US" w:eastAsia="zh-CN"/>
              </w:rPr>
              <w:t>本项目位于</w:t>
            </w:r>
            <w:r>
              <w:rPr>
                <w:rFonts w:hint="default" w:ascii="Times New Roman" w:hAnsi="Times New Roman" w:cs="Times New Roman"/>
                <w:bCs/>
                <w:color w:val="0000FF"/>
                <w:kern w:val="0"/>
                <w:sz w:val="24"/>
                <w:lang w:val="en-US" w:eastAsia="zh-CN"/>
              </w:rPr>
              <w:t>四川大竹经济开发区川渝合作（达州•大竹）示范园区A区三期标准化厂房三期1、2号楼</w:t>
            </w:r>
            <w:r>
              <w:rPr>
                <w:rFonts w:hint="eastAsia" w:ascii="Times New Roman" w:hAnsi="Times New Roman" w:cs="Times New Roman"/>
                <w:bCs/>
                <w:color w:val="0000FF"/>
                <w:kern w:val="0"/>
                <w:sz w:val="24"/>
                <w:lang w:val="en-US" w:eastAsia="zh-CN"/>
              </w:rPr>
              <w:t>。</w:t>
            </w:r>
            <w:r>
              <w:rPr>
                <w:rFonts w:hint="default" w:ascii="Times New Roman" w:hAnsi="Times New Roman" w:cs="Times New Roman"/>
                <w:bCs/>
                <w:color w:val="0000FF"/>
                <w:kern w:val="0"/>
                <w:sz w:val="24"/>
                <w:lang w:val="en-US" w:eastAsia="zh-CN"/>
              </w:rPr>
              <w:t>根据《四川大竹经济开发区总体规划（2021-2035）环境影响报告书》</w:t>
            </w:r>
            <w:r>
              <w:rPr>
                <w:rFonts w:hint="eastAsia" w:ascii="Times New Roman" w:hAnsi="Times New Roman" w:cs="Times New Roman"/>
                <w:bCs/>
                <w:color w:val="0000FF"/>
                <w:kern w:val="0"/>
                <w:sz w:val="24"/>
                <w:lang w:val="en-US" w:eastAsia="zh-CN"/>
              </w:rPr>
              <w:t>可知，本项目所在区域属于轻纺服装产业园，详见附图6 。</w:t>
            </w:r>
          </w:p>
          <w:p w14:paraId="567D7D73">
            <w:pPr>
              <w:pStyle w:val="53"/>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eastAsia="宋体" w:cs="Times New Roman"/>
                <w:b/>
                <w:bCs/>
                <w:color w:val="0000FF"/>
                <w:spacing w:val="-3"/>
                <w:kern w:val="2"/>
                <w:sz w:val="24"/>
                <w:szCs w:val="24"/>
                <w:lang w:val="en-US" w:eastAsia="zh-CN" w:bidi="ar-SA"/>
              </w:rPr>
            </w:pPr>
            <w:r>
              <w:rPr>
                <w:rFonts w:hint="eastAsia" w:ascii="Times New Roman" w:hAnsi="Times New Roman" w:cs="Times New Roman"/>
                <w:bCs/>
                <w:color w:val="0000FF"/>
                <w:kern w:val="0"/>
                <w:sz w:val="24"/>
                <w:lang w:val="en-US" w:eastAsia="zh-CN"/>
              </w:rPr>
              <w:t>本项目生产手机充电器塑胶外壳和路由器，属于电子行业，不属于轻纺鞋服产业。经调查，四川宏智川渝合作建设投资有限公司、四川大竹经济开发区管理委员会同意将该厂房租赁给达州荣利达精密塑胶有限公司。因此，评价认为项目建设与园区功能区划不冲突，详见附件8。</w:t>
            </w:r>
          </w:p>
          <w:p w14:paraId="156FC2BB">
            <w:pPr>
              <w:keepNext w:val="0"/>
              <w:keepLines w:val="0"/>
              <w:pageBreakBefore w:val="0"/>
              <w:widowControl w:val="0"/>
              <w:kinsoku/>
              <w:wordWrap/>
              <w:overflowPunct/>
              <w:topLinePunct w:val="0"/>
              <w:bidi w:val="0"/>
              <w:spacing w:line="360" w:lineRule="auto"/>
              <w:textAlignment w:val="auto"/>
              <w:rPr>
                <w:rFonts w:hint="default" w:ascii="Times New Roman" w:hAnsi="Times New Roman" w:cs="Times New Roman"/>
                <w:b/>
                <w:color w:val="0000FF"/>
                <w:kern w:val="0"/>
                <w:sz w:val="24"/>
                <w:highlight w:val="none"/>
              </w:rPr>
            </w:pPr>
            <w:r>
              <w:rPr>
                <w:rFonts w:hint="default" w:ascii="Times New Roman" w:hAnsi="Times New Roman" w:cs="Times New Roman"/>
                <w:b/>
                <w:color w:val="0000FF"/>
                <w:kern w:val="0"/>
                <w:sz w:val="24"/>
                <w:highlight w:val="none"/>
              </w:rPr>
              <w:t>1.1.</w:t>
            </w:r>
            <w:r>
              <w:rPr>
                <w:rFonts w:hint="eastAsia" w:cs="Times New Roman"/>
                <w:b/>
                <w:color w:val="0000FF"/>
                <w:kern w:val="0"/>
                <w:sz w:val="24"/>
                <w:highlight w:val="none"/>
                <w:lang w:val="en-US" w:eastAsia="zh-CN"/>
              </w:rPr>
              <w:t>5项目选址</w:t>
            </w:r>
            <w:r>
              <w:rPr>
                <w:rFonts w:hint="default" w:ascii="Times New Roman" w:hAnsi="Times New Roman" w:cs="Times New Roman"/>
                <w:b/>
                <w:color w:val="0000FF"/>
                <w:kern w:val="0"/>
                <w:sz w:val="24"/>
                <w:highlight w:val="none"/>
              </w:rPr>
              <w:t>的</w:t>
            </w:r>
            <w:r>
              <w:rPr>
                <w:rFonts w:hint="eastAsia" w:ascii="Times New Roman" w:hAnsi="Times New Roman" w:cs="Times New Roman"/>
                <w:b/>
                <w:color w:val="0000FF"/>
                <w:kern w:val="0"/>
                <w:sz w:val="24"/>
                <w:highlight w:val="none"/>
                <w:lang w:val="en-US" w:eastAsia="zh-CN"/>
              </w:rPr>
              <w:t>合理性</w:t>
            </w:r>
            <w:r>
              <w:rPr>
                <w:rFonts w:hint="default" w:ascii="Times New Roman" w:hAnsi="Times New Roman" w:cs="Times New Roman"/>
                <w:b/>
                <w:color w:val="0000FF"/>
                <w:kern w:val="0"/>
                <w:sz w:val="24"/>
                <w:highlight w:val="none"/>
              </w:rPr>
              <w:t>分析</w:t>
            </w:r>
          </w:p>
          <w:p w14:paraId="40D08B92">
            <w:pPr>
              <w:pStyle w:val="53"/>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Times New Roman" w:hAnsi="Times New Roman" w:cs="Times New Roman"/>
                <w:bCs/>
                <w:color w:val="0000FF"/>
                <w:kern w:val="0"/>
                <w:sz w:val="24"/>
                <w:lang w:val="en-US" w:eastAsia="zh-CN"/>
              </w:rPr>
            </w:pPr>
            <w:r>
              <w:rPr>
                <w:rFonts w:hint="default" w:ascii="Times New Roman" w:hAnsi="Times New Roman" w:cs="Times New Roman"/>
                <w:bCs/>
                <w:color w:val="0000FF"/>
                <w:kern w:val="0"/>
                <w:sz w:val="24"/>
                <w:lang w:val="en-US" w:eastAsia="zh-CN"/>
              </w:rPr>
              <w:t>本项目租用四川大竹经济开发区川渝合作（达州•大竹）示范园区A区三期标准化厂房三期1、2号楼</w:t>
            </w:r>
            <w:r>
              <w:rPr>
                <w:rFonts w:hint="eastAsia" w:ascii="Times New Roman" w:hAnsi="Times New Roman" w:cs="Times New Roman"/>
                <w:bCs/>
                <w:color w:val="0000FF"/>
                <w:kern w:val="0"/>
                <w:sz w:val="24"/>
                <w:lang w:val="en-US" w:eastAsia="zh-CN"/>
              </w:rPr>
              <w:t>。根据实地调查，厂房已建设完毕，园区供水供电设施以及污水管网已完善，公共基础设施满足项目建设需求。</w:t>
            </w:r>
          </w:p>
          <w:p w14:paraId="2FA99EE8">
            <w:pPr>
              <w:pStyle w:val="53"/>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Times New Roman" w:hAnsi="Times New Roman" w:cs="Times New Roman"/>
                <w:bCs/>
                <w:color w:val="0000FF"/>
                <w:kern w:val="0"/>
                <w:sz w:val="24"/>
                <w:lang w:val="en-US" w:eastAsia="zh-CN"/>
              </w:rPr>
            </w:pPr>
            <w:r>
              <w:rPr>
                <w:rFonts w:hint="eastAsia" w:ascii="Times New Roman" w:hAnsi="Times New Roman" w:cs="Times New Roman"/>
                <w:bCs/>
                <w:color w:val="0000FF"/>
                <w:kern w:val="0"/>
                <w:sz w:val="24"/>
                <w:lang w:val="en-US" w:eastAsia="zh-CN"/>
              </w:rPr>
              <w:t>根据现场踏勘，园区周边无集中人口居住地，无声环境保护目标，无大气环境保护目标，仅分布有零散住户。</w:t>
            </w:r>
          </w:p>
          <w:p w14:paraId="1D849C3E">
            <w:pPr>
              <w:pStyle w:val="53"/>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ascii="Times New Roman" w:hAnsi="Times New Roman" w:cs="Times New Roman"/>
                <w:bCs/>
                <w:color w:val="0000FF"/>
                <w:kern w:val="0"/>
                <w:sz w:val="24"/>
                <w:lang w:val="en-US" w:eastAsia="zh-CN"/>
              </w:rPr>
            </w:pPr>
            <w:r>
              <w:rPr>
                <w:rFonts w:hint="eastAsia" w:ascii="Times New Roman" w:hAnsi="Times New Roman" w:cs="Times New Roman"/>
                <w:bCs/>
                <w:color w:val="0000FF"/>
                <w:kern w:val="0"/>
                <w:sz w:val="24"/>
                <w:lang w:val="en-US" w:eastAsia="zh-CN"/>
              </w:rPr>
              <w:t>根据《</w:t>
            </w:r>
            <w:r>
              <w:rPr>
                <w:rFonts w:hint="default" w:ascii="Times New Roman" w:hAnsi="Times New Roman" w:cs="Times New Roman"/>
                <w:color w:val="0000FF"/>
                <w:sz w:val="24"/>
              </w:rPr>
              <w:t>达州市202</w:t>
            </w:r>
            <w:r>
              <w:rPr>
                <w:rFonts w:hint="eastAsia" w:ascii="Times New Roman" w:hAnsi="Times New Roman" w:cs="Times New Roman"/>
                <w:color w:val="0000FF"/>
                <w:sz w:val="24"/>
                <w:lang w:val="en-US" w:eastAsia="zh-CN"/>
              </w:rPr>
              <w:t>4</w:t>
            </w:r>
            <w:r>
              <w:rPr>
                <w:rFonts w:hint="default" w:ascii="Times New Roman" w:hAnsi="Times New Roman" w:cs="Times New Roman"/>
                <w:color w:val="0000FF"/>
                <w:sz w:val="24"/>
              </w:rPr>
              <w:t>年环境空气质量状况</w:t>
            </w:r>
            <w:r>
              <w:rPr>
                <w:rFonts w:hint="eastAsia" w:ascii="Times New Roman" w:hAnsi="Times New Roman" w:cs="Times New Roman"/>
                <w:bCs/>
                <w:color w:val="0000FF"/>
                <w:kern w:val="0"/>
                <w:sz w:val="24"/>
                <w:lang w:val="en-US" w:eastAsia="zh-CN"/>
              </w:rPr>
              <w:t>》</w:t>
            </w:r>
            <w:r>
              <w:rPr>
                <w:rFonts w:hint="eastAsia" w:ascii="Times New Roman" w:hAnsi="Times New Roman" w:cs="Times New Roman"/>
                <w:color w:val="0000FF"/>
                <w:sz w:val="24"/>
                <w:lang w:val="en-US" w:eastAsia="zh-CN"/>
              </w:rPr>
              <w:t>可知，大竹县2024年空气质量满足《环境空气质量标准》(GB3095-2012)中二级标准要求，属于达标区</w:t>
            </w:r>
            <w:r>
              <w:rPr>
                <w:rFonts w:hint="eastAsia" w:ascii="Times New Roman" w:hAnsi="Times New Roman" w:cs="Times New Roman"/>
                <w:bCs/>
                <w:color w:val="0000FF"/>
                <w:kern w:val="0"/>
                <w:sz w:val="24"/>
                <w:lang w:val="en-US" w:eastAsia="zh-CN"/>
              </w:rPr>
              <w:t>。区域环境质量现状不制约项目建设。</w:t>
            </w:r>
          </w:p>
          <w:p w14:paraId="285B4829">
            <w:pPr>
              <w:pStyle w:val="53"/>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bCs/>
                <w:color w:val="0000FF"/>
                <w:kern w:val="0"/>
                <w:sz w:val="24"/>
                <w:lang w:val="en-US" w:eastAsia="zh-CN"/>
              </w:rPr>
            </w:pPr>
            <w:r>
              <w:rPr>
                <w:rFonts w:hint="eastAsia" w:ascii="Times New Roman" w:hAnsi="Times New Roman" w:cs="Times New Roman"/>
                <w:bCs/>
                <w:color w:val="0000FF"/>
                <w:kern w:val="0"/>
                <w:sz w:val="24"/>
                <w:lang w:val="en-US" w:eastAsia="zh-CN"/>
              </w:rPr>
              <w:t>经分析，项目用地性质为工业用地，符合相关土地利用规划；项目所在地功能分区为轻纺鞋服产业，但项目建设与园区功能区划不冲突。</w:t>
            </w:r>
          </w:p>
          <w:p w14:paraId="51E262CF">
            <w:pPr>
              <w:pStyle w:val="53"/>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default"/>
                <w:bCs/>
                <w:color w:val="auto"/>
                <w:kern w:val="0"/>
                <w:sz w:val="24"/>
              </w:rPr>
            </w:pPr>
            <w:r>
              <w:rPr>
                <w:rFonts w:hint="eastAsia" w:ascii="Times New Roman" w:hAnsi="Times New Roman" w:cs="Times New Roman"/>
                <w:bCs/>
                <w:color w:val="0000FF"/>
                <w:kern w:val="0"/>
                <w:sz w:val="24"/>
                <w:lang w:val="en-US" w:eastAsia="zh-CN"/>
              </w:rPr>
              <w:t>综上，本项目选址合理。</w:t>
            </w:r>
          </w:p>
        </w:tc>
      </w:tr>
      <w:tr w14:paraId="34797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439" w:type="dxa"/>
            <w:noWrap w:val="0"/>
            <w:vAlign w:val="center"/>
          </w:tcPr>
          <w:p w14:paraId="2A29E378">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其他符合性分析</w:t>
            </w:r>
          </w:p>
        </w:tc>
        <w:tc>
          <w:tcPr>
            <w:tcW w:w="8846" w:type="dxa"/>
            <w:gridSpan w:val="4"/>
            <w:noWrap w:val="0"/>
            <w:vAlign w:val="center"/>
          </w:tcPr>
          <w:p w14:paraId="3FECC06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color w:val="auto"/>
                <w:sz w:val="24"/>
                <w:highlight w:val="none"/>
                <w:lang w:val="en-US" w:eastAsia="zh-CN"/>
              </w:rPr>
            </w:pPr>
            <w:r>
              <w:rPr>
                <w:rFonts w:hint="default" w:ascii="Times New Roman" w:hAnsi="Times New Roman" w:cs="Times New Roman"/>
                <w:b/>
                <w:color w:val="auto"/>
                <w:sz w:val="24"/>
                <w:highlight w:val="none"/>
              </w:rPr>
              <w:t>1.2</w:t>
            </w:r>
            <w:r>
              <w:rPr>
                <w:rFonts w:hint="default" w:ascii="Times New Roman" w:hAnsi="Times New Roman" w:cs="Times New Roman"/>
                <w:b/>
                <w:color w:val="auto"/>
                <w:sz w:val="24"/>
                <w:highlight w:val="none"/>
                <w:lang w:val="en-US" w:eastAsia="zh-CN"/>
              </w:rPr>
              <w:t>其他符合性分析</w:t>
            </w:r>
          </w:p>
          <w:p w14:paraId="713042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sz w:val="24"/>
                <w:highlight w:val="none"/>
              </w:rPr>
            </w:pPr>
            <w:r>
              <w:rPr>
                <w:rFonts w:hint="default" w:ascii="Times New Roman" w:hAnsi="Times New Roman" w:cs="Times New Roman"/>
                <w:b/>
                <w:color w:val="auto"/>
                <w:sz w:val="24"/>
                <w:highlight w:val="none"/>
                <w:lang w:val="en-US" w:eastAsia="zh-CN"/>
              </w:rPr>
              <w:t>1.2.1</w:t>
            </w:r>
            <w:r>
              <w:rPr>
                <w:rFonts w:hint="default" w:ascii="Times New Roman" w:hAnsi="Times New Roman" w:cs="Times New Roman"/>
                <w:b/>
                <w:bCs/>
                <w:color w:val="auto"/>
                <w:sz w:val="24"/>
                <w:highlight w:val="none"/>
              </w:rPr>
              <w:t>“三线一单”符合性分析</w:t>
            </w:r>
          </w:p>
          <w:p w14:paraId="0DD8C73A">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次评价结合四川省“三线一单”符合性分析系统、《四川省达州市“三线一单”生态环境分区管控优化完善研究报告》（2021.5）及《达州市人民政府关于落实生态保护红线、环境质量底线、资源利用上线制定生态环境准入清单实施生态环境分区管控的通知》（达市府发〔2021〕17号）、</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四川省生态环境厅关于公布四川省生态环境分区管控动态更新成果（2023年版）的通知</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（川环函〔2024〕409号），按要求对本项目“三线一单”符合性分析如下。</w:t>
            </w:r>
          </w:p>
          <w:p w14:paraId="6C5CEDCF">
            <w:pPr>
              <w:adjustRightInd w:val="0"/>
              <w:snapToGrid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（1）项目涉及的环境管控单元</w:t>
            </w:r>
          </w:p>
          <w:p w14:paraId="28126FFC">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通过四川省政务服务网“生态环境分区管控符合性分析”系统进行比对分析，本项目涉及环境管控单元</w:t>
            </w: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rPr>
              <w:t>个，涉及的管控单元详见表1.2-1。</w:t>
            </w:r>
          </w:p>
          <w:p w14:paraId="38A22FF6">
            <w:pPr>
              <w:adjustRightInd w:val="0"/>
              <w:snapToGrid w:val="0"/>
              <w:jc w:val="center"/>
              <w:rPr>
                <w:rFonts w:hint="default" w:ascii="Times New Roman" w:hAnsi="Times New Roman" w:cs="Times New Roman"/>
                <w:b/>
                <w:color w:val="auto"/>
                <w:sz w:val="24"/>
              </w:rPr>
            </w:pPr>
            <w:r>
              <w:rPr>
                <w:rFonts w:hint="default" w:ascii="Times New Roman" w:hAnsi="Times New Roman" w:cs="Times New Roman"/>
                <w:b/>
                <w:color w:val="auto"/>
                <w:sz w:val="24"/>
              </w:rPr>
              <w:t>表1.2-1  本项目涉及环境管控单元情况一览表</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4"/>
              <w:gridCol w:w="2174"/>
              <w:gridCol w:w="892"/>
              <w:gridCol w:w="895"/>
              <w:gridCol w:w="1339"/>
              <w:gridCol w:w="2026"/>
            </w:tblGrid>
            <w:tr w14:paraId="7D55D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50" w:type="pct"/>
                  <w:noWrap w:val="0"/>
                  <w:vAlign w:val="center"/>
                </w:tcPr>
                <w:p w14:paraId="3F0510FC">
                  <w:pPr>
                    <w:widowControl/>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环境管控单元编码</w:t>
                  </w:r>
                </w:p>
              </w:tc>
              <w:tc>
                <w:tcPr>
                  <w:tcW w:w="1260" w:type="pct"/>
                  <w:noWrap w:val="0"/>
                  <w:vAlign w:val="center"/>
                </w:tcPr>
                <w:p w14:paraId="4692E2BD">
                  <w:pPr>
                    <w:widowControl/>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环境管控单元名称</w:t>
                  </w:r>
                </w:p>
              </w:tc>
              <w:tc>
                <w:tcPr>
                  <w:tcW w:w="517" w:type="pct"/>
                  <w:noWrap w:val="0"/>
                  <w:vAlign w:val="center"/>
                </w:tcPr>
                <w:p w14:paraId="245C8161">
                  <w:pPr>
                    <w:widowControl/>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所属市（州）</w:t>
                  </w:r>
                </w:p>
              </w:tc>
              <w:tc>
                <w:tcPr>
                  <w:tcW w:w="519" w:type="pct"/>
                  <w:noWrap w:val="0"/>
                  <w:vAlign w:val="center"/>
                </w:tcPr>
                <w:p w14:paraId="76FC8BB2">
                  <w:pPr>
                    <w:widowControl/>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所属区县</w:t>
                  </w:r>
                </w:p>
              </w:tc>
              <w:tc>
                <w:tcPr>
                  <w:tcW w:w="776" w:type="pct"/>
                  <w:noWrap w:val="0"/>
                  <w:vAlign w:val="center"/>
                </w:tcPr>
                <w:p w14:paraId="1C876B92">
                  <w:pPr>
                    <w:widowControl/>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准入清单类型</w:t>
                  </w:r>
                </w:p>
              </w:tc>
              <w:tc>
                <w:tcPr>
                  <w:tcW w:w="1174" w:type="pct"/>
                  <w:noWrap w:val="0"/>
                  <w:vAlign w:val="center"/>
                </w:tcPr>
                <w:p w14:paraId="33BA1852">
                  <w:pPr>
                    <w:widowControl/>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管控类型</w:t>
                  </w:r>
                </w:p>
              </w:tc>
            </w:tr>
            <w:tr w14:paraId="2696E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50" w:type="pct"/>
                  <w:noWrap w:val="0"/>
                  <w:vAlign w:val="center"/>
                </w:tcPr>
                <w:p w14:paraId="59F8F6D3">
                  <w:pPr>
                    <w:pStyle w:val="277"/>
                    <w:widowControl/>
                    <w:spacing w:line="240" w:lineRule="auto"/>
                    <w:ind w:firstLine="0" w:firstLineChars="0"/>
                    <w:jc w:val="left"/>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YS5117242210001</w:t>
                  </w:r>
                </w:p>
              </w:tc>
              <w:tc>
                <w:tcPr>
                  <w:tcW w:w="1260" w:type="pct"/>
                  <w:noWrap w:val="0"/>
                  <w:vAlign w:val="center"/>
                </w:tcPr>
                <w:p w14:paraId="4BECF74B">
                  <w:pPr>
                    <w:pStyle w:val="277"/>
                    <w:widowControl/>
                    <w:spacing w:line="240" w:lineRule="auto"/>
                    <w:ind w:firstLine="0" w:firstLineChars="0"/>
                    <w:jc w:val="left"/>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东柳河-大竹县-墩子河-控制单元</w:t>
                  </w:r>
                </w:p>
              </w:tc>
              <w:tc>
                <w:tcPr>
                  <w:tcW w:w="517" w:type="pct"/>
                  <w:noWrap w:val="0"/>
                  <w:vAlign w:val="center"/>
                </w:tcPr>
                <w:p w14:paraId="0D58F0DF">
                  <w:pPr>
                    <w:pStyle w:val="277"/>
                    <w:widowControl/>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达州市</w:t>
                  </w:r>
                </w:p>
              </w:tc>
              <w:tc>
                <w:tcPr>
                  <w:tcW w:w="519" w:type="pct"/>
                  <w:noWrap w:val="0"/>
                  <w:vAlign w:val="center"/>
                </w:tcPr>
                <w:p w14:paraId="7825E794">
                  <w:pPr>
                    <w:pStyle w:val="277"/>
                    <w:widowControl/>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大竹县</w:t>
                  </w:r>
                </w:p>
              </w:tc>
              <w:tc>
                <w:tcPr>
                  <w:tcW w:w="776" w:type="pct"/>
                  <w:noWrap w:val="0"/>
                  <w:vAlign w:val="center"/>
                </w:tcPr>
                <w:p w14:paraId="6C720474">
                  <w:pPr>
                    <w:pStyle w:val="277"/>
                    <w:widowControl/>
                    <w:spacing w:line="240" w:lineRule="auto"/>
                    <w:ind w:firstLine="0" w:firstLineChars="0"/>
                    <w:jc w:val="left"/>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水环境管控分区</w:t>
                  </w:r>
                </w:p>
              </w:tc>
              <w:tc>
                <w:tcPr>
                  <w:tcW w:w="1174" w:type="pct"/>
                  <w:noWrap w:val="0"/>
                  <w:vAlign w:val="center"/>
                </w:tcPr>
                <w:p w14:paraId="728A02F6">
                  <w:pPr>
                    <w:pStyle w:val="277"/>
                    <w:widowControl/>
                    <w:spacing w:line="240" w:lineRule="auto"/>
                    <w:ind w:firstLine="0" w:firstLineChars="0"/>
                    <w:jc w:val="left"/>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水环境工业污染重点管控区</w:t>
                  </w:r>
                </w:p>
              </w:tc>
            </w:tr>
            <w:tr w14:paraId="4D7AC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50" w:type="pct"/>
                  <w:noWrap w:val="0"/>
                  <w:vAlign w:val="center"/>
                </w:tcPr>
                <w:p w14:paraId="0053B264">
                  <w:pPr>
                    <w:pStyle w:val="277"/>
                    <w:widowControl/>
                    <w:spacing w:line="240" w:lineRule="auto"/>
                    <w:ind w:firstLine="0" w:firstLineChars="0"/>
                    <w:jc w:val="left"/>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YS5117242310001</w:t>
                  </w:r>
                </w:p>
              </w:tc>
              <w:tc>
                <w:tcPr>
                  <w:tcW w:w="1260" w:type="pct"/>
                  <w:noWrap w:val="0"/>
                  <w:vAlign w:val="center"/>
                </w:tcPr>
                <w:p w14:paraId="46FA0D59">
                  <w:pPr>
                    <w:pStyle w:val="277"/>
                    <w:widowControl/>
                    <w:spacing w:line="240" w:lineRule="auto"/>
                    <w:ind w:firstLine="0" w:firstLineChars="0"/>
                    <w:jc w:val="left"/>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四川大竹经济开发区</w:t>
                  </w:r>
                </w:p>
              </w:tc>
              <w:tc>
                <w:tcPr>
                  <w:tcW w:w="517" w:type="pct"/>
                  <w:noWrap w:val="0"/>
                  <w:vAlign w:val="center"/>
                </w:tcPr>
                <w:p w14:paraId="4541B7E6">
                  <w:pPr>
                    <w:pStyle w:val="277"/>
                    <w:widowControl/>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达州市</w:t>
                  </w:r>
                </w:p>
              </w:tc>
              <w:tc>
                <w:tcPr>
                  <w:tcW w:w="519" w:type="pct"/>
                  <w:noWrap w:val="0"/>
                  <w:vAlign w:val="center"/>
                </w:tcPr>
                <w:p w14:paraId="134A060A">
                  <w:pPr>
                    <w:pStyle w:val="277"/>
                    <w:widowControl/>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大竹县</w:t>
                  </w:r>
                </w:p>
              </w:tc>
              <w:tc>
                <w:tcPr>
                  <w:tcW w:w="776" w:type="pct"/>
                  <w:noWrap w:val="0"/>
                  <w:vAlign w:val="center"/>
                </w:tcPr>
                <w:p w14:paraId="6627292B">
                  <w:pPr>
                    <w:pStyle w:val="277"/>
                    <w:widowControl/>
                    <w:spacing w:line="240" w:lineRule="auto"/>
                    <w:ind w:firstLine="0" w:firstLineChars="0"/>
                    <w:jc w:val="left"/>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大气环境管控分区</w:t>
                  </w:r>
                </w:p>
              </w:tc>
              <w:tc>
                <w:tcPr>
                  <w:tcW w:w="1174" w:type="pct"/>
                  <w:noWrap w:val="0"/>
                  <w:vAlign w:val="center"/>
                </w:tcPr>
                <w:p w14:paraId="5F4605C1">
                  <w:pPr>
                    <w:pStyle w:val="277"/>
                    <w:widowControl/>
                    <w:spacing w:line="240" w:lineRule="auto"/>
                    <w:ind w:firstLine="0" w:firstLineChars="0"/>
                    <w:jc w:val="left"/>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大气环境高排放重点管控区</w:t>
                  </w:r>
                </w:p>
              </w:tc>
            </w:tr>
            <w:tr w14:paraId="0F6F5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50" w:type="pct"/>
                  <w:noWrap w:val="0"/>
                  <w:vAlign w:val="center"/>
                </w:tcPr>
                <w:p w14:paraId="37A3E6B6">
                  <w:pPr>
                    <w:pStyle w:val="277"/>
                    <w:widowControl/>
                    <w:spacing w:line="240" w:lineRule="auto"/>
                    <w:ind w:firstLine="0" w:firstLineChars="0"/>
                    <w:jc w:val="left"/>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YS5117242530001</w:t>
                  </w:r>
                </w:p>
              </w:tc>
              <w:tc>
                <w:tcPr>
                  <w:tcW w:w="1260" w:type="pct"/>
                  <w:noWrap w:val="0"/>
                  <w:vAlign w:val="center"/>
                </w:tcPr>
                <w:p w14:paraId="6B17EBE0">
                  <w:pPr>
                    <w:pStyle w:val="277"/>
                    <w:widowControl/>
                    <w:spacing w:line="240" w:lineRule="auto"/>
                    <w:ind w:firstLine="0" w:firstLineChars="0"/>
                    <w:jc w:val="left"/>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大竹县城镇开发边界</w:t>
                  </w:r>
                </w:p>
              </w:tc>
              <w:tc>
                <w:tcPr>
                  <w:tcW w:w="517" w:type="pct"/>
                  <w:noWrap w:val="0"/>
                  <w:vAlign w:val="center"/>
                </w:tcPr>
                <w:p w14:paraId="4B367E34">
                  <w:pPr>
                    <w:pStyle w:val="277"/>
                    <w:widowControl/>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达州市</w:t>
                  </w:r>
                </w:p>
              </w:tc>
              <w:tc>
                <w:tcPr>
                  <w:tcW w:w="519" w:type="pct"/>
                  <w:noWrap w:val="0"/>
                  <w:vAlign w:val="center"/>
                </w:tcPr>
                <w:p w14:paraId="740FA352">
                  <w:pPr>
                    <w:pStyle w:val="277"/>
                    <w:widowControl/>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大竹县</w:t>
                  </w:r>
                </w:p>
              </w:tc>
              <w:tc>
                <w:tcPr>
                  <w:tcW w:w="776" w:type="pct"/>
                  <w:noWrap w:val="0"/>
                  <w:vAlign w:val="center"/>
                </w:tcPr>
                <w:p w14:paraId="48DA720F">
                  <w:pPr>
                    <w:pStyle w:val="277"/>
                    <w:widowControl/>
                    <w:spacing w:line="240" w:lineRule="auto"/>
                    <w:ind w:firstLine="0" w:firstLineChars="0"/>
                    <w:jc w:val="left"/>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资源管控分区</w:t>
                  </w:r>
                </w:p>
              </w:tc>
              <w:tc>
                <w:tcPr>
                  <w:tcW w:w="1174" w:type="pct"/>
                  <w:noWrap w:val="0"/>
                  <w:vAlign w:val="center"/>
                </w:tcPr>
                <w:p w14:paraId="1CD0563B">
                  <w:pPr>
                    <w:pStyle w:val="277"/>
                    <w:widowControl/>
                    <w:spacing w:line="240" w:lineRule="auto"/>
                    <w:ind w:firstLine="0" w:firstLineChars="0"/>
                    <w:jc w:val="left"/>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土地资源重点管控区</w:t>
                  </w:r>
                </w:p>
              </w:tc>
            </w:tr>
            <w:tr w14:paraId="44F34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50" w:type="pct"/>
                  <w:noWrap w:val="0"/>
                  <w:vAlign w:val="center"/>
                </w:tcPr>
                <w:p w14:paraId="0462A11E">
                  <w:pPr>
                    <w:pStyle w:val="277"/>
                    <w:widowControl/>
                    <w:spacing w:line="240" w:lineRule="auto"/>
                    <w:ind w:firstLine="0" w:firstLineChars="0"/>
                    <w:jc w:val="left"/>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YS5117242550001</w:t>
                  </w:r>
                </w:p>
              </w:tc>
              <w:tc>
                <w:tcPr>
                  <w:tcW w:w="1260" w:type="pct"/>
                  <w:noWrap w:val="0"/>
                  <w:vAlign w:val="center"/>
                </w:tcPr>
                <w:p w14:paraId="651AE074">
                  <w:pPr>
                    <w:pStyle w:val="277"/>
                    <w:widowControl/>
                    <w:spacing w:line="240" w:lineRule="auto"/>
                    <w:ind w:firstLine="0" w:firstLineChars="0"/>
                    <w:jc w:val="left"/>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大竹县自然资源重点管控区</w:t>
                  </w:r>
                </w:p>
              </w:tc>
              <w:tc>
                <w:tcPr>
                  <w:tcW w:w="517" w:type="pct"/>
                  <w:noWrap w:val="0"/>
                  <w:vAlign w:val="center"/>
                </w:tcPr>
                <w:p w14:paraId="33CE4382">
                  <w:pPr>
                    <w:pStyle w:val="277"/>
                    <w:widowControl/>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达州市</w:t>
                  </w:r>
                </w:p>
              </w:tc>
              <w:tc>
                <w:tcPr>
                  <w:tcW w:w="519" w:type="pct"/>
                  <w:noWrap w:val="0"/>
                  <w:vAlign w:val="center"/>
                </w:tcPr>
                <w:p w14:paraId="6202C607">
                  <w:pPr>
                    <w:pStyle w:val="277"/>
                    <w:widowControl/>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大竹县</w:t>
                  </w:r>
                </w:p>
              </w:tc>
              <w:tc>
                <w:tcPr>
                  <w:tcW w:w="776" w:type="pct"/>
                  <w:noWrap w:val="0"/>
                  <w:vAlign w:val="center"/>
                </w:tcPr>
                <w:p w14:paraId="5336DA07">
                  <w:pPr>
                    <w:pStyle w:val="277"/>
                    <w:widowControl/>
                    <w:spacing w:line="240" w:lineRule="auto"/>
                    <w:ind w:firstLine="0" w:firstLineChars="0"/>
                    <w:jc w:val="left"/>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资源管控分区</w:t>
                  </w:r>
                </w:p>
              </w:tc>
              <w:tc>
                <w:tcPr>
                  <w:tcW w:w="1174" w:type="pct"/>
                  <w:noWrap w:val="0"/>
                  <w:vAlign w:val="center"/>
                </w:tcPr>
                <w:p w14:paraId="31B6439B">
                  <w:pPr>
                    <w:pStyle w:val="277"/>
                    <w:widowControl/>
                    <w:spacing w:line="240" w:lineRule="auto"/>
                    <w:ind w:firstLine="0" w:firstLineChars="0"/>
                    <w:jc w:val="left"/>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自然资源重点管控区</w:t>
                  </w:r>
                </w:p>
              </w:tc>
            </w:tr>
            <w:tr w14:paraId="5D38B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50" w:type="pct"/>
                  <w:noWrap w:val="0"/>
                  <w:vAlign w:val="center"/>
                </w:tcPr>
                <w:p w14:paraId="07C25360">
                  <w:pPr>
                    <w:pStyle w:val="277"/>
                    <w:widowControl/>
                    <w:spacing w:line="240" w:lineRule="auto"/>
                    <w:ind w:firstLine="0" w:firstLineChars="0"/>
                    <w:jc w:val="left"/>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YS5117242540001</w:t>
                  </w:r>
                </w:p>
              </w:tc>
              <w:tc>
                <w:tcPr>
                  <w:tcW w:w="1260" w:type="pct"/>
                  <w:noWrap w:val="0"/>
                  <w:vAlign w:val="center"/>
                </w:tcPr>
                <w:p w14:paraId="193DCE1E">
                  <w:pPr>
                    <w:pStyle w:val="277"/>
                    <w:widowControl/>
                    <w:spacing w:line="240" w:lineRule="auto"/>
                    <w:ind w:firstLine="0" w:firstLineChars="0"/>
                    <w:jc w:val="left"/>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大竹县高污染燃料禁燃区</w:t>
                  </w:r>
                </w:p>
              </w:tc>
              <w:tc>
                <w:tcPr>
                  <w:tcW w:w="517" w:type="pct"/>
                  <w:noWrap w:val="0"/>
                  <w:vAlign w:val="center"/>
                </w:tcPr>
                <w:p w14:paraId="6802A2B5">
                  <w:pPr>
                    <w:pStyle w:val="277"/>
                    <w:widowControl/>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达州市</w:t>
                  </w:r>
                </w:p>
              </w:tc>
              <w:tc>
                <w:tcPr>
                  <w:tcW w:w="519" w:type="pct"/>
                  <w:noWrap w:val="0"/>
                  <w:vAlign w:val="center"/>
                </w:tcPr>
                <w:p w14:paraId="4D4FE445">
                  <w:pPr>
                    <w:pStyle w:val="277"/>
                    <w:widowControl/>
                    <w:spacing w:line="240" w:lineRule="auto"/>
                    <w:ind w:firstLine="0" w:firstLineChars="0"/>
                    <w:jc w:val="center"/>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大竹县</w:t>
                  </w:r>
                </w:p>
              </w:tc>
              <w:tc>
                <w:tcPr>
                  <w:tcW w:w="776" w:type="pct"/>
                  <w:noWrap w:val="0"/>
                  <w:vAlign w:val="center"/>
                </w:tcPr>
                <w:p w14:paraId="2BA39F90">
                  <w:pPr>
                    <w:pStyle w:val="277"/>
                    <w:widowControl/>
                    <w:spacing w:line="240" w:lineRule="auto"/>
                    <w:ind w:firstLine="0" w:firstLineChars="0"/>
                    <w:jc w:val="left"/>
                    <w:rPr>
                      <w:rFonts w:hint="default" w:ascii="Times New Roman" w:hAnsi="Times New Roman" w:eastAsia="宋体" w:cs="Times New Roman"/>
                      <w:color w:val="auto"/>
                      <w:sz w:val="21"/>
                      <w:lang w:val="en-US" w:eastAsia="zh-CN"/>
                    </w:rPr>
                  </w:pPr>
                  <w:r>
                    <w:rPr>
                      <w:rStyle w:val="37"/>
                      <w:rFonts w:hint="default" w:ascii="Times New Roman" w:hAnsi="Times New Roman" w:eastAsia="宋体" w:cs="Times New Roman"/>
                      <w:color w:val="auto"/>
                      <w:kern w:val="2"/>
                      <w:sz w:val="21"/>
                      <w:szCs w:val="21"/>
                      <w:lang w:val="en-US" w:eastAsia="zh-CN" w:bidi="ar-SA"/>
                    </w:rPr>
                    <w:t>资源管控分区</w:t>
                  </w:r>
                </w:p>
              </w:tc>
              <w:tc>
                <w:tcPr>
                  <w:tcW w:w="1174" w:type="pct"/>
                  <w:noWrap w:val="0"/>
                  <w:vAlign w:val="center"/>
                </w:tcPr>
                <w:p w14:paraId="1BE18537">
                  <w:pPr>
                    <w:pStyle w:val="277"/>
                    <w:widowControl/>
                    <w:spacing w:line="240" w:lineRule="auto"/>
                    <w:ind w:firstLine="0" w:firstLineChars="0"/>
                    <w:jc w:val="left"/>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高污染燃料禁燃区</w:t>
                  </w:r>
                </w:p>
              </w:tc>
            </w:tr>
            <w:tr w14:paraId="73A08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750" w:type="pct"/>
                  <w:noWrap w:val="0"/>
                  <w:vAlign w:val="center"/>
                </w:tcPr>
                <w:p w14:paraId="2AD0F907">
                  <w:pPr>
                    <w:pStyle w:val="277"/>
                    <w:widowControl/>
                    <w:spacing w:line="240" w:lineRule="auto"/>
                    <w:ind w:firstLine="0" w:firstLineChars="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lang w:val="en-US" w:eastAsia="zh-CN"/>
                    </w:rPr>
                    <w:t>ZH51172420002</w:t>
                  </w:r>
                </w:p>
              </w:tc>
              <w:tc>
                <w:tcPr>
                  <w:tcW w:w="1260" w:type="pct"/>
                  <w:noWrap w:val="0"/>
                  <w:vAlign w:val="center"/>
                </w:tcPr>
                <w:p w14:paraId="4EB1A575">
                  <w:pPr>
                    <w:pStyle w:val="277"/>
                    <w:widowControl/>
                    <w:spacing w:line="240" w:lineRule="auto"/>
                    <w:ind w:firstLine="0" w:firstLineChars="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lang w:val="en-US" w:eastAsia="zh-CN"/>
                    </w:rPr>
                    <w:t>四川大竹经济开发区</w:t>
                  </w:r>
                </w:p>
              </w:tc>
              <w:tc>
                <w:tcPr>
                  <w:tcW w:w="517" w:type="pct"/>
                  <w:noWrap w:val="0"/>
                  <w:vAlign w:val="center"/>
                </w:tcPr>
                <w:p w14:paraId="16EC7007">
                  <w:pPr>
                    <w:pStyle w:val="277"/>
                    <w:widowControl/>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lang w:val="en-US" w:eastAsia="zh-CN"/>
                    </w:rPr>
                    <w:t>达州市</w:t>
                  </w:r>
                </w:p>
              </w:tc>
              <w:tc>
                <w:tcPr>
                  <w:tcW w:w="519" w:type="pct"/>
                  <w:noWrap w:val="0"/>
                  <w:vAlign w:val="center"/>
                </w:tcPr>
                <w:p w14:paraId="417DE865">
                  <w:pPr>
                    <w:pStyle w:val="277"/>
                    <w:widowControl/>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lang w:val="en-US" w:eastAsia="zh-CN"/>
                    </w:rPr>
                    <w:t>大竹县</w:t>
                  </w:r>
                </w:p>
              </w:tc>
              <w:tc>
                <w:tcPr>
                  <w:tcW w:w="776" w:type="pct"/>
                  <w:noWrap w:val="0"/>
                  <w:vAlign w:val="center"/>
                </w:tcPr>
                <w:p w14:paraId="40829676">
                  <w:pPr>
                    <w:pStyle w:val="277"/>
                    <w:widowControl/>
                    <w:spacing w:line="240" w:lineRule="auto"/>
                    <w:ind w:firstLine="0" w:firstLineChars="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lang w:val="en-US" w:eastAsia="zh-CN"/>
                    </w:rPr>
                    <w:t>环境综合管控单元</w:t>
                  </w:r>
                </w:p>
              </w:tc>
              <w:tc>
                <w:tcPr>
                  <w:tcW w:w="1174" w:type="pct"/>
                  <w:noWrap w:val="0"/>
                  <w:vAlign w:val="center"/>
                </w:tcPr>
                <w:p w14:paraId="77D48C6A">
                  <w:pPr>
                    <w:pStyle w:val="277"/>
                    <w:widowControl/>
                    <w:spacing w:line="240" w:lineRule="auto"/>
                    <w:ind w:firstLine="0" w:firstLineChars="0"/>
                    <w:jc w:val="left"/>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lang w:val="en-US" w:eastAsia="zh-CN"/>
                    </w:rPr>
                    <w:t>环境综合管控单元工业重点管控单元</w:t>
                  </w:r>
                </w:p>
              </w:tc>
            </w:tr>
          </w:tbl>
          <w:p w14:paraId="16A7E67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Style w:val="43"/>
                <w:rFonts w:hint="default" w:ascii="Times New Roman" w:hAnsi="Times New Roman" w:eastAsia="宋体" w:cs="Times New Roman"/>
                <w:color w:val="auto"/>
                <w:sz w:val="24"/>
                <w:szCs w:val="24"/>
              </w:rPr>
            </w:pPr>
            <w:r>
              <w:rPr>
                <w:rStyle w:val="52"/>
                <w:rFonts w:hint="default" w:ascii="Times New Roman" w:hAnsi="Times New Roman" w:cs="Times New Roman"/>
                <w:color w:val="auto"/>
                <w:sz w:val="24"/>
              </w:rPr>
              <w:t>项目所在地“</w:t>
            </w:r>
            <w:r>
              <w:rPr>
                <w:rFonts w:hint="default" w:ascii="Times New Roman" w:hAnsi="Times New Roman" w:cs="Times New Roman"/>
                <w:color w:val="auto"/>
                <w:sz w:val="24"/>
              </w:rPr>
              <w:t>生态环境分区管控单元</w:t>
            </w:r>
            <w:r>
              <w:rPr>
                <w:rStyle w:val="52"/>
                <w:rFonts w:hint="default" w:ascii="Times New Roman" w:hAnsi="Times New Roman" w:cs="Times New Roman"/>
                <w:color w:val="auto"/>
                <w:sz w:val="24"/>
              </w:rPr>
              <w:t>”</w:t>
            </w:r>
            <w:r>
              <w:rPr>
                <w:rStyle w:val="52"/>
                <w:rFonts w:hint="default" w:ascii="Times New Roman" w:hAnsi="Times New Roman" w:cs="Times New Roman"/>
                <w:color w:val="auto"/>
                <w:sz w:val="24"/>
                <w:lang w:val="en-US" w:eastAsia="zh-CN"/>
              </w:rPr>
              <w:t>查询</w:t>
            </w:r>
            <w:r>
              <w:rPr>
                <w:rStyle w:val="52"/>
                <w:rFonts w:hint="default" w:ascii="Times New Roman" w:hAnsi="Times New Roman" w:cs="Times New Roman"/>
                <w:color w:val="auto"/>
                <w:sz w:val="24"/>
              </w:rPr>
              <w:t>结果截图如下</w:t>
            </w:r>
            <w:r>
              <w:rPr>
                <w:rStyle w:val="43"/>
                <w:rFonts w:hint="default" w:ascii="Times New Roman" w:hAnsi="Times New Roman" w:eastAsia="宋体" w:cs="Times New Roman"/>
                <w:color w:val="auto"/>
                <w:sz w:val="24"/>
                <w:szCs w:val="24"/>
              </w:rPr>
              <w:t>：</w:t>
            </w:r>
          </w:p>
          <w:p w14:paraId="3EFB2B5F">
            <w:pPr>
              <w:autoSpaceDE w:val="0"/>
              <w:autoSpaceDN w:val="0"/>
              <w:adjustRightInd w:val="0"/>
              <w:snapToGrid w:val="0"/>
              <w:spacing w:before="120" w:beforeLines="50" w:line="360" w:lineRule="auto"/>
              <w:jc w:val="center"/>
              <w:rPr>
                <w:rFonts w:hint="default" w:ascii="Times New Roman" w:hAnsi="Times New Roman" w:cs="Times New Roman"/>
                <w:color w:val="auto"/>
                <w:kern w:val="0"/>
                <w:sz w:val="24"/>
              </w:rPr>
            </w:pPr>
            <w:r>
              <w:rPr>
                <w:rFonts w:hint="default" w:ascii="Times New Roman" w:hAnsi="Times New Roman" w:cs="Times New Roman"/>
                <w:color w:val="auto"/>
              </w:rPr>
              <w:drawing>
                <wp:inline distT="0" distB="0" distL="114300" distR="114300">
                  <wp:extent cx="3599815" cy="2755900"/>
                  <wp:effectExtent l="0" t="0" r="635" b="6350"/>
                  <wp:docPr id="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1"/>
                          <pic:cNvPicPr>
                            <a:picLocks noChangeAspect="1"/>
                          </pic:cNvPicPr>
                        </pic:nvPicPr>
                        <pic:blipFill>
                          <a:blip r:embed="rId9"/>
                          <a:stretch>
                            <a:fillRect/>
                          </a:stretch>
                        </pic:blipFill>
                        <pic:spPr>
                          <a:xfrm>
                            <a:off x="0" y="0"/>
                            <a:ext cx="3599815" cy="2755900"/>
                          </a:xfrm>
                          <a:prstGeom prst="rect">
                            <a:avLst/>
                          </a:prstGeom>
                          <a:noFill/>
                          <a:ln>
                            <a:noFill/>
                          </a:ln>
                        </pic:spPr>
                      </pic:pic>
                    </a:graphicData>
                  </a:graphic>
                </wp:inline>
              </w:drawing>
            </w:r>
          </w:p>
          <w:p w14:paraId="66895BC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图1.2-1  “生态环境分区管控单元”查询结果</w:t>
            </w:r>
          </w:p>
          <w:p w14:paraId="27087107">
            <w:pPr>
              <w:autoSpaceDE w:val="0"/>
              <w:autoSpaceDN w:val="0"/>
              <w:adjustRightInd w:val="0"/>
              <w:snapToGrid w:val="0"/>
              <w:spacing w:line="360" w:lineRule="auto"/>
              <w:ind w:firstLine="482" w:firstLineChars="200"/>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（2）项目与达州市生态红线、环境管控单元的位置关系</w:t>
            </w:r>
          </w:p>
          <w:p w14:paraId="7BB631BB">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项目与达州市生态红线关系图中位置关系见</w:t>
            </w:r>
            <w:r>
              <w:rPr>
                <w:rFonts w:hint="default" w:ascii="Times New Roman" w:hAnsi="Times New Roman" w:cs="Times New Roman"/>
                <w:color w:val="auto"/>
                <w:sz w:val="24"/>
                <w:lang w:val="en-US" w:eastAsia="zh-CN"/>
              </w:rPr>
              <w:t>图</w:t>
            </w:r>
            <w:r>
              <w:rPr>
                <w:rFonts w:hint="default" w:ascii="Times New Roman" w:hAnsi="Times New Roman" w:cs="Times New Roman"/>
                <w:color w:val="auto"/>
                <w:sz w:val="24"/>
              </w:rPr>
              <w:t>1.2-</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w:t>
            </w:r>
          </w:p>
          <w:p w14:paraId="518AE519">
            <w:pPr>
              <w:autoSpaceDE w:val="0"/>
              <w:autoSpaceDN w:val="0"/>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mc:AlternateContent>
                <mc:Choice Requires="wps">
                  <w:drawing>
                    <wp:anchor distT="0" distB="0" distL="114300" distR="114300" simplePos="0" relativeHeight="251661312" behindDoc="0" locked="0" layoutInCell="1" allowOverlap="1">
                      <wp:simplePos x="0" y="0"/>
                      <wp:positionH relativeFrom="column">
                        <wp:posOffset>2055495</wp:posOffset>
                      </wp:positionH>
                      <wp:positionV relativeFrom="paragraph">
                        <wp:posOffset>1897380</wp:posOffset>
                      </wp:positionV>
                      <wp:extent cx="914400" cy="276225"/>
                      <wp:effectExtent l="149860" t="4445" r="21590" b="5080"/>
                      <wp:wrapNone/>
                      <wp:docPr id="3" name="自选图形 1026"/>
                      <wp:cNvGraphicFramePr/>
                      <a:graphic xmlns:a="http://schemas.openxmlformats.org/drawingml/2006/main">
                        <a:graphicData uri="http://schemas.microsoft.com/office/word/2010/wordprocessingShape">
                          <wps:wsp>
                            <wps:cNvSpPr/>
                            <wps:spPr>
                              <a:xfrm>
                                <a:off x="0" y="0"/>
                                <a:ext cx="914400" cy="276225"/>
                              </a:xfrm>
                              <a:prstGeom prst="wedgeRoundRectCallout">
                                <a:avLst>
                                  <a:gd name="adj1" fmla="val -64236"/>
                                  <a:gd name="adj2" fmla="val -39426"/>
                                  <a:gd name="adj3" fmla="val 16667"/>
                                </a:avLst>
                              </a:prstGeom>
                              <a:solidFill>
                                <a:srgbClr val="FFFFFF"/>
                              </a:solidFill>
                              <a:ln w="9525" cap="flat" cmpd="sng">
                                <a:solidFill>
                                  <a:srgbClr val="FF0000"/>
                                </a:solidFill>
                                <a:prstDash val="solid"/>
                                <a:miter/>
                                <a:headEnd type="none" w="med" len="med"/>
                                <a:tailEnd type="none" w="med" len="med"/>
                              </a:ln>
                            </wps:spPr>
                            <wps:txbx>
                              <w:txbxContent>
                                <w:p w14:paraId="518A0B00">
                                  <w:r>
                                    <w:rPr>
                                      <w:rFonts w:hint="eastAsia"/>
                                    </w:rPr>
                                    <w:t>本项目位置</w:t>
                                  </w:r>
                                </w:p>
                              </w:txbxContent>
                            </wps:txbx>
                            <wps:bodyPr wrap="square" upright="1"/>
                          </wps:wsp>
                        </a:graphicData>
                      </a:graphic>
                    </wp:anchor>
                  </w:drawing>
                </mc:Choice>
                <mc:Fallback>
                  <w:pict>
                    <v:shape id="自选图形 1026" o:spid="_x0000_s1026" o:spt="62" type="#_x0000_t62" style="position:absolute;left:0pt;margin-left:161.85pt;margin-top:149.4pt;height:21.75pt;width:72pt;z-index:251661312;mso-width-relative:page;mso-height-relative:page;" fillcolor="#FFFFFF" filled="t" stroked="t" coordsize="21600,21600" o:gfxdata="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M+0v9oA&#10;AAALAQAADwAAAAAAAAABACAAAAAiAAAAZHJzL2Rvd25yZXYueG1sUEsBAhQAFAAAAAgAh07iQGxj&#10;mNxWAgAAxwQAAA4AAAAAAAAAAQAgAAAAKQEAAGRycy9lMm9Eb2MueG1sUEsFBgAAAAAGAAYAWQEA&#10;APEFAAAAAA==&#10;" adj="-3075,2284,14400">
                      <v:fill on="t" focussize="0,0"/>
                      <v:stroke color="#FF0000" joinstyle="miter"/>
                      <v:imagedata o:title=""/>
                      <o:lock v:ext="edit" aspectratio="f"/>
                      <v:textbox>
                        <w:txbxContent>
                          <w:p w14:paraId="518A0B00">
                            <w:r>
                              <w:rPr>
                                <w:rFonts w:hint="eastAsia"/>
                              </w:rPr>
                              <w:t>本项目位置</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662336" behindDoc="0" locked="0" layoutInCell="1" allowOverlap="1">
                      <wp:simplePos x="0" y="0"/>
                      <wp:positionH relativeFrom="column">
                        <wp:posOffset>1908175</wp:posOffset>
                      </wp:positionH>
                      <wp:positionV relativeFrom="paragraph">
                        <wp:posOffset>1879600</wp:posOffset>
                      </wp:positionV>
                      <wp:extent cx="45085" cy="52705"/>
                      <wp:effectExtent l="4445" t="4445" r="7620" b="19050"/>
                      <wp:wrapNone/>
                      <wp:docPr id="4" name="矩形 1027"/>
                      <wp:cNvGraphicFramePr/>
                      <a:graphic xmlns:a="http://schemas.openxmlformats.org/drawingml/2006/main">
                        <a:graphicData uri="http://schemas.microsoft.com/office/word/2010/wordprocessingShape">
                          <wps:wsp>
                            <wps:cNvSpPr/>
                            <wps:spPr>
                              <a:xfrm>
                                <a:off x="0" y="0"/>
                                <a:ext cx="45085" cy="52705"/>
                              </a:xfrm>
                              <a:prstGeom prst="rect">
                                <a:avLst/>
                              </a:prstGeom>
                              <a:solidFill>
                                <a:srgbClr val="FFFFFF"/>
                              </a:solidFill>
                              <a:ln w="9525" cap="flat" cmpd="sng">
                                <a:solidFill>
                                  <a:srgbClr val="FF0000"/>
                                </a:solidFill>
                                <a:prstDash val="solid"/>
                                <a:miter/>
                                <a:headEnd type="none" w="med" len="med"/>
                                <a:tailEnd type="none" w="med" len="med"/>
                              </a:ln>
                            </wps:spPr>
                            <wps:bodyPr wrap="square" upright="1"/>
                          </wps:wsp>
                        </a:graphicData>
                      </a:graphic>
                    </wp:anchor>
                  </w:drawing>
                </mc:Choice>
                <mc:Fallback>
                  <w:pict>
                    <v:rect id="矩形 1027" o:spid="_x0000_s1026" o:spt="1" style="position:absolute;left:0pt;margin-left:150.25pt;margin-top:148pt;height:4.15pt;width:3.55pt;z-index:251662336;mso-width-relative:page;mso-height-relative:page;" fillcolor="#FFFFFF" filled="t" stroked="t" coordsize="21600,21600" o:gfxdata="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Bfk+m2AAAAAsBAAAPAAAAAAAAAAEAIAAAACIAAABkcnMv&#10;ZG93bnJldi54bWxQSwECFAAUAAAACACHTuJAwptGiAMCAAAsBAAADgAAAAAAAAABACAAAAAnAQAA&#10;ZHJzL2Uyb0RvYy54bWxQSwUGAAAAAAYABgBZAQAAnAUAAAAA&#10;">
                      <v:fill on="t" focussize="0,0"/>
                      <v:stroke color="#FF0000" joinstyle="miter"/>
                      <v:imagedata o:title=""/>
                      <o:lock v:ext="edit" aspectratio="f"/>
                    </v:rect>
                  </w:pict>
                </mc:Fallback>
              </mc:AlternateContent>
            </w:r>
            <w:r>
              <w:rPr>
                <w:rFonts w:hint="default" w:ascii="Times New Roman" w:hAnsi="Times New Roman" w:cs="Times New Roman"/>
                <w:color w:val="auto"/>
                <w:sz w:val="24"/>
              </w:rPr>
              <w:drawing>
                <wp:inline distT="0" distB="0" distL="114300" distR="114300">
                  <wp:extent cx="3599815" cy="2334895"/>
                  <wp:effectExtent l="0" t="0" r="635" b="8255"/>
                  <wp:docPr id="9" name="图片 22" descr="三线一单-生态保护红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2" descr="三线一单-生态保护红线"/>
                          <pic:cNvPicPr>
                            <a:picLocks noChangeAspect="1"/>
                          </pic:cNvPicPr>
                        </pic:nvPicPr>
                        <pic:blipFill>
                          <a:blip r:embed="rId10"/>
                          <a:srcRect t="4375" b="3702"/>
                          <a:stretch>
                            <a:fillRect/>
                          </a:stretch>
                        </pic:blipFill>
                        <pic:spPr>
                          <a:xfrm>
                            <a:off x="0" y="0"/>
                            <a:ext cx="3599815" cy="2334895"/>
                          </a:xfrm>
                          <a:prstGeom prst="rect">
                            <a:avLst/>
                          </a:prstGeom>
                          <a:noFill/>
                          <a:ln>
                            <a:noFill/>
                          </a:ln>
                        </pic:spPr>
                      </pic:pic>
                    </a:graphicData>
                  </a:graphic>
                </wp:inline>
              </w:drawing>
            </w:r>
          </w:p>
          <w:p w14:paraId="72A38F49">
            <w:pPr>
              <w:autoSpaceDE w:val="0"/>
              <w:autoSpaceDN w:val="0"/>
              <w:adjustRightInd w:val="0"/>
              <w:snapToGrid w:val="0"/>
              <w:jc w:val="center"/>
              <w:rPr>
                <w:rFonts w:hint="default" w:ascii="Times New Roman" w:hAnsi="Times New Roman" w:cs="Times New Roman"/>
                <w:b/>
                <w:color w:val="auto"/>
                <w:sz w:val="24"/>
              </w:rPr>
            </w:pPr>
            <w:r>
              <w:rPr>
                <w:rFonts w:hint="default" w:ascii="Times New Roman" w:hAnsi="Times New Roman" w:cs="Times New Roman"/>
                <w:b/>
                <w:color w:val="auto"/>
                <w:sz w:val="24"/>
              </w:rPr>
              <w:t>图1.2-</w:t>
            </w:r>
            <w:r>
              <w:rPr>
                <w:rFonts w:hint="default" w:ascii="Times New Roman" w:hAnsi="Times New Roman" w:cs="Times New Roman"/>
                <w:b/>
                <w:color w:val="auto"/>
                <w:sz w:val="24"/>
                <w:lang w:val="en-US" w:eastAsia="zh-CN"/>
              </w:rPr>
              <w:t>2</w:t>
            </w:r>
            <w:r>
              <w:rPr>
                <w:rFonts w:hint="default" w:ascii="Times New Roman" w:hAnsi="Times New Roman" w:cs="Times New Roman"/>
                <w:b/>
                <w:color w:val="auto"/>
                <w:sz w:val="24"/>
              </w:rPr>
              <w:t xml:space="preserve">  项目与达州市生态保护红线分布图的位置关系</w:t>
            </w:r>
          </w:p>
          <w:p w14:paraId="6B11DB64">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项目位于达州市大竹县环境综合管控单元工业重点管控单元（管控单元名称：四川大竹经济开发区，管控单元编号：ZH51172420002）。项目与管控单元相对位置如下图所示：（图中</w:t>
            </w:r>
            <w:r>
              <w:rPr>
                <w:rFonts w:hint="default" w:ascii="Times New Roman" w:hAnsi="Times New Roman" w:eastAsia="Helvetica" w:cs="Times New Roman"/>
                <w:color w:val="auto"/>
                <w:sz w:val="28"/>
              </w:rPr>
              <w:t>▼</w:t>
            </w:r>
            <w:r>
              <w:rPr>
                <w:rFonts w:hint="default" w:ascii="Times New Roman" w:hAnsi="Times New Roman" w:cs="Times New Roman"/>
                <w:color w:val="auto"/>
                <w:sz w:val="24"/>
              </w:rPr>
              <w:t>表示项目位置）。</w:t>
            </w:r>
          </w:p>
          <w:p w14:paraId="6639779D">
            <w:pPr>
              <w:autoSpaceDE w:val="0"/>
              <w:autoSpaceDN w:val="0"/>
              <w:adjustRightInd w:val="0"/>
              <w:snapToGrid w:val="0"/>
              <w:spacing w:line="360" w:lineRule="auto"/>
              <w:ind w:firstLine="480" w:firstLineChars="200"/>
              <w:rPr>
                <w:rFonts w:hint="default" w:ascii="Times New Roman" w:hAnsi="Times New Roman" w:cs="Times New Roman"/>
                <w:color w:val="auto"/>
                <w:sz w:val="24"/>
              </w:rPr>
            </w:pPr>
          </w:p>
          <w:p w14:paraId="6DE2BFDB">
            <w:pPr>
              <w:adjustRightInd w:val="0"/>
              <w:snapToGrid w:val="0"/>
              <w:jc w:val="center"/>
              <w:rPr>
                <w:rFonts w:hint="default" w:ascii="Times New Roman" w:hAnsi="Times New Roman" w:cs="Times New Roman"/>
                <w:color w:val="auto"/>
                <w:sz w:val="28"/>
                <w:szCs w:val="28"/>
              </w:rPr>
            </w:pPr>
            <w:r>
              <w:rPr>
                <w:rFonts w:hint="default" w:ascii="Times New Roman" w:hAnsi="Times New Roman" w:cs="Times New Roman"/>
                <w:color w:val="auto"/>
                <w:sz w:val="28"/>
                <w:szCs w:val="28"/>
              </w:rPr>
              <mc:AlternateContent>
                <mc:Choice Requires="wps">
                  <w:drawing>
                    <wp:anchor distT="0" distB="0" distL="114300" distR="114300" simplePos="0" relativeHeight="251665408" behindDoc="0" locked="0" layoutInCell="1" allowOverlap="1">
                      <wp:simplePos x="0" y="0"/>
                      <wp:positionH relativeFrom="column">
                        <wp:posOffset>1257300</wp:posOffset>
                      </wp:positionH>
                      <wp:positionV relativeFrom="paragraph">
                        <wp:posOffset>2432685</wp:posOffset>
                      </wp:positionV>
                      <wp:extent cx="0" cy="118110"/>
                      <wp:effectExtent l="4445" t="0" r="14605" b="15240"/>
                      <wp:wrapNone/>
                      <wp:docPr id="7" name="自选图形 1034"/>
                      <wp:cNvGraphicFramePr/>
                      <a:graphic xmlns:a="http://schemas.openxmlformats.org/drawingml/2006/main">
                        <a:graphicData uri="http://schemas.microsoft.com/office/word/2010/wordprocessingShape">
                          <wps:wsp>
                            <wps:cNvCnPr/>
                            <wps:spPr>
                              <a:xfrm flipV="1">
                                <a:off x="0" y="0"/>
                                <a:ext cx="0" cy="11811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34" o:spid="_x0000_s1026" o:spt="32" type="#_x0000_t32" style="position:absolute;left:0pt;flip:y;margin-left:99pt;margin-top:191.55pt;height:9.3pt;width:0pt;z-index:251665408;mso-width-relative:page;mso-height-relative:page;" filled="f" stroked="t" coordsize="21600,21600" o:gfxdata="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oEj0TXAAAACwEAAA8AAAAAAAAAAQAgAAAAIgAAAGRycy9kb3ducmV2&#10;LnhtbFBLAQIUABQAAAAIAIdO4kCc7gqw/QEAAO8DAAAOAAAAAAAAAAEAIAAAACYBAABkcnMvZTJv&#10;RG9jLnhtbFBLBQYAAAAABgAGAFkBAACVBQAAAAA=&#10;">
                      <v:fill on="f" focussize="0,0"/>
                      <v:stroke color="#000000" joinstyle="round"/>
                      <v:imagedata o:title=""/>
                      <o:lock v:ext="edit" aspectratio="f"/>
                    </v:shape>
                  </w:pict>
                </mc:Fallback>
              </mc:AlternateContent>
            </w:r>
            <w:r>
              <w:rPr>
                <w:rFonts w:hint="default" w:ascii="Times New Roman" w:hAnsi="Times New Roman" w:eastAsia="Helvetica" w:cs="Times New Roman"/>
                <w:color w:val="auto"/>
                <w:sz w:val="28"/>
                <w:szCs w:val="24"/>
              </w:rPr>
              <w:drawing>
                <wp:inline distT="0" distB="0" distL="114300" distR="114300">
                  <wp:extent cx="4319905" cy="3054350"/>
                  <wp:effectExtent l="0" t="0" r="4445" b="12700"/>
                  <wp:docPr id="10"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6"/>
                          <pic:cNvPicPr>
                            <a:picLocks noChangeAspect="1"/>
                          </pic:cNvPicPr>
                        </pic:nvPicPr>
                        <pic:blipFill>
                          <a:blip r:embed="rId11"/>
                          <a:stretch>
                            <a:fillRect/>
                          </a:stretch>
                        </pic:blipFill>
                        <pic:spPr>
                          <a:xfrm>
                            <a:off x="0" y="0"/>
                            <a:ext cx="4319905" cy="3054350"/>
                          </a:xfrm>
                          <a:prstGeom prst="rect">
                            <a:avLst/>
                          </a:prstGeom>
                          <a:noFill/>
                          <a:ln>
                            <a:noFill/>
                          </a:ln>
                        </pic:spPr>
                      </pic:pic>
                    </a:graphicData>
                  </a:graphic>
                </wp:inline>
              </w:drawing>
            </w:r>
            <w:r>
              <w:rPr>
                <w:rFonts w:hint="default" w:ascii="Times New Roman" w:hAnsi="Times New Roman" w:cs="Times New Roman"/>
                <w:color w:val="auto"/>
                <w:sz w:val="28"/>
                <w:szCs w:val="28"/>
              </w:rPr>
              <mc:AlternateContent>
                <mc:Choice Requires="wps">
                  <w:drawing>
                    <wp:anchor distT="0" distB="0" distL="114300" distR="114300" simplePos="0" relativeHeight="251663360" behindDoc="0" locked="0" layoutInCell="1" allowOverlap="1">
                      <wp:simplePos x="0" y="0"/>
                      <wp:positionH relativeFrom="column">
                        <wp:posOffset>976630</wp:posOffset>
                      </wp:positionH>
                      <wp:positionV relativeFrom="paragraph">
                        <wp:posOffset>2421890</wp:posOffset>
                      </wp:positionV>
                      <wp:extent cx="3810" cy="118110"/>
                      <wp:effectExtent l="4445" t="0" r="10795" b="15240"/>
                      <wp:wrapNone/>
                      <wp:docPr id="5" name="自选图形 1032"/>
                      <wp:cNvGraphicFramePr/>
                      <a:graphic xmlns:a="http://schemas.openxmlformats.org/drawingml/2006/main">
                        <a:graphicData uri="http://schemas.microsoft.com/office/word/2010/wordprocessingShape">
                          <wps:wsp>
                            <wps:cNvCnPr/>
                            <wps:spPr>
                              <a:xfrm>
                                <a:off x="0" y="0"/>
                                <a:ext cx="3810" cy="11811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32" o:spid="_x0000_s1026" o:spt="32" type="#_x0000_t32" style="position:absolute;left:0pt;margin-left:76.9pt;margin-top:190.7pt;height:9.3pt;width:0.3pt;z-index:251663360;mso-width-relative:page;mso-height-relative:page;" filled="f" stroked="t" coordsize="21600,21600" o:gfxdata="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PnoUgdkAAAALAQAADwAAAAAAAAABACAAAAAiAAAAZHJzL2Rvd25yZXYueG1s&#10;UEsBAhQAFAAAAAgAh07iQNmsskD3AQAA6AMAAA4AAAAAAAAAAQAgAAAAKAEAAGRycy9lMm9Eb2Mu&#10;eG1sUEsFBgAAAAAGAAYAWQEAAJEFAAAAAA==&#10;">
                      <v:fill on="f" focussize="0,0"/>
                      <v:stroke color="#000000" joinstyle="round"/>
                      <v:imagedata o:title=""/>
                      <o:lock v:ext="edit" aspectratio="f"/>
                    </v:shape>
                  </w:pict>
                </mc:Fallback>
              </mc:AlternateContent>
            </w:r>
            <w:r>
              <w:rPr>
                <w:rFonts w:hint="default" w:ascii="Times New Roman" w:hAnsi="Times New Roman" w:cs="Times New Roman"/>
                <w:color w:val="auto"/>
                <w:sz w:val="28"/>
                <w:szCs w:val="28"/>
              </w:rPr>
              <mc:AlternateContent>
                <mc:Choice Requires="wps">
                  <w:drawing>
                    <wp:anchor distT="0" distB="0" distL="114300" distR="114300" simplePos="0" relativeHeight="251664384" behindDoc="0" locked="0" layoutInCell="1" allowOverlap="1">
                      <wp:simplePos x="0" y="0"/>
                      <wp:positionH relativeFrom="column">
                        <wp:posOffset>971550</wp:posOffset>
                      </wp:positionH>
                      <wp:positionV relativeFrom="paragraph">
                        <wp:posOffset>2536825</wp:posOffset>
                      </wp:positionV>
                      <wp:extent cx="300990" cy="0"/>
                      <wp:effectExtent l="0" t="5080" r="0" b="4445"/>
                      <wp:wrapNone/>
                      <wp:docPr id="6" name="自选图形 1033"/>
                      <wp:cNvGraphicFramePr/>
                      <a:graphic xmlns:a="http://schemas.openxmlformats.org/drawingml/2006/main">
                        <a:graphicData uri="http://schemas.microsoft.com/office/word/2010/wordprocessingShape">
                          <wps:wsp>
                            <wps:cNvCnPr/>
                            <wps:spPr>
                              <a:xfrm>
                                <a:off x="0" y="0"/>
                                <a:ext cx="30099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1033" o:spid="_x0000_s1026" o:spt="32" type="#_x0000_t32" style="position:absolute;left:0pt;margin-left:76.5pt;margin-top:199.75pt;height:0pt;width:23.7pt;z-index:251664384;mso-width-relative:page;mso-height-relative:page;" filled="f" stroked="t" coordsize="21600,21600" o:gfxdata="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iswCDXAAAACwEAAA8AAAAAAAAAAQAgAAAAIgAAAGRycy9kb3ducmV2LnhtbFBL&#10;AQIUABQAAAAIAIdO4kCp9VId9wEAAOUDAAAOAAAAAAAAAAEAIAAAACYBAABkcnMvZTJvRG9jLnht&#10;bFBLBQYAAAAABgAGAFkBAACPBQAAAAA=&#10;">
                      <v:fill on="f" focussize="0,0"/>
                      <v:stroke color="#000000" joinstyle="round"/>
                      <v:imagedata o:title=""/>
                      <o:lock v:ext="edit" aspectratio="f"/>
                    </v:shape>
                  </w:pict>
                </mc:Fallback>
              </mc:AlternateContent>
            </w:r>
            <w:r>
              <w:rPr>
                <w:rFonts w:hint="default" w:ascii="Times New Roman" w:hAnsi="Times New Roman" w:cs="Times New Roman"/>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601345</wp:posOffset>
                      </wp:positionH>
                      <wp:positionV relativeFrom="paragraph">
                        <wp:posOffset>1987550</wp:posOffset>
                      </wp:positionV>
                      <wp:extent cx="1055370" cy="676275"/>
                      <wp:effectExtent l="4445" t="4445" r="6985" b="5080"/>
                      <wp:wrapNone/>
                      <wp:docPr id="2" name="矩形 1028"/>
                      <wp:cNvGraphicFramePr/>
                      <a:graphic xmlns:a="http://schemas.openxmlformats.org/drawingml/2006/main">
                        <a:graphicData uri="http://schemas.microsoft.com/office/word/2010/wordprocessingShape">
                          <wps:wsp>
                            <wps:cNvSpPr/>
                            <wps:spPr>
                              <a:xfrm>
                                <a:off x="0" y="0"/>
                                <a:ext cx="1055370" cy="6762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B08BB5">
                                  <w:pPr>
                                    <w:jc w:val="center"/>
                                    <w:rPr>
                                      <w:b/>
                                    </w:rPr>
                                  </w:pPr>
                                  <w:r>
                                    <w:rPr>
                                      <w:rFonts w:hint="eastAsia"/>
                                      <w:b/>
                                    </w:rPr>
                                    <w:t>图例</w:t>
                                  </w:r>
                                </w:p>
                                <w:p w14:paraId="15C36AE5">
                                  <w:r>
                                    <w:rPr>
                                      <w:rFonts w:hint="eastAsia"/>
                                    </w:rPr>
                                    <w:t xml:space="preserve">项目位置 </w:t>
                                  </w:r>
                                  <w:r>
                                    <w:t xml:space="preserve"> </w:t>
                                  </w:r>
                                  <w:r>
                                    <w:rPr>
                                      <w:b/>
                                      <w:color w:val="00FFFF"/>
                                      <w:sz w:val="24"/>
                                    </w:rPr>
                                    <w:t>▼</w:t>
                                  </w:r>
                                </w:p>
                                <w:p w14:paraId="6965522B">
                                  <w:pPr>
                                    <w:rPr>
                                      <w:rFonts w:hint="eastAsia"/>
                                    </w:rPr>
                                  </w:pPr>
                                  <w:r>
                                    <w:rPr>
                                      <w:rFonts w:hint="eastAsia"/>
                                    </w:rPr>
                                    <w:t xml:space="preserve">比例 </w:t>
                                  </w:r>
                                  <w:r>
                                    <w:rPr>
                                      <w:rFonts w:hint="eastAsia"/>
                                      <w:lang w:val="en-US" w:eastAsia="zh-CN"/>
                                    </w:rPr>
                                    <w:t xml:space="preserve">   </w:t>
                                  </w:r>
                                  <w:r>
                                    <w:t xml:space="preserve"> </w:t>
                                  </w:r>
                                  <w:r>
                                    <w:rPr>
                                      <w:rFonts w:hint="eastAsia"/>
                                    </w:rPr>
                                    <w:t>6km</w:t>
                                  </w:r>
                                </w:p>
                              </w:txbxContent>
                            </wps:txbx>
                            <wps:bodyPr wrap="square" upright="1"/>
                          </wps:wsp>
                        </a:graphicData>
                      </a:graphic>
                    </wp:anchor>
                  </w:drawing>
                </mc:Choice>
                <mc:Fallback>
                  <w:pict>
                    <v:rect id="矩形 1028" o:spid="_x0000_s1026" o:spt="1" style="position:absolute;left:0pt;margin-left:47.35pt;margin-top:156.5pt;height:53.25pt;width:83.1pt;z-index:251660288;mso-width-relative:page;mso-height-relative:page;" fillcolor="#FFFFFF" filled="t" stroked="t" coordsize="21600,21600" o:gfxdata="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eSur2AAAAAoBAAAPAAAAAAAAAAEAIAAA&#10;ACIAAABkcnMvZG93bnJldi54bWxQSwECFAAUAAAACACHTuJAKg9Z4wwCAAA6BAAADgAAAAAAAAAB&#10;ACAAAAAnAQAAZHJzL2Uyb0RvYy54bWxQSwUGAAAAAAYABgBZAQAApQUAAAAA&#10;">
                      <v:fill on="t" focussize="0,0"/>
                      <v:stroke color="#000000" joinstyle="miter"/>
                      <v:imagedata o:title=""/>
                      <o:lock v:ext="edit" aspectratio="f"/>
                      <v:textbox>
                        <w:txbxContent>
                          <w:p w14:paraId="29B08BB5">
                            <w:pPr>
                              <w:jc w:val="center"/>
                              <w:rPr>
                                <w:b/>
                              </w:rPr>
                            </w:pPr>
                            <w:r>
                              <w:rPr>
                                <w:rFonts w:hint="eastAsia"/>
                                <w:b/>
                              </w:rPr>
                              <w:t>图例</w:t>
                            </w:r>
                          </w:p>
                          <w:p w14:paraId="15C36AE5">
                            <w:r>
                              <w:rPr>
                                <w:rFonts w:hint="eastAsia"/>
                              </w:rPr>
                              <w:t xml:space="preserve">项目位置 </w:t>
                            </w:r>
                            <w:r>
                              <w:t xml:space="preserve"> </w:t>
                            </w:r>
                            <w:r>
                              <w:rPr>
                                <w:b/>
                                <w:color w:val="00FFFF"/>
                                <w:sz w:val="24"/>
                              </w:rPr>
                              <w:t>▼</w:t>
                            </w:r>
                          </w:p>
                          <w:p w14:paraId="6965522B">
                            <w:pPr>
                              <w:rPr>
                                <w:rFonts w:hint="eastAsia"/>
                              </w:rPr>
                            </w:pPr>
                            <w:r>
                              <w:rPr>
                                <w:rFonts w:hint="eastAsia"/>
                              </w:rPr>
                              <w:t xml:space="preserve">比例 </w:t>
                            </w:r>
                            <w:r>
                              <w:rPr>
                                <w:rFonts w:hint="eastAsia"/>
                                <w:lang w:val="en-US" w:eastAsia="zh-CN"/>
                              </w:rPr>
                              <w:t xml:space="preserve">   </w:t>
                            </w:r>
                            <w:r>
                              <w:t xml:space="preserve"> </w:t>
                            </w:r>
                            <w:r>
                              <w:rPr>
                                <w:rFonts w:hint="eastAsia"/>
                              </w:rPr>
                              <w:t>6km</w:t>
                            </w:r>
                          </w:p>
                        </w:txbxContent>
                      </v:textbox>
                    </v:rect>
                  </w:pict>
                </mc:Fallback>
              </mc:AlternateContent>
            </w:r>
          </w:p>
          <w:p w14:paraId="20A8E6CA">
            <w:pPr>
              <w:adjustRightInd w:val="0"/>
              <w:snapToGrid w:val="0"/>
              <w:jc w:val="center"/>
              <w:rPr>
                <w:rFonts w:hint="default" w:ascii="Times New Roman" w:hAnsi="Times New Roman" w:cs="Times New Roman"/>
                <w:b/>
                <w:color w:val="auto"/>
                <w:sz w:val="24"/>
              </w:rPr>
            </w:pPr>
            <w:r>
              <w:rPr>
                <w:rFonts w:hint="default" w:ascii="Times New Roman" w:hAnsi="Times New Roman" w:cs="Times New Roman"/>
                <w:b/>
                <w:color w:val="auto"/>
                <w:sz w:val="24"/>
              </w:rPr>
              <w:t>图1.2-</w:t>
            </w:r>
            <w:r>
              <w:rPr>
                <w:rFonts w:hint="default" w:ascii="Times New Roman" w:hAnsi="Times New Roman" w:cs="Times New Roman"/>
                <w:b/>
                <w:color w:val="auto"/>
                <w:sz w:val="24"/>
                <w:lang w:val="en-US" w:eastAsia="zh-CN"/>
              </w:rPr>
              <w:t>3</w:t>
            </w:r>
            <w:r>
              <w:rPr>
                <w:rFonts w:hint="default" w:ascii="Times New Roman" w:hAnsi="Times New Roman" w:cs="Times New Roman"/>
                <w:b/>
                <w:color w:val="auto"/>
                <w:sz w:val="24"/>
              </w:rPr>
              <w:t xml:space="preserve">  项目与所在区域管控单元相对位置图</w:t>
            </w:r>
          </w:p>
          <w:p w14:paraId="5AAAB91C">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（3）生态环境准入清单符合性分析</w:t>
            </w:r>
          </w:p>
          <w:p w14:paraId="3E709F56">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bCs/>
                <w:color w:val="auto"/>
                <w:sz w:val="24"/>
              </w:rPr>
              <w:t>本项目位于四川大竹经济开发区。本次评价参照</w:t>
            </w:r>
            <w:r>
              <w:rPr>
                <w:rFonts w:hint="default" w:ascii="Times New Roman" w:hAnsi="Times New Roman" w:cs="Times New Roman"/>
                <w:color w:val="auto"/>
                <w:sz w:val="24"/>
              </w:rPr>
              <w:t>四川省政务服务网“生态环境分区管控符合性分析”系统分析结果，分别从空间布局约束、污染物排放管控、环境风险防控、资源开发效率四个</w:t>
            </w:r>
            <w:r>
              <w:rPr>
                <w:rFonts w:hint="default" w:ascii="Times New Roman" w:hAnsi="Times New Roman" w:cs="Times New Roman"/>
                <w:color w:val="auto"/>
                <w:sz w:val="24"/>
                <w:lang w:val="en-US" w:eastAsia="zh-CN"/>
              </w:rPr>
              <w:t>维度</w:t>
            </w:r>
            <w:r>
              <w:rPr>
                <w:rFonts w:hint="default" w:ascii="Times New Roman" w:hAnsi="Times New Roman" w:cs="Times New Roman"/>
                <w:color w:val="auto"/>
                <w:sz w:val="24"/>
              </w:rPr>
              <w:t>进行管控要求符合性分析，详见表1.2-2。</w:t>
            </w:r>
          </w:p>
          <w:p w14:paraId="4427841A">
            <w:pPr>
              <w:spacing w:line="360" w:lineRule="auto"/>
              <w:rPr>
                <w:rFonts w:hint="default" w:ascii="Times New Roman" w:hAnsi="Times New Roman" w:cs="Times New Roman"/>
                <w:color w:val="auto"/>
              </w:rPr>
            </w:pPr>
          </w:p>
        </w:tc>
      </w:tr>
    </w:tbl>
    <w:p w14:paraId="34907C9A">
      <w:pPr>
        <w:keepNext w:val="0"/>
        <w:keepLines w:val="0"/>
        <w:pageBreakBefore w:val="0"/>
        <w:widowControl w:val="0"/>
        <w:kinsoku/>
        <w:wordWrap/>
        <w:overflowPunct/>
        <w:topLinePunct w:val="0"/>
        <w:autoSpaceDE/>
        <w:autoSpaceDN/>
        <w:bidi w:val="0"/>
        <w:adjustRightInd/>
        <w:snapToGrid/>
        <w:spacing w:line="24" w:lineRule="auto"/>
        <w:textAlignment w:val="auto"/>
        <w:rPr>
          <w:rFonts w:hint="default" w:ascii="Times New Roman" w:hAnsi="Times New Roman" w:eastAsia="黑体" w:cs="Times New Roman"/>
          <w:color w:val="auto"/>
          <w:sz w:val="21"/>
          <w:szCs w:val="21"/>
        </w:rPr>
      </w:pPr>
    </w:p>
    <w:p w14:paraId="0D015BA2">
      <w:pPr>
        <w:keepNext w:val="0"/>
        <w:keepLines w:val="0"/>
        <w:pageBreakBefore w:val="0"/>
        <w:widowControl w:val="0"/>
        <w:kinsoku/>
        <w:wordWrap/>
        <w:overflowPunct/>
        <w:topLinePunct w:val="0"/>
        <w:autoSpaceDE/>
        <w:autoSpaceDN/>
        <w:bidi w:val="0"/>
        <w:adjustRightInd/>
        <w:snapToGrid/>
        <w:spacing w:line="24" w:lineRule="auto"/>
        <w:textAlignment w:val="auto"/>
        <w:rPr>
          <w:rFonts w:hint="default" w:ascii="Times New Roman" w:hAnsi="Times New Roman" w:eastAsia="黑体" w:cs="Times New Roman"/>
          <w:color w:val="auto"/>
          <w:sz w:val="21"/>
          <w:szCs w:val="21"/>
        </w:rPr>
        <w:sectPr>
          <w:footerReference r:id="rId5" w:type="default"/>
          <w:pgSz w:w="11906" w:h="16838"/>
          <w:pgMar w:top="1701" w:right="1531" w:bottom="1701" w:left="1531" w:header="851" w:footer="1077" w:gutter="0"/>
          <w:pgNumType w:fmt="decimal" w:start="1"/>
          <w:cols w:space="720" w:num="1"/>
          <w:docGrid w:linePitch="312" w:charSpace="0"/>
        </w:sectPr>
      </w:pPr>
    </w:p>
    <w:p w14:paraId="0F7EF4A8">
      <w:pPr>
        <w:spacing w:line="360" w:lineRule="auto"/>
        <w:rPr>
          <w:rFonts w:hint="default" w:ascii="Times New Roman" w:hAnsi="Times New Roman" w:cs="Times New Roman"/>
          <w:color w:val="auto"/>
          <w:sz w:val="24"/>
        </w:rPr>
      </w:pPr>
      <w:r>
        <w:rPr>
          <w:rFonts w:hint="default" w:ascii="Times New Roman" w:hAnsi="Times New Roman" w:cs="Times New Roman"/>
          <w:color w:val="auto"/>
          <w:sz w:val="24"/>
        </w:rPr>
        <w:t>项目环境管控单元符合性分析见下表：</w:t>
      </w:r>
    </w:p>
    <w:p w14:paraId="748DA1BA">
      <w:pPr>
        <w:pStyle w:val="209"/>
        <w:widowControl/>
        <w:autoSpaceDE/>
        <w:autoSpaceDN/>
        <w:snapToGrid w:val="0"/>
        <w:jc w:val="center"/>
        <w:rPr>
          <w:rFonts w:hint="default" w:ascii="Times New Roman" w:hAnsi="Times New Roman" w:eastAsia="黑体" w:cs="Times New Roman"/>
          <w:color w:val="auto"/>
          <w:sz w:val="30"/>
        </w:rPr>
      </w:pPr>
      <w:r>
        <w:rPr>
          <w:rFonts w:hint="default" w:ascii="Times New Roman" w:hAnsi="Times New Roman" w:cs="Times New Roman"/>
          <w:b/>
          <w:color w:val="auto"/>
          <w:szCs w:val="21"/>
        </w:rPr>
        <w:t>表1.2-2  环境管控单元符合性分析一览表</w:t>
      </w:r>
    </w:p>
    <w:tbl>
      <w:tblPr>
        <w:tblStyle w:val="278"/>
        <w:tblW w:w="14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0"/>
        <w:gridCol w:w="793"/>
        <w:gridCol w:w="4612"/>
        <w:gridCol w:w="1556"/>
        <w:gridCol w:w="3938"/>
        <w:gridCol w:w="2006"/>
        <w:gridCol w:w="479"/>
      </w:tblGrid>
      <w:tr w14:paraId="70C11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790" w:type="dxa"/>
            <w:noWrap w:val="0"/>
            <w:vAlign w:val="center"/>
          </w:tcPr>
          <w:p w14:paraId="6738E2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环境管控单元编码</w:t>
            </w:r>
          </w:p>
        </w:tc>
        <w:tc>
          <w:tcPr>
            <w:tcW w:w="793" w:type="dxa"/>
            <w:noWrap w:val="0"/>
            <w:vAlign w:val="center"/>
          </w:tcPr>
          <w:p w14:paraId="4019BEC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环境管控单元名称</w:t>
            </w:r>
          </w:p>
        </w:tc>
        <w:tc>
          <w:tcPr>
            <w:tcW w:w="4612" w:type="dxa"/>
            <w:noWrap w:val="0"/>
            <w:vAlign w:val="top"/>
          </w:tcPr>
          <w:p w14:paraId="7E6B1A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达州市普适性清单</w:t>
            </w:r>
          </w:p>
        </w:tc>
        <w:tc>
          <w:tcPr>
            <w:tcW w:w="1556" w:type="dxa"/>
            <w:noWrap w:val="0"/>
            <w:vAlign w:val="center"/>
          </w:tcPr>
          <w:p w14:paraId="507C02A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管控类别</w:t>
            </w:r>
          </w:p>
        </w:tc>
        <w:tc>
          <w:tcPr>
            <w:tcW w:w="3938" w:type="dxa"/>
            <w:noWrap w:val="0"/>
            <w:vAlign w:val="center"/>
          </w:tcPr>
          <w:p w14:paraId="2665C1F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单元特性管控要求</w:t>
            </w:r>
          </w:p>
        </w:tc>
        <w:tc>
          <w:tcPr>
            <w:tcW w:w="2006" w:type="dxa"/>
            <w:noWrap w:val="0"/>
            <w:vAlign w:val="center"/>
          </w:tcPr>
          <w:p w14:paraId="039CDD5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本项目情况</w:t>
            </w:r>
          </w:p>
        </w:tc>
        <w:tc>
          <w:tcPr>
            <w:tcW w:w="479" w:type="dxa"/>
            <w:noWrap w:val="0"/>
            <w:vAlign w:val="center"/>
          </w:tcPr>
          <w:p w14:paraId="269E559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0"/>
                <w:sz w:val="21"/>
                <w:szCs w:val="21"/>
                <w:lang w:val="en-US" w:eastAsia="zh-CN" w:bidi="ar-SA"/>
              </w:rPr>
            </w:pPr>
            <w:r>
              <w:rPr>
                <w:rFonts w:hint="default" w:ascii="Times New Roman" w:hAnsi="Times New Roman" w:eastAsia="宋体" w:cs="Times New Roman"/>
                <w:b/>
                <w:bCs/>
                <w:color w:val="auto"/>
                <w:kern w:val="0"/>
                <w:sz w:val="21"/>
                <w:szCs w:val="21"/>
                <w:lang w:val="en-US" w:eastAsia="zh-CN" w:bidi="ar-SA"/>
              </w:rPr>
              <w:t>符合性</w:t>
            </w:r>
          </w:p>
        </w:tc>
      </w:tr>
      <w:tr w14:paraId="78827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restart"/>
            <w:noWrap w:val="0"/>
            <w:vAlign w:val="center"/>
          </w:tcPr>
          <w:p w14:paraId="3785FC41">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YS5117242210001</w:t>
            </w:r>
          </w:p>
        </w:tc>
        <w:tc>
          <w:tcPr>
            <w:tcW w:w="793" w:type="dxa"/>
            <w:vMerge w:val="restart"/>
            <w:noWrap w:val="0"/>
            <w:vAlign w:val="center"/>
          </w:tcPr>
          <w:p w14:paraId="17C21683">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东柳河-大竹县-墩子河-控制单元</w:t>
            </w:r>
          </w:p>
        </w:tc>
        <w:tc>
          <w:tcPr>
            <w:tcW w:w="4612" w:type="dxa"/>
            <w:vMerge w:val="restart"/>
            <w:noWrap w:val="0"/>
            <w:vAlign w:val="top"/>
          </w:tcPr>
          <w:p w14:paraId="085C5C6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空间布局约束：</w:t>
            </w:r>
          </w:p>
          <w:p w14:paraId="1E4DB596">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禁止开发建设活动的要求</w:t>
            </w:r>
          </w:p>
          <w:p w14:paraId="1EFCCDF6">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24AAD61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限制开发建设活动的要求</w:t>
            </w:r>
          </w:p>
          <w:p w14:paraId="7F3736E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2304662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不符合空间布局要求活动的退出要求</w:t>
            </w:r>
          </w:p>
          <w:p w14:paraId="63208FD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5EB6EDD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其他空间布局约束要求</w:t>
            </w:r>
          </w:p>
          <w:p w14:paraId="10EF968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508B40D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污染物排放管控：</w:t>
            </w:r>
          </w:p>
          <w:p w14:paraId="62CA25C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允许排放量要求</w:t>
            </w:r>
          </w:p>
          <w:p w14:paraId="38A0D7C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4DEF9F5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现有源提标升级改造</w:t>
            </w:r>
          </w:p>
          <w:p w14:paraId="3863EAB6">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7A8034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其他污染物排放管控要求</w:t>
            </w:r>
          </w:p>
          <w:p w14:paraId="0B59D256">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373D07D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环境风险防控：</w:t>
            </w:r>
          </w:p>
          <w:p w14:paraId="7833D57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联防联控要求</w:t>
            </w:r>
          </w:p>
          <w:p w14:paraId="046011E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4E7D176">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其他环境风险防控要求</w:t>
            </w:r>
          </w:p>
          <w:p w14:paraId="1A16F7A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2BA3961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资源开发利用效率要求：</w:t>
            </w:r>
          </w:p>
          <w:p w14:paraId="2F61E1F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水资源利用总量要求</w:t>
            </w:r>
          </w:p>
          <w:p w14:paraId="623B05E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27D0011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地下水开采要求</w:t>
            </w:r>
          </w:p>
          <w:p w14:paraId="6485C9B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0ED177B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能源利用总量及效率要求</w:t>
            </w:r>
          </w:p>
          <w:p w14:paraId="0F141C8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6A3B22F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禁燃区要求</w:t>
            </w:r>
          </w:p>
          <w:p w14:paraId="602AD7F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67E96CE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其他资源利用效率要求</w:t>
            </w:r>
          </w:p>
          <w:p w14:paraId="555E750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tc>
        <w:tc>
          <w:tcPr>
            <w:tcW w:w="1556" w:type="dxa"/>
            <w:noWrap w:val="0"/>
            <w:vAlign w:val="center"/>
          </w:tcPr>
          <w:p w14:paraId="0C5F3ADD">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空间布局约束</w:t>
            </w:r>
          </w:p>
        </w:tc>
        <w:tc>
          <w:tcPr>
            <w:tcW w:w="3938" w:type="dxa"/>
            <w:noWrap w:val="0"/>
            <w:vAlign w:val="center"/>
          </w:tcPr>
          <w:p w14:paraId="00EF959D">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禁止开发建设活动的要求</w:t>
            </w:r>
          </w:p>
          <w:p w14:paraId="70B3F2B1">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限制开发建设活动的要求</w:t>
            </w:r>
          </w:p>
          <w:p w14:paraId="463DD817">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严控磷铵、黄磷等产业违规新增产能加快退出不符合产业政策和环保要求、不满足安全生产条件的涉磷企业</w:t>
            </w:r>
          </w:p>
          <w:p w14:paraId="6E7D5342">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允许开发建设活动的要求</w:t>
            </w:r>
          </w:p>
          <w:p w14:paraId="09AD45C6">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不符合空间布局要求活动的退出要求</w:t>
            </w:r>
          </w:p>
          <w:p w14:paraId="114C6A52">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其他空间布局约束要求</w:t>
            </w:r>
          </w:p>
        </w:tc>
        <w:tc>
          <w:tcPr>
            <w:tcW w:w="2006" w:type="dxa"/>
            <w:noWrap w:val="0"/>
            <w:vAlign w:val="center"/>
          </w:tcPr>
          <w:p w14:paraId="7065DD28">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本项目属于C2319包装装潢及其他印刷和C2929塑料零件及其他塑料制品制造，不属于禁止、限制的建设活动。</w:t>
            </w:r>
          </w:p>
        </w:tc>
        <w:tc>
          <w:tcPr>
            <w:tcW w:w="479" w:type="dxa"/>
            <w:noWrap w:val="0"/>
            <w:vAlign w:val="center"/>
          </w:tcPr>
          <w:p w14:paraId="29062BD6">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符合</w:t>
            </w:r>
          </w:p>
        </w:tc>
      </w:tr>
      <w:tr w14:paraId="6A2B6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noWrap w:val="0"/>
            <w:vAlign w:val="center"/>
          </w:tcPr>
          <w:p w14:paraId="6CFA1F86">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YS5117242210001</w:t>
            </w:r>
          </w:p>
        </w:tc>
        <w:tc>
          <w:tcPr>
            <w:tcW w:w="793" w:type="dxa"/>
            <w:vMerge w:val="continue"/>
            <w:noWrap w:val="0"/>
            <w:vAlign w:val="center"/>
          </w:tcPr>
          <w:p w14:paraId="71CE955D">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东柳河-大竹县-墩子河-控制单元</w:t>
            </w:r>
          </w:p>
        </w:tc>
        <w:tc>
          <w:tcPr>
            <w:tcW w:w="4612" w:type="dxa"/>
            <w:vMerge w:val="continue"/>
            <w:noWrap w:val="0"/>
            <w:vAlign w:val="top"/>
          </w:tcPr>
          <w:p w14:paraId="3C17307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空间布局约束：</w:t>
            </w:r>
          </w:p>
          <w:p w14:paraId="7D5A09C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禁止开发建设活动的要求</w:t>
            </w:r>
          </w:p>
          <w:p w14:paraId="447AFBC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4DF9AA2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限制开发建设活动的要求</w:t>
            </w:r>
          </w:p>
          <w:p w14:paraId="4448FC1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09652DD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不符合空间布局要求活动的退出要求</w:t>
            </w:r>
          </w:p>
          <w:p w14:paraId="382D91C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21AA0F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其他空间布局约束要求</w:t>
            </w:r>
          </w:p>
          <w:p w14:paraId="7174296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1DCA4C9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污染物排放管控：</w:t>
            </w:r>
          </w:p>
          <w:p w14:paraId="2A593F8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允许排放量要求</w:t>
            </w:r>
          </w:p>
          <w:p w14:paraId="1FB9855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5F5B83E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现有源提标升级改造</w:t>
            </w:r>
          </w:p>
          <w:p w14:paraId="03BCC5C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047238A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其他污染物排放管控要求</w:t>
            </w:r>
          </w:p>
          <w:p w14:paraId="3ED15DF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3876CF6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环境风险防控：</w:t>
            </w:r>
          </w:p>
          <w:p w14:paraId="73155FE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联防联控要求</w:t>
            </w:r>
          </w:p>
          <w:p w14:paraId="5652F8D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4D43F3C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其他环境风险防控要求</w:t>
            </w:r>
          </w:p>
          <w:p w14:paraId="02580AE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4A483C6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资源开发利用效率要求：</w:t>
            </w:r>
          </w:p>
          <w:p w14:paraId="39A5BF5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水资源利用总量要求</w:t>
            </w:r>
          </w:p>
          <w:p w14:paraId="2EFCE94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32EBC56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地下水开采要求</w:t>
            </w:r>
          </w:p>
          <w:p w14:paraId="453CC5F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37A9645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能源利用总量及效率要求</w:t>
            </w:r>
          </w:p>
          <w:p w14:paraId="08EBFB9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0EED69B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禁燃区要求</w:t>
            </w:r>
          </w:p>
          <w:p w14:paraId="0FDBB48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3A29957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其他资源利用效率要求</w:t>
            </w:r>
          </w:p>
          <w:p w14:paraId="2C77728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tc>
        <w:tc>
          <w:tcPr>
            <w:tcW w:w="1556" w:type="dxa"/>
            <w:noWrap w:val="0"/>
            <w:vAlign w:val="center"/>
          </w:tcPr>
          <w:p w14:paraId="2E0DB4EB">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污染物排放管控</w:t>
            </w:r>
          </w:p>
        </w:tc>
        <w:tc>
          <w:tcPr>
            <w:tcW w:w="3938" w:type="dxa"/>
            <w:noWrap w:val="0"/>
            <w:vAlign w:val="center"/>
          </w:tcPr>
          <w:p w14:paraId="0DF5E32D">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城镇污水污染控制措施要求</w:t>
            </w:r>
          </w:p>
          <w:p w14:paraId="30BEE954">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工业废水污染控制措施要求</w:t>
            </w:r>
          </w:p>
          <w:p w14:paraId="5D3017B5">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1、深入实施工业企业污水处理设施升级改造，全面实现工业废水达标排放。2、强化工业集聚区污水治理，推进工业污水集中处理设施及配套收集系统建设与提标升级改造，大力推进现有污水收集、处理设施问题排查及整治；完善园区及企业雨污分流系统，全面推进医药、化工等行业初期雨水收集处理，推动有条件的园区实施入园企业“一企一管、明管输送、实时监测”。3、加强工业园区集中污水处理设施运行监管，</w:t>
            </w:r>
            <w:r>
              <w:rPr>
                <w:rStyle w:val="37"/>
                <w:rFonts w:hint="eastAsia" w:eastAsia="宋体" w:cs="Times New Roman"/>
                <w:color w:val="auto"/>
                <w:kern w:val="2"/>
                <w:sz w:val="21"/>
                <w:szCs w:val="21"/>
                <w:lang w:val="en-US" w:eastAsia="zh-CN" w:bidi="ar-SA"/>
              </w:rPr>
              <w:t>加</w:t>
            </w:r>
            <w:r>
              <w:rPr>
                <w:rStyle w:val="37"/>
                <w:rFonts w:hint="default" w:ascii="Times New Roman" w:hAnsi="Times New Roman" w:eastAsia="宋体" w:cs="Times New Roman"/>
                <w:color w:val="auto"/>
                <w:kern w:val="2"/>
                <w:sz w:val="21"/>
                <w:szCs w:val="21"/>
                <w:lang w:val="en-US" w:eastAsia="zh-CN" w:bidi="ar-SA"/>
              </w:rPr>
              <w:t>强企业废水预处理和排水管理，鼓励纳管企业与园区污水处理厂运营单位通过签订委托处理合同等方式协同处理废水。4、加强新化学物质环境管理，严格执行《新化学物质环境管理登记办法》，落实企业新化学物质环境风险防控主体责任。落实国家《优先控制化学品名录（第一批）》《优先控制化学品名录（第二批）》《重点管控新污染物清单（2023年版）》</w:t>
            </w:r>
            <w:r>
              <w:rPr>
                <w:rStyle w:val="37"/>
                <w:rFonts w:hint="eastAsia" w:eastAsia="宋体" w:cs="Times New Roman"/>
                <w:color w:val="auto"/>
                <w:kern w:val="2"/>
                <w:sz w:val="21"/>
                <w:szCs w:val="21"/>
                <w:lang w:val="en-US" w:eastAsia="zh-CN" w:bidi="ar-SA"/>
              </w:rPr>
              <w:t>等</w:t>
            </w:r>
            <w:r>
              <w:rPr>
                <w:rStyle w:val="37"/>
                <w:rFonts w:hint="default" w:ascii="Times New Roman" w:hAnsi="Times New Roman" w:eastAsia="宋体" w:cs="Times New Roman"/>
                <w:color w:val="auto"/>
                <w:kern w:val="2"/>
                <w:sz w:val="21"/>
                <w:szCs w:val="21"/>
                <w:lang w:val="en-US" w:eastAsia="zh-CN" w:bidi="ar-SA"/>
              </w:rPr>
              <w:t>环境风险管控措施。</w:t>
            </w:r>
          </w:p>
          <w:p w14:paraId="37E752C6">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农业面源水污染控制措施要求</w:t>
            </w:r>
          </w:p>
          <w:p w14:paraId="4C304EA0">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船舶港口水污染控制措施要求</w:t>
            </w:r>
          </w:p>
          <w:p w14:paraId="2A753E19">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饮用水水源和其它特殊水体保护要求</w:t>
            </w:r>
          </w:p>
        </w:tc>
        <w:tc>
          <w:tcPr>
            <w:tcW w:w="2006" w:type="dxa"/>
            <w:noWrap w:val="0"/>
            <w:vAlign w:val="center"/>
          </w:tcPr>
          <w:p w14:paraId="1FF48C50">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highlight w:val="none"/>
                <w:lang w:val="en-US" w:eastAsia="zh-CN" w:bidi="ar-SA"/>
              </w:rPr>
              <w:t>本项目废水经生化池处理达标后排入市政污水管网。</w:t>
            </w:r>
          </w:p>
        </w:tc>
        <w:tc>
          <w:tcPr>
            <w:tcW w:w="479" w:type="dxa"/>
            <w:noWrap w:val="0"/>
            <w:vAlign w:val="center"/>
          </w:tcPr>
          <w:p w14:paraId="290F2F9C">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符合</w:t>
            </w:r>
          </w:p>
        </w:tc>
      </w:tr>
      <w:tr w14:paraId="508A2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noWrap w:val="0"/>
            <w:vAlign w:val="center"/>
          </w:tcPr>
          <w:p w14:paraId="2BAE02AB">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YS5117242210001</w:t>
            </w:r>
          </w:p>
        </w:tc>
        <w:tc>
          <w:tcPr>
            <w:tcW w:w="793" w:type="dxa"/>
            <w:vMerge w:val="continue"/>
            <w:noWrap w:val="0"/>
            <w:vAlign w:val="center"/>
          </w:tcPr>
          <w:p w14:paraId="31CB8D28">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东柳河-大竹县-墩子河-控制单元</w:t>
            </w:r>
          </w:p>
        </w:tc>
        <w:tc>
          <w:tcPr>
            <w:tcW w:w="4612" w:type="dxa"/>
            <w:vMerge w:val="continue"/>
            <w:noWrap w:val="0"/>
            <w:vAlign w:val="top"/>
          </w:tcPr>
          <w:p w14:paraId="415945A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空间布局约束：</w:t>
            </w:r>
          </w:p>
          <w:p w14:paraId="0C7ADD1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禁止开发建设活动的要求</w:t>
            </w:r>
          </w:p>
          <w:p w14:paraId="5417CAF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DDD717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限制开发建设活动的要求</w:t>
            </w:r>
          </w:p>
          <w:p w14:paraId="6DE3C2D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283066B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不符合空间布局要求活动的退出要求</w:t>
            </w:r>
          </w:p>
          <w:p w14:paraId="6154B33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0080F43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其他空间布局约束要求</w:t>
            </w:r>
          </w:p>
          <w:p w14:paraId="3E5A8BA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6D0D2AB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污染物排放管控：</w:t>
            </w:r>
          </w:p>
          <w:p w14:paraId="4BBB101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允许排放量要求</w:t>
            </w:r>
          </w:p>
          <w:p w14:paraId="1937D47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066E08B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现有源提标升级改造</w:t>
            </w:r>
          </w:p>
          <w:p w14:paraId="6B5B9D9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394E674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其他污染物排放管控要求</w:t>
            </w:r>
          </w:p>
          <w:p w14:paraId="7775F23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57AA85A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环境风险防控：</w:t>
            </w:r>
          </w:p>
          <w:p w14:paraId="1BC5361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联防联控要求</w:t>
            </w:r>
          </w:p>
          <w:p w14:paraId="2DB4D4B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424B5C8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其他环境风险防控要求</w:t>
            </w:r>
          </w:p>
          <w:p w14:paraId="6333C24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2CB207E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资源开发利用效率要求：</w:t>
            </w:r>
          </w:p>
          <w:p w14:paraId="2BA7110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水资源利用总量要求</w:t>
            </w:r>
          </w:p>
          <w:p w14:paraId="44E2A9A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5D5FF1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地下水开采要求</w:t>
            </w:r>
          </w:p>
          <w:p w14:paraId="2E05096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FB8BF9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能源利用总量及效率要求</w:t>
            </w:r>
          </w:p>
          <w:p w14:paraId="2F13E85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2C869CF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禁燃区要求</w:t>
            </w:r>
          </w:p>
          <w:p w14:paraId="1C0974E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0C99503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其他资源利用效率要求</w:t>
            </w:r>
          </w:p>
          <w:p w14:paraId="42B9B54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tc>
        <w:tc>
          <w:tcPr>
            <w:tcW w:w="1556" w:type="dxa"/>
            <w:noWrap w:val="0"/>
            <w:vAlign w:val="center"/>
          </w:tcPr>
          <w:p w14:paraId="51459CE6">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环境风险防控</w:t>
            </w:r>
          </w:p>
        </w:tc>
        <w:tc>
          <w:tcPr>
            <w:tcW w:w="3938" w:type="dxa"/>
            <w:noWrap w:val="0"/>
            <w:vAlign w:val="center"/>
          </w:tcPr>
          <w:p w14:paraId="78BF1267">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禁止在长江干支流岸线一公里范围内新建、扩建化工园区和化工项目。按要求设置生态隔离带，建设相应的防护工程。合理设置与抗风险能力相匹配的事故调蓄设施和环境应急措施。强化工业园区环境风险防控工作，突出全防全控，完善各项环境风险防范制度，确保将风险防范纳入日常环境管理制度体系。加强执法监督，实现对工业园区、重点工矿企业和主要环境风险类型的动态监控。</w:t>
            </w:r>
          </w:p>
        </w:tc>
        <w:tc>
          <w:tcPr>
            <w:tcW w:w="2006" w:type="dxa"/>
            <w:noWrap w:val="0"/>
            <w:vAlign w:val="center"/>
          </w:tcPr>
          <w:p w14:paraId="440C0D02">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highlight w:val="none"/>
                <w:lang w:val="en-US" w:eastAsia="zh-CN" w:bidi="ar-SA"/>
              </w:rPr>
              <w:t>本项目不属于化工类项目。本项目已严格提出各项环境风险防范措施。</w:t>
            </w:r>
          </w:p>
        </w:tc>
        <w:tc>
          <w:tcPr>
            <w:tcW w:w="479" w:type="dxa"/>
            <w:noWrap w:val="0"/>
            <w:vAlign w:val="center"/>
          </w:tcPr>
          <w:p w14:paraId="1CC10FDE">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符合</w:t>
            </w:r>
          </w:p>
        </w:tc>
      </w:tr>
      <w:tr w14:paraId="71CD7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noWrap w:val="0"/>
            <w:vAlign w:val="center"/>
          </w:tcPr>
          <w:p w14:paraId="2FA42B6A">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YS5117242210001</w:t>
            </w:r>
          </w:p>
        </w:tc>
        <w:tc>
          <w:tcPr>
            <w:tcW w:w="793" w:type="dxa"/>
            <w:vMerge w:val="continue"/>
            <w:noWrap w:val="0"/>
            <w:vAlign w:val="center"/>
          </w:tcPr>
          <w:p w14:paraId="4BE97C0F">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东柳河-大竹县-墩子河-控制单元</w:t>
            </w:r>
          </w:p>
        </w:tc>
        <w:tc>
          <w:tcPr>
            <w:tcW w:w="4612" w:type="dxa"/>
            <w:vMerge w:val="continue"/>
            <w:noWrap w:val="0"/>
            <w:vAlign w:val="top"/>
          </w:tcPr>
          <w:p w14:paraId="2767AB5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空间布局约束：</w:t>
            </w:r>
          </w:p>
          <w:p w14:paraId="25EFD55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禁止开发建设活动的要求</w:t>
            </w:r>
          </w:p>
          <w:p w14:paraId="6832E39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47C3DAC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限制开发建设活动的要求</w:t>
            </w:r>
          </w:p>
          <w:p w14:paraId="4DA0975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199A800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不符合空间布局要求活动的退出要求</w:t>
            </w:r>
          </w:p>
          <w:p w14:paraId="58A1FE0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1F46309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其他空间布局约束要求</w:t>
            </w:r>
          </w:p>
          <w:p w14:paraId="57E5474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270B4646">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污染物排放管控：</w:t>
            </w:r>
          </w:p>
          <w:p w14:paraId="21B76B4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允许排放量要求</w:t>
            </w:r>
          </w:p>
          <w:p w14:paraId="61BE9AA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63682F8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现有源提标升级改造</w:t>
            </w:r>
          </w:p>
          <w:p w14:paraId="5EABF08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5A7532E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其他污染物排放管控要求</w:t>
            </w:r>
          </w:p>
          <w:p w14:paraId="08AFCD6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031A775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环境风险防控：</w:t>
            </w:r>
          </w:p>
          <w:p w14:paraId="75E6035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联防联控要求</w:t>
            </w:r>
          </w:p>
          <w:p w14:paraId="62E6459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129AD4A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其他环境风险防控要求</w:t>
            </w:r>
          </w:p>
          <w:p w14:paraId="40BB89F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0EA2F54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资源开发利用效率要求：</w:t>
            </w:r>
          </w:p>
          <w:p w14:paraId="3CCD9A9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水资源利用总量要求</w:t>
            </w:r>
          </w:p>
          <w:p w14:paraId="77EB444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79ED936">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地下水开采要求</w:t>
            </w:r>
          </w:p>
          <w:p w14:paraId="1CB89E0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2DFF762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能源利用总量及效率要求</w:t>
            </w:r>
          </w:p>
          <w:p w14:paraId="4EB3FA2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0DA3D2D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禁燃区要求</w:t>
            </w:r>
          </w:p>
          <w:p w14:paraId="46A6DC0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5DEF357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其他资源利用效率要求</w:t>
            </w:r>
          </w:p>
          <w:p w14:paraId="1CBB26F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tc>
        <w:tc>
          <w:tcPr>
            <w:tcW w:w="1556" w:type="dxa"/>
            <w:noWrap w:val="0"/>
            <w:vAlign w:val="center"/>
          </w:tcPr>
          <w:p w14:paraId="3AD8B2DA">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资源开发效率要求</w:t>
            </w:r>
          </w:p>
        </w:tc>
        <w:tc>
          <w:tcPr>
            <w:tcW w:w="3938" w:type="dxa"/>
            <w:noWrap w:val="0"/>
            <w:vAlign w:val="center"/>
          </w:tcPr>
          <w:p w14:paraId="40166C55">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加强高耗水行业用水定额管理，以水定产，严格控制高耗水新建、改建、扩建项目。</w:t>
            </w:r>
          </w:p>
        </w:tc>
        <w:tc>
          <w:tcPr>
            <w:tcW w:w="2006" w:type="dxa"/>
            <w:noWrap w:val="0"/>
            <w:vAlign w:val="center"/>
          </w:tcPr>
          <w:p w14:paraId="4D2D0868">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本项目不属于高耗水行业。</w:t>
            </w:r>
          </w:p>
        </w:tc>
        <w:tc>
          <w:tcPr>
            <w:tcW w:w="479" w:type="dxa"/>
            <w:noWrap w:val="0"/>
            <w:vAlign w:val="center"/>
          </w:tcPr>
          <w:p w14:paraId="013440AE">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符合</w:t>
            </w:r>
          </w:p>
        </w:tc>
      </w:tr>
      <w:tr w14:paraId="5D0FE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restart"/>
            <w:noWrap w:val="0"/>
            <w:vAlign w:val="center"/>
          </w:tcPr>
          <w:p w14:paraId="2BD352E2">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YS5117242310001</w:t>
            </w:r>
          </w:p>
        </w:tc>
        <w:tc>
          <w:tcPr>
            <w:tcW w:w="793" w:type="dxa"/>
            <w:vMerge w:val="restart"/>
            <w:noWrap w:val="0"/>
            <w:vAlign w:val="center"/>
          </w:tcPr>
          <w:p w14:paraId="4EA17903">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四川大竹经济开发区</w:t>
            </w:r>
          </w:p>
        </w:tc>
        <w:tc>
          <w:tcPr>
            <w:tcW w:w="4612" w:type="dxa"/>
            <w:vMerge w:val="continue"/>
            <w:noWrap w:val="0"/>
            <w:vAlign w:val="top"/>
          </w:tcPr>
          <w:p w14:paraId="56EA48B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空间布局约束：</w:t>
            </w:r>
          </w:p>
          <w:p w14:paraId="40F6050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禁止开发建设活动的要求</w:t>
            </w:r>
          </w:p>
          <w:p w14:paraId="09ABA65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8BC059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限制开发建设活动的要求</w:t>
            </w:r>
          </w:p>
          <w:p w14:paraId="3DE703F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F4DF5D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不符合空间布局要求活动的退出要求</w:t>
            </w:r>
          </w:p>
          <w:p w14:paraId="4DACC1B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16D7636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其他空间布局约束要求</w:t>
            </w:r>
          </w:p>
          <w:p w14:paraId="50DE30A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20468D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污染物排放管控：</w:t>
            </w:r>
          </w:p>
          <w:p w14:paraId="4070D0C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允许排放量要求</w:t>
            </w:r>
          </w:p>
          <w:p w14:paraId="0D37FD26">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34456986">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现有源提标升级改造</w:t>
            </w:r>
          </w:p>
          <w:p w14:paraId="47A2F10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6AE0D31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其他污染物排放管控要求</w:t>
            </w:r>
          </w:p>
          <w:p w14:paraId="374DDFD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131E865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环境风险防控：</w:t>
            </w:r>
          </w:p>
          <w:p w14:paraId="54CEA02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联防联控要求</w:t>
            </w:r>
          </w:p>
          <w:p w14:paraId="4EA4EA5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04B8FCB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其他环境风险防控要求</w:t>
            </w:r>
          </w:p>
          <w:p w14:paraId="2ED474E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53D104C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资源开发利用效率要求：</w:t>
            </w:r>
          </w:p>
          <w:p w14:paraId="61882A1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水资源利用总量要求</w:t>
            </w:r>
          </w:p>
          <w:p w14:paraId="3D95E2B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35B3A23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地下水开采要求</w:t>
            </w:r>
          </w:p>
          <w:p w14:paraId="1E41B59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67D4A74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能源利用总量及效率要求</w:t>
            </w:r>
          </w:p>
          <w:p w14:paraId="5630900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7FBE70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禁燃区要求</w:t>
            </w:r>
          </w:p>
          <w:p w14:paraId="7281446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87D457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其他资源利用效率要求</w:t>
            </w:r>
          </w:p>
          <w:p w14:paraId="08EF9CE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tc>
        <w:tc>
          <w:tcPr>
            <w:tcW w:w="1556" w:type="dxa"/>
            <w:noWrap w:val="0"/>
            <w:vAlign w:val="center"/>
          </w:tcPr>
          <w:p w14:paraId="31EFD4D4">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空间布局约束</w:t>
            </w:r>
          </w:p>
        </w:tc>
        <w:tc>
          <w:tcPr>
            <w:tcW w:w="3938" w:type="dxa"/>
            <w:noWrap w:val="0"/>
            <w:vAlign w:val="center"/>
          </w:tcPr>
          <w:p w14:paraId="0B5BD02A">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禁止开发建设活动的要求</w:t>
            </w:r>
          </w:p>
          <w:p w14:paraId="7622141D">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w:t>
            </w:r>
          </w:p>
          <w:p w14:paraId="5EA8999F">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限制开发建设活动的要求</w:t>
            </w:r>
          </w:p>
          <w:p w14:paraId="3D7FEB30">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w:t>
            </w:r>
          </w:p>
          <w:p w14:paraId="02D459B6">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允许开发建设活动的要求</w:t>
            </w:r>
          </w:p>
          <w:p w14:paraId="1A28CC89">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w:t>
            </w:r>
          </w:p>
          <w:p w14:paraId="7151ED77">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不符合空间布局要求活动的退出要求</w:t>
            </w:r>
          </w:p>
          <w:p w14:paraId="187632C5">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w:t>
            </w:r>
          </w:p>
          <w:p w14:paraId="75753256">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其他空间布局约束要求</w:t>
            </w:r>
          </w:p>
          <w:p w14:paraId="35B533AF">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w:t>
            </w:r>
          </w:p>
        </w:tc>
        <w:tc>
          <w:tcPr>
            <w:tcW w:w="2006" w:type="dxa"/>
            <w:noWrap w:val="0"/>
            <w:vAlign w:val="center"/>
          </w:tcPr>
          <w:p w14:paraId="7B76152B">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本项目属于C2319包装装潢及其他印刷和C2929塑料零件及其他塑料制品制造，不属于禁止、限制的建设活动。</w:t>
            </w:r>
          </w:p>
        </w:tc>
        <w:tc>
          <w:tcPr>
            <w:tcW w:w="479" w:type="dxa"/>
            <w:noWrap w:val="0"/>
            <w:vAlign w:val="center"/>
          </w:tcPr>
          <w:p w14:paraId="18193FD9">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符合</w:t>
            </w:r>
          </w:p>
        </w:tc>
      </w:tr>
      <w:tr w14:paraId="6C0A7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noWrap w:val="0"/>
            <w:vAlign w:val="center"/>
          </w:tcPr>
          <w:p w14:paraId="66D670F4">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YS5117242310001</w:t>
            </w:r>
          </w:p>
        </w:tc>
        <w:tc>
          <w:tcPr>
            <w:tcW w:w="793" w:type="dxa"/>
            <w:vMerge w:val="continue"/>
            <w:noWrap w:val="0"/>
            <w:vAlign w:val="center"/>
          </w:tcPr>
          <w:p w14:paraId="35836016">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四川大竹经济开发区</w:t>
            </w:r>
          </w:p>
        </w:tc>
        <w:tc>
          <w:tcPr>
            <w:tcW w:w="4612" w:type="dxa"/>
            <w:vMerge w:val="continue"/>
            <w:noWrap w:val="0"/>
            <w:vAlign w:val="top"/>
          </w:tcPr>
          <w:p w14:paraId="1CA75AA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空间布局约束：</w:t>
            </w:r>
          </w:p>
          <w:p w14:paraId="5F22797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禁止开发建设活动的要求</w:t>
            </w:r>
          </w:p>
          <w:p w14:paraId="7BA267F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33BD466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限制开发建设活动的要求</w:t>
            </w:r>
          </w:p>
          <w:p w14:paraId="00CDDED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507B472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不符合空间布局要求活动的退出要求</w:t>
            </w:r>
          </w:p>
          <w:p w14:paraId="11D7419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0904CAB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其他空间布局约束要求</w:t>
            </w:r>
          </w:p>
          <w:p w14:paraId="45A2046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54F20DB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污染物排放管控：</w:t>
            </w:r>
          </w:p>
          <w:p w14:paraId="6932AF8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允许排放量要求</w:t>
            </w:r>
          </w:p>
          <w:p w14:paraId="1AD916E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0B77FEB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现有源提标升级改造</w:t>
            </w:r>
          </w:p>
          <w:p w14:paraId="6A9FF89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3A35FF4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其他污染物排放管控要求</w:t>
            </w:r>
          </w:p>
          <w:p w14:paraId="1FDCE47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3A91B7C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环境风险防控：</w:t>
            </w:r>
          </w:p>
          <w:p w14:paraId="48C64ED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联防联控要求</w:t>
            </w:r>
          </w:p>
          <w:p w14:paraId="155D97D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2F75F656">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其他环境风险防控要求</w:t>
            </w:r>
          </w:p>
          <w:p w14:paraId="506FA2B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051EBE9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资源开发利用效率要求：</w:t>
            </w:r>
          </w:p>
          <w:p w14:paraId="752E05E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水资源利用总量要求</w:t>
            </w:r>
          </w:p>
          <w:p w14:paraId="56FFCBF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4DFEE2E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地下水开采要求</w:t>
            </w:r>
          </w:p>
          <w:p w14:paraId="348EA11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1E9E1C5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能源利用总量及效率要求</w:t>
            </w:r>
          </w:p>
          <w:p w14:paraId="1659BE4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6B7872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禁燃区要求</w:t>
            </w:r>
          </w:p>
          <w:p w14:paraId="6D6CB9D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484941B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其他资源利用效率要求</w:t>
            </w:r>
          </w:p>
          <w:p w14:paraId="72E23E7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tc>
        <w:tc>
          <w:tcPr>
            <w:tcW w:w="1556" w:type="dxa"/>
            <w:noWrap w:val="0"/>
            <w:vAlign w:val="center"/>
          </w:tcPr>
          <w:p w14:paraId="3DB1C682">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污染物排放管控</w:t>
            </w:r>
          </w:p>
        </w:tc>
        <w:tc>
          <w:tcPr>
            <w:tcW w:w="3938" w:type="dxa"/>
            <w:noWrap w:val="0"/>
            <w:vAlign w:val="center"/>
          </w:tcPr>
          <w:p w14:paraId="27704F8F">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大气环境质量执行标准</w:t>
            </w:r>
          </w:p>
          <w:p w14:paraId="710132F6">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《环境空气质量标准》（GB3095-2012）：二级</w:t>
            </w:r>
          </w:p>
          <w:p w14:paraId="16D80E6E">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区域大气污染物削减/替代要求</w:t>
            </w:r>
          </w:p>
          <w:p w14:paraId="1D3D5E0C">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w:t>
            </w:r>
          </w:p>
          <w:p w14:paraId="5E6FE93D">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燃煤和其他能源大气污染控制要求</w:t>
            </w:r>
          </w:p>
          <w:p w14:paraId="256EEB06">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w:t>
            </w:r>
          </w:p>
          <w:p w14:paraId="0982C3B1">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工业废气污染控制要求</w:t>
            </w:r>
          </w:p>
          <w:p w14:paraId="60ED9276">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1、全面淘汰10蒸吨/小时及以下燃煤锅炉，原则上不再新建35蒸吨/小时及以下的燃煤锅炉，推进县级及以上城市建成区淘汰35蒸吨/小时及以下燃煤锅炉，以工业余热、电厂热力、清洁能源等替代煤炭。</w:t>
            </w:r>
          </w:p>
          <w:p w14:paraId="58DDAF9F">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2、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14:paraId="20DBC74E">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机动车船大气污染控制要求</w:t>
            </w:r>
          </w:p>
          <w:p w14:paraId="6DD16F1F">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w:t>
            </w:r>
          </w:p>
          <w:p w14:paraId="44D41A9E">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扬尘污染控制要求</w:t>
            </w:r>
          </w:p>
          <w:p w14:paraId="47687111">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w:t>
            </w:r>
          </w:p>
          <w:p w14:paraId="7DFE2899">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农业生产经营活动大气污染控制要求</w:t>
            </w:r>
          </w:p>
          <w:p w14:paraId="462101FE">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w:t>
            </w:r>
          </w:p>
          <w:p w14:paraId="0E46DEE3">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重点行业企业专项治理要求</w:t>
            </w:r>
          </w:p>
          <w:p w14:paraId="782DBBFE">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加快实施低</w:t>
            </w:r>
            <w:r>
              <w:rPr>
                <w:rStyle w:val="37"/>
                <w:rFonts w:hint="eastAsia" w:eastAsia="宋体" w:cs="Times New Roman"/>
                <w:color w:val="auto"/>
                <w:kern w:val="2"/>
                <w:sz w:val="21"/>
                <w:szCs w:val="21"/>
                <w:lang w:val="en-US" w:eastAsia="zh-CN" w:bidi="ar-SA"/>
              </w:rPr>
              <w:t>VOCs</w:t>
            </w:r>
            <w:r>
              <w:rPr>
                <w:rStyle w:val="37"/>
                <w:rFonts w:hint="default" w:ascii="Times New Roman" w:hAnsi="Times New Roman" w:eastAsia="宋体" w:cs="Times New Roman"/>
                <w:color w:val="auto"/>
                <w:kern w:val="2"/>
                <w:sz w:val="21"/>
                <w:szCs w:val="21"/>
                <w:lang w:val="en-US" w:eastAsia="zh-CN" w:bidi="ar-SA"/>
              </w:rPr>
              <w:t>含量原辅材料替代。持续开展</w:t>
            </w:r>
            <w:r>
              <w:rPr>
                <w:rStyle w:val="37"/>
                <w:rFonts w:hint="eastAsia" w:eastAsia="宋体" w:cs="Times New Roman"/>
                <w:color w:val="auto"/>
                <w:kern w:val="2"/>
                <w:sz w:val="21"/>
                <w:szCs w:val="21"/>
                <w:lang w:val="en-US" w:eastAsia="zh-CN" w:bidi="ar-SA"/>
              </w:rPr>
              <w:t>VOCs</w:t>
            </w:r>
            <w:r>
              <w:rPr>
                <w:rStyle w:val="37"/>
                <w:rFonts w:hint="default" w:ascii="Times New Roman" w:hAnsi="Times New Roman" w:eastAsia="宋体" w:cs="Times New Roman"/>
                <w:color w:val="auto"/>
                <w:kern w:val="2"/>
                <w:sz w:val="21"/>
                <w:szCs w:val="21"/>
                <w:lang w:val="en-US" w:eastAsia="zh-CN" w:bidi="ar-SA"/>
              </w:rPr>
              <w:t>治理设施提级增效，对采用单一低温等离子、光氧化、光催化以及非水溶性</w:t>
            </w:r>
            <w:r>
              <w:rPr>
                <w:rStyle w:val="37"/>
                <w:rFonts w:hint="eastAsia" w:eastAsia="宋体" w:cs="Times New Roman"/>
                <w:color w:val="auto"/>
                <w:kern w:val="2"/>
                <w:sz w:val="21"/>
                <w:szCs w:val="21"/>
                <w:lang w:val="en-US" w:eastAsia="zh-CN" w:bidi="ar-SA"/>
              </w:rPr>
              <w:t>VOCs</w:t>
            </w:r>
            <w:r>
              <w:rPr>
                <w:rStyle w:val="37"/>
                <w:rFonts w:hint="default" w:ascii="Times New Roman" w:hAnsi="Times New Roman" w:eastAsia="宋体" w:cs="Times New Roman"/>
                <w:color w:val="auto"/>
                <w:kern w:val="2"/>
                <w:sz w:val="21"/>
                <w:szCs w:val="21"/>
                <w:lang w:val="en-US" w:eastAsia="zh-CN" w:bidi="ar-SA"/>
              </w:rPr>
              <w:t>废气采用单一喷淋吸收等治理技术且无法稳定达标的，加快推进升级改造。强化</w:t>
            </w:r>
            <w:r>
              <w:rPr>
                <w:rStyle w:val="37"/>
                <w:rFonts w:hint="eastAsia" w:eastAsia="宋体" w:cs="Times New Roman"/>
                <w:color w:val="auto"/>
                <w:kern w:val="2"/>
                <w:sz w:val="21"/>
                <w:szCs w:val="21"/>
                <w:lang w:val="en-US" w:eastAsia="zh-CN" w:bidi="ar-SA"/>
              </w:rPr>
              <w:t>VOCs</w:t>
            </w:r>
            <w:r>
              <w:rPr>
                <w:rStyle w:val="37"/>
                <w:rFonts w:hint="default" w:ascii="Times New Roman" w:hAnsi="Times New Roman" w:eastAsia="宋体" w:cs="Times New Roman"/>
                <w:color w:val="auto"/>
                <w:kern w:val="2"/>
                <w:sz w:val="21"/>
                <w:szCs w:val="21"/>
                <w:lang w:val="en-US" w:eastAsia="zh-CN" w:bidi="ar-SA"/>
              </w:rPr>
              <w:t>无组织排放整治。石化、化工等行业加强非正常工况废气排放管控。推进涉</w:t>
            </w:r>
            <w:r>
              <w:rPr>
                <w:rStyle w:val="37"/>
                <w:rFonts w:hint="eastAsia" w:eastAsia="宋体" w:cs="Times New Roman"/>
                <w:color w:val="auto"/>
                <w:kern w:val="2"/>
                <w:sz w:val="21"/>
                <w:szCs w:val="21"/>
                <w:lang w:val="en-US" w:eastAsia="zh-CN" w:bidi="ar-SA"/>
              </w:rPr>
              <w:t>VOCs</w:t>
            </w:r>
            <w:r>
              <w:rPr>
                <w:rStyle w:val="37"/>
                <w:rFonts w:hint="default" w:ascii="Times New Roman" w:hAnsi="Times New Roman" w:eastAsia="宋体" w:cs="Times New Roman"/>
                <w:color w:val="auto"/>
                <w:kern w:val="2"/>
                <w:sz w:val="21"/>
                <w:szCs w:val="21"/>
                <w:lang w:val="en-US" w:eastAsia="zh-CN" w:bidi="ar-SA"/>
              </w:rPr>
              <w:t>产业集群治理提升</w:t>
            </w:r>
          </w:p>
          <w:p w14:paraId="0DAE8B07">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其他大气污染物排放管控要求</w:t>
            </w:r>
          </w:p>
          <w:p w14:paraId="47AECCD2">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w:t>
            </w:r>
          </w:p>
        </w:tc>
        <w:tc>
          <w:tcPr>
            <w:tcW w:w="2006" w:type="dxa"/>
            <w:noWrap w:val="0"/>
            <w:vAlign w:val="center"/>
          </w:tcPr>
          <w:p w14:paraId="3B5E0F3D">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highlight w:val="none"/>
                <w:lang w:val="en-US" w:eastAsia="zh-CN" w:bidi="ar-SA"/>
              </w:rPr>
              <w:t>本项目产生的废气</w:t>
            </w:r>
            <w:r>
              <w:rPr>
                <w:rStyle w:val="37"/>
                <w:rFonts w:hint="eastAsia" w:eastAsia="宋体" w:cs="Times New Roman"/>
                <w:color w:val="auto"/>
                <w:kern w:val="2"/>
                <w:sz w:val="21"/>
                <w:szCs w:val="21"/>
                <w:highlight w:val="none"/>
                <w:lang w:val="en-US" w:eastAsia="zh-CN" w:bidi="ar-SA"/>
              </w:rPr>
              <w:t>VOCs</w:t>
            </w:r>
            <w:r>
              <w:rPr>
                <w:rStyle w:val="37"/>
                <w:rFonts w:hint="default" w:ascii="Times New Roman" w:hAnsi="Times New Roman" w:eastAsia="宋体" w:cs="Times New Roman"/>
                <w:color w:val="auto"/>
                <w:kern w:val="2"/>
                <w:sz w:val="21"/>
                <w:szCs w:val="21"/>
                <w:highlight w:val="none"/>
                <w:lang w:val="en-US" w:eastAsia="zh-CN" w:bidi="ar-SA"/>
              </w:rPr>
              <w:t>采取“两级活性炭”处理达标后有组织排放。</w:t>
            </w:r>
            <w:r>
              <w:rPr>
                <w:rFonts w:hint="default" w:ascii="Times New Roman" w:hAnsi="Times New Roman" w:eastAsia="宋体" w:cs="Times New Roman"/>
                <w:i w:val="0"/>
                <w:iCs w:val="0"/>
                <w:color w:val="0000FF"/>
                <w:kern w:val="0"/>
                <w:sz w:val="21"/>
                <w:szCs w:val="21"/>
                <w:u w:val="none"/>
                <w:lang w:val="en-US" w:eastAsia="zh-CN" w:bidi="ar"/>
              </w:rPr>
              <w:t>总量指标由生态环境主管部门核发后下达。</w:t>
            </w:r>
          </w:p>
        </w:tc>
        <w:tc>
          <w:tcPr>
            <w:tcW w:w="479" w:type="dxa"/>
            <w:noWrap w:val="0"/>
            <w:vAlign w:val="center"/>
          </w:tcPr>
          <w:p w14:paraId="064E80AB">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符合</w:t>
            </w:r>
          </w:p>
        </w:tc>
      </w:tr>
      <w:tr w14:paraId="18750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noWrap w:val="0"/>
            <w:vAlign w:val="center"/>
          </w:tcPr>
          <w:p w14:paraId="21030A97">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YS5117242310001</w:t>
            </w:r>
          </w:p>
        </w:tc>
        <w:tc>
          <w:tcPr>
            <w:tcW w:w="793" w:type="dxa"/>
            <w:vMerge w:val="continue"/>
            <w:noWrap w:val="0"/>
            <w:vAlign w:val="center"/>
          </w:tcPr>
          <w:p w14:paraId="22DAD4F7">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四川大竹经济开发区</w:t>
            </w:r>
          </w:p>
        </w:tc>
        <w:tc>
          <w:tcPr>
            <w:tcW w:w="4612" w:type="dxa"/>
            <w:vMerge w:val="continue"/>
            <w:noWrap w:val="0"/>
            <w:vAlign w:val="top"/>
          </w:tcPr>
          <w:p w14:paraId="36C728C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空间布局约束：</w:t>
            </w:r>
          </w:p>
          <w:p w14:paraId="5FBD44E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禁止开发建设活动的要求</w:t>
            </w:r>
          </w:p>
          <w:p w14:paraId="0DD81A6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6D2B67F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限制开发建设活动的要求</w:t>
            </w:r>
          </w:p>
          <w:p w14:paraId="7072779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142DFDF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不符合空间布局要求活动的退出要求</w:t>
            </w:r>
          </w:p>
          <w:p w14:paraId="5C9F098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55C8EE8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其他空间布局约束要求</w:t>
            </w:r>
          </w:p>
          <w:p w14:paraId="172AD42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03DA99D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污染物排放管控：</w:t>
            </w:r>
          </w:p>
          <w:p w14:paraId="7B44ED7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允许排放量要求</w:t>
            </w:r>
          </w:p>
          <w:p w14:paraId="4315A9B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5A20F0F6">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现有源提标升级改造</w:t>
            </w:r>
          </w:p>
          <w:p w14:paraId="20B5EA7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1BCFAB9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其他污染物排放管控要求</w:t>
            </w:r>
          </w:p>
          <w:p w14:paraId="5E4EB71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2F13A73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环境风险防控：</w:t>
            </w:r>
          </w:p>
          <w:p w14:paraId="4762A91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联防联控要求</w:t>
            </w:r>
          </w:p>
          <w:p w14:paraId="0B06D9D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A4FBF7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其他环境风险防控要求</w:t>
            </w:r>
          </w:p>
          <w:p w14:paraId="30A2B4A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586029C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资源开发利用效率要求：</w:t>
            </w:r>
          </w:p>
          <w:p w14:paraId="1A192CA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水资源利用总量要求</w:t>
            </w:r>
          </w:p>
          <w:p w14:paraId="7466D7D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23990DE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地下水开采要求</w:t>
            </w:r>
          </w:p>
          <w:p w14:paraId="00A08E4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386D351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能源利用总量及效率要求</w:t>
            </w:r>
          </w:p>
          <w:p w14:paraId="7BD6B10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DFA056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禁燃区要求</w:t>
            </w:r>
          </w:p>
          <w:p w14:paraId="124C422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357B7F2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其他资源利用效率要求</w:t>
            </w:r>
          </w:p>
          <w:p w14:paraId="698C2FC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tc>
        <w:tc>
          <w:tcPr>
            <w:tcW w:w="1556" w:type="dxa"/>
            <w:noWrap w:val="0"/>
            <w:vAlign w:val="center"/>
          </w:tcPr>
          <w:p w14:paraId="2158DFC8">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环境风险防控</w:t>
            </w:r>
          </w:p>
        </w:tc>
        <w:tc>
          <w:tcPr>
            <w:tcW w:w="3938" w:type="dxa"/>
            <w:noWrap w:val="0"/>
            <w:vAlign w:val="center"/>
          </w:tcPr>
          <w:p w14:paraId="323F0BE6">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w:t>
            </w:r>
          </w:p>
        </w:tc>
        <w:tc>
          <w:tcPr>
            <w:tcW w:w="2006" w:type="dxa"/>
            <w:noWrap w:val="0"/>
            <w:vAlign w:val="center"/>
          </w:tcPr>
          <w:p w14:paraId="3C5BE687">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w:t>
            </w:r>
          </w:p>
        </w:tc>
        <w:tc>
          <w:tcPr>
            <w:tcW w:w="479" w:type="dxa"/>
            <w:noWrap w:val="0"/>
            <w:vAlign w:val="center"/>
          </w:tcPr>
          <w:p w14:paraId="68068E6B">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w:t>
            </w:r>
          </w:p>
        </w:tc>
      </w:tr>
      <w:tr w14:paraId="670F6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noWrap w:val="0"/>
            <w:vAlign w:val="center"/>
          </w:tcPr>
          <w:p w14:paraId="14E67AE8">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YS5117242310001</w:t>
            </w:r>
          </w:p>
        </w:tc>
        <w:tc>
          <w:tcPr>
            <w:tcW w:w="793" w:type="dxa"/>
            <w:vMerge w:val="continue"/>
            <w:noWrap w:val="0"/>
            <w:vAlign w:val="center"/>
          </w:tcPr>
          <w:p w14:paraId="1A5C71C5">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四川大竹经济开发区</w:t>
            </w:r>
          </w:p>
        </w:tc>
        <w:tc>
          <w:tcPr>
            <w:tcW w:w="4612" w:type="dxa"/>
            <w:vMerge w:val="continue"/>
            <w:noWrap w:val="0"/>
            <w:vAlign w:val="top"/>
          </w:tcPr>
          <w:p w14:paraId="128E6A7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空间布局约束：</w:t>
            </w:r>
          </w:p>
          <w:p w14:paraId="0F9218F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禁止开发建设活动的要求</w:t>
            </w:r>
          </w:p>
          <w:p w14:paraId="073707F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02F6C2F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限制开发建设活动的要求</w:t>
            </w:r>
          </w:p>
          <w:p w14:paraId="1C8786A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5881494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不符合空间布局要求活动的退出要求</w:t>
            </w:r>
          </w:p>
          <w:p w14:paraId="44CFEDE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00DA299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其他空间布局约束要求</w:t>
            </w:r>
          </w:p>
          <w:p w14:paraId="76923E9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432B5FB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污染物排放管控：</w:t>
            </w:r>
          </w:p>
          <w:p w14:paraId="02F7581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允许排放量要求</w:t>
            </w:r>
          </w:p>
          <w:p w14:paraId="2BDE73D6">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02D2DDB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现有源提标升级改造</w:t>
            </w:r>
          </w:p>
          <w:p w14:paraId="32D4E81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461A7C7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其他污染物排放管控要求</w:t>
            </w:r>
          </w:p>
          <w:p w14:paraId="72881FC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AE7BB3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环境风险防控：</w:t>
            </w:r>
          </w:p>
          <w:p w14:paraId="2B7386F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联防联控要求</w:t>
            </w:r>
          </w:p>
          <w:p w14:paraId="01399CC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5D95C2C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其他环境风险防控要求</w:t>
            </w:r>
          </w:p>
          <w:p w14:paraId="2CB88CC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B2FC2B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资源开发利用效率要求：</w:t>
            </w:r>
          </w:p>
          <w:p w14:paraId="74685BA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水资源利用总量要求</w:t>
            </w:r>
          </w:p>
          <w:p w14:paraId="62CEC166">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3EE1876">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地下水开采要求</w:t>
            </w:r>
          </w:p>
          <w:p w14:paraId="084594F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05C7BB2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能源利用总量及效率要求</w:t>
            </w:r>
          </w:p>
          <w:p w14:paraId="2436F056">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15C8515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禁燃区要求</w:t>
            </w:r>
          </w:p>
          <w:p w14:paraId="35497BD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346954C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其他资源利用效率要求</w:t>
            </w:r>
          </w:p>
          <w:p w14:paraId="0614006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tc>
        <w:tc>
          <w:tcPr>
            <w:tcW w:w="1556" w:type="dxa"/>
            <w:noWrap w:val="0"/>
            <w:vAlign w:val="center"/>
          </w:tcPr>
          <w:p w14:paraId="7518AAAB">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资源开发效率要求</w:t>
            </w:r>
          </w:p>
        </w:tc>
        <w:tc>
          <w:tcPr>
            <w:tcW w:w="3938" w:type="dxa"/>
            <w:noWrap w:val="0"/>
            <w:vAlign w:val="center"/>
          </w:tcPr>
          <w:p w14:paraId="48BEB3E9">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w:t>
            </w:r>
          </w:p>
        </w:tc>
        <w:tc>
          <w:tcPr>
            <w:tcW w:w="2006" w:type="dxa"/>
            <w:noWrap w:val="0"/>
            <w:vAlign w:val="center"/>
          </w:tcPr>
          <w:p w14:paraId="70B0C415">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w:t>
            </w:r>
          </w:p>
        </w:tc>
        <w:tc>
          <w:tcPr>
            <w:tcW w:w="479" w:type="dxa"/>
            <w:noWrap w:val="0"/>
            <w:vAlign w:val="center"/>
          </w:tcPr>
          <w:p w14:paraId="379CADD7">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w:t>
            </w:r>
          </w:p>
        </w:tc>
      </w:tr>
      <w:tr w14:paraId="6771F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restart"/>
            <w:noWrap w:val="0"/>
            <w:vAlign w:val="center"/>
          </w:tcPr>
          <w:p w14:paraId="5DCA4C49">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YS5117242530001</w:t>
            </w:r>
          </w:p>
        </w:tc>
        <w:tc>
          <w:tcPr>
            <w:tcW w:w="793" w:type="dxa"/>
            <w:vMerge w:val="restart"/>
            <w:noWrap w:val="0"/>
            <w:vAlign w:val="center"/>
          </w:tcPr>
          <w:p w14:paraId="5C111873">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大竹县城镇开发边界</w:t>
            </w:r>
          </w:p>
        </w:tc>
        <w:tc>
          <w:tcPr>
            <w:tcW w:w="4612" w:type="dxa"/>
            <w:vMerge w:val="continue"/>
            <w:noWrap w:val="0"/>
            <w:vAlign w:val="top"/>
          </w:tcPr>
          <w:p w14:paraId="7AEB4DF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空间布局约束：</w:t>
            </w:r>
          </w:p>
          <w:p w14:paraId="67C00A5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禁止开发建设活动的要求</w:t>
            </w:r>
          </w:p>
          <w:p w14:paraId="12FD3D7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63E8003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限制开发建设活动的要求</w:t>
            </w:r>
          </w:p>
          <w:p w14:paraId="37A9827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4CCF052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不符合空间布局要求活动的退出要求</w:t>
            </w:r>
          </w:p>
          <w:p w14:paraId="1DE0C55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459B0E9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其他空间布局约束要求</w:t>
            </w:r>
          </w:p>
          <w:p w14:paraId="2AB4B00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307C1F3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污染物排放管控：</w:t>
            </w:r>
          </w:p>
          <w:p w14:paraId="075AF51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允许排放量要求</w:t>
            </w:r>
          </w:p>
          <w:p w14:paraId="0EA43BA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CE7DA4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现有源提标升级改造</w:t>
            </w:r>
          </w:p>
          <w:p w14:paraId="728AB42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579D8A1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其他污染物排放管控要求</w:t>
            </w:r>
          </w:p>
          <w:p w14:paraId="0BB8263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006A217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环境风险防控：</w:t>
            </w:r>
          </w:p>
          <w:p w14:paraId="4FB728E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联防联控要求</w:t>
            </w:r>
          </w:p>
          <w:p w14:paraId="6574A01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01DC39E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其他环境风险防控要求</w:t>
            </w:r>
          </w:p>
          <w:p w14:paraId="4897324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E4C56A6">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资源开发利用效率要求：</w:t>
            </w:r>
          </w:p>
          <w:p w14:paraId="26ED08C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水资源利用总量要求</w:t>
            </w:r>
          </w:p>
          <w:p w14:paraId="0C69326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13C70D4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地下水开采要求</w:t>
            </w:r>
          </w:p>
          <w:p w14:paraId="1486599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2AC78F5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能源利用总量及效率要求</w:t>
            </w:r>
          </w:p>
          <w:p w14:paraId="7DACCF0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3CEC5B4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禁燃区要求</w:t>
            </w:r>
          </w:p>
          <w:p w14:paraId="25B6092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FBB301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其他资源利用效率要求</w:t>
            </w:r>
          </w:p>
          <w:p w14:paraId="399411F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tc>
        <w:tc>
          <w:tcPr>
            <w:tcW w:w="1556" w:type="dxa"/>
            <w:noWrap w:val="0"/>
            <w:vAlign w:val="center"/>
          </w:tcPr>
          <w:p w14:paraId="6C994BD8">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空间布局约束</w:t>
            </w:r>
          </w:p>
        </w:tc>
        <w:tc>
          <w:tcPr>
            <w:tcW w:w="3938" w:type="dxa"/>
            <w:noWrap w:val="0"/>
            <w:vAlign w:val="center"/>
          </w:tcPr>
          <w:p w14:paraId="4F0DC674">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1.以城镇开发建设现状为基础，综合考虑资源承载能力、人口分布、经济布局、城乡统筹、城镇无序蔓延科学预留一定比例的留白区，为未来发展留有开发空间城镇建设和发展不得违法违规侵占河道、湖面、滩地2.城镇开发边界调整报国土空间规划原审批机关审批</w:t>
            </w:r>
          </w:p>
        </w:tc>
        <w:tc>
          <w:tcPr>
            <w:tcW w:w="2006" w:type="dxa"/>
            <w:noWrap w:val="0"/>
            <w:vAlign w:val="center"/>
          </w:tcPr>
          <w:p w14:paraId="1EEDD18C">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本项目不涉及。</w:t>
            </w:r>
          </w:p>
        </w:tc>
        <w:tc>
          <w:tcPr>
            <w:tcW w:w="479" w:type="dxa"/>
            <w:noWrap w:val="0"/>
            <w:vAlign w:val="center"/>
          </w:tcPr>
          <w:p w14:paraId="09F72254">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符合</w:t>
            </w:r>
          </w:p>
        </w:tc>
      </w:tr>
      <w:tr w14:paraId="06B40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noWrap w:val="0"/>
            <w:vAlign w:val="center"/>
          </w:tcPr>
          <w:p w14:paraId="35363094">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YS5117242530001</w:t>
            </w:r>
          </w:p>
        </w:tc>
        <w:tc>
          <w:tcPr>
            <w:tcW w:w="793" w:type="dxa"/>
            <w:vMerge w:val="continue"/>
            <w:noWrap w:val="0"/>
            <w:vAlign w:val="center"/>
          </w:tcPr>
          <w:p w14:paraId="4A3545B4">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大竹县城镇开发边界</w:t>
            </w:r>
          </w:p>
        </w:tc>
        <w:tc>
          <w:tcPr>
            <w:tcW w:w="4612" w:type="dxa"/>
            <w:vMerge w:val="continue"/>
            <w:noWrap w:val="0"/>
            <w:vAlign w:val="top"/>
          </w:tcPr>
          <w:p w14:paraId="6D69307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空间布局约束：</w:t>
            </w:r>
          </w:p>
          <w:p w14:paraId="341294E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禁止开发建设活动的要求</w:t>
            </w:r>
          </w:p>
          <w:p w14:paraId="611C89B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4884EA2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限制开发建设活动的要求</w:t>
            </w:r>
          </w:p>
          <w:p w14:paraId="208EAF0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043484E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不符合空间布局要求活动的退出要求</w:t>
            </w:r>
          </w:p>
          <w:p w14:paraId="6436799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4FB665B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其他空间布局约束要求</w:t>
            </w:r>
          </w:p>
          <w:p w14:paraId="4A6D616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4A55187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污染物排放管控：</w:t>
            </w:r>
          </w:p>
          <w:p w14:paraId="5DF7B17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允许排放量要求</w:t>
            </w:r>
          </w:p>
          <w:p w14:paraId="035210A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F168B9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现有源提标升级改造</w:t>
            </w:r>
          </w:p>
          <w:p w14:paraId="332CBB8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0B7DCDC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其他污染物排放管控要求</w:t>
            </w:r>
          </w:p>
          <w:p w14:paraId="006C2CC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5789EA1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环境风险防控：</w:t>
            </w:r>
          </w:p>
          <w:p w14:paraId="6D3510B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联防联控要求</w:t>
            </w:r>
          </w:p>
          <w:p w14:paraId="2210864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63DCEB4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其他环境风险防控要求</w:t>
            </w:r>
          </w:p>
          <w:p w14:paraId="0879813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6402AE7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资源开发利用效率要求：</w:t>
            </w:r>
          </w:p>
          <w:p w14:paraId="2197F8D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水资源利用总量要求</w:t>
            </w:r>
          </w:p>
          <w:p w14:paraId="12E0141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2C5D178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地下水开采要求</w:t>
            </w:r>
          </w:p>
          <w:p w14:paraId="1539055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4D3AD73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能源利用总量及效率要求</w:t>
            </w:r>
          </w:p>
          <w:p w14:paraId="7141249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61AD5FC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禁燃区要求</w:t>
            </w:r>
          </w:p>
          <w:p w14:paraId="746C467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4DC6AF1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其他资源利用效率要求</w:t>
            </w:r>
          </w:p>
          <w:p w14:paraId="77DFDE5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tc>
        <w:tc>
          <w:tcPr>
            <w:tcW w:w="1556" w:type="dxa"/>
            <w:noWrap w:val="0"/>
            <w:vAlign w:val="center"/>
          </w:tcPr>
          <w:p w14:paraId="792C571D">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污染物排放管控</w:t>
            </w:r>
          </w:p>
        </w:tc>
        <w:tc>
          <w:tcPr>
            <w:tcW w:w="3938" w:type="dxa"/>
            <w:noWrap w:val="0"/>
            <w:vAlign w:val="center"/>
          </w:tcPr>
          <w:p w14:paraId="048E9F06">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w:t>
            </w:r>
          </w:p>
        </w:tc>
        <w:tc>
          <w:tcPr>
            <w:tcW w:w="2006" w:type="dxa"/>
            <w:noWrap w:val="0"/>
            <w:vAlign w:val="center"/>
          </w:tcPr>
          <w:p w14:paraId="38A2CE7C">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w:t>
            </w:r>
          </w:p>
        </w:tc>
        <w:tc>
          <w:tcPr>
            <w:tcW w:w="479" w:type="dxa"/>
            <w:noWrap w:val="0"/>
            <w:vAlign w:val="center"/>
          </w:tcPr>
          <w:p w14:paraId="0374AEA6">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w:t>
            </w:r>
          </w:p>
        </w:tc>
      </w:tr>
      <w:tr w14:paraId="3C0CA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noWrap w:val="0"/>
            <w:vAlign w:val="center"/>
          </w:tcPr>
          <w:p w14:paraId="3F3AFF72">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YS5117242530001</w:t>
            </w:r>
          </w:p>
        </w:tc>
        <w:tc>
          <w:tcPr>
            <w:tcW w:w="793" w:type="dxa"/>
            <w:vMerge w:val="continue"/>
            <w:noWrap w:val="0"/>
            <w:vAlign w:val="center"/>
          </w:tcPr>
          <w:p w14:paraId="227A3E3A">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大竹县城镇开发边界</w:t>
            </w:r>
          </w:p>
        </w:tc>
        <w:tc>
          <w:tcPr>
            <w:tcW w:w="4612" w:type="dxa"/>
            <w:vMerge w:val="continue"/>
            <w:noWrap w:val="0"/>
            <w:vAlign w:val="top"/>
          </w:tcPr>
          <w:p w14:paraId="7D5E504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空间布局约束：</w:t>
            </w:r>
          </w:p>
          <w:p w14:paraId="2B4052C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禁止开发建设活动的要求</w:t>
            </w:r>
          </w:p>
          <w:p w14:paraId="5BF5B50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4DA9A12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限制开发建设活动的要求</w:t>
            </w:r>
          </w:p>
          <w:p w14:paraId="3B8734F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6CBFF74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不符合空间布局要求活动的退出要求</w:t>
            </w:r>
          </w:p>
          <w:p w14:paraId="4D188E1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4DEB073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其他空间布局约束要求</w:t>
            </w:r>
          </w:p>
          <w:p w14:paraId="0AA1C19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033618E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污染物排放管控：</w:t>
            </w:r>
          </w:p>
          <w:p w14:paraId="3282B566">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允许排放量要求</w:t>
            </w:r>
          </w:p>
          <w:p w14:paraId="6803F67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0821856">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现有源提标升级改造</w:t>
            </w:r>
          </w:p>
          <w:p w14:paraId="73F5464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682D48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其他污染物排放管控要求</w:t>
            </w:r>
          </w:p>
          <w:p w14:paraId="250A7EF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2282539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环境风险防控：</w:t>
            </w:r>
          </w:p>
          <w:p w14:paraId="52677A4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联防联控要求</w:t>
            </w:r>
          </w:p>
          <w:p w14:paraId="1CB5C17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1AFE11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其他环境风险防控要求</w:t>
            </w:r>
          </w:p>
          <w:p w14:paraId="2D1C3C4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24732E0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资源开发利用效率要求：</w:t>
            </w:r>
          </w:p>
          <w:p w14:paraId="5A57518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水资源利用总量要求</w:t>
            </w:r>
          </w:p>
          <w:p w14:paraId="19289DD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5597D1D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地下水开采要求</w:t>
            </w:r>
          </w:p>
          <w:p w14:paraId="4ED69EE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34571DE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能源利用总量及效率要求</w:t>
            </w:r>
          </w:p>
          <w:p w14:paraId="2AAFCB1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45F1461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禁燃区要求</w:t>
            </w:r>
          </w:p>
          <w:p w14:paraId="11AE655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6CB224E6">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其他资源利用效率要求</w:t>
            </w:r>
          </w:p>
          <w:p w14:paraId="53E4955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tc>
        <w:tc>
          <w:tcPr>
            <w:tcW w:w="1556" w:type="dxa"/>
            <w:noWrap w:val="0"/>
            <w:vAlign w:val="center"/>
          </w:tcPr>
          <w:p w14:paraId="095519B9">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环境风险防控</w:t>
            </w:r>
          </w:p>
        </w:tc>
        <w:tc>
          <w:tcPr>
            <w:tcW w:w="3938" w:type="dxa"/>
            <w:noWrap w:val="0"/>
            <w:vAlign w:val="center"/>
          </w:tcPr>
          <w:p w14:paraId="2B02ECF7">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w:t>
            </w:r>
          </w:p>
        </w:tc>
        <w:tc>
          <w:tcPr>
            <w:tcW w:w="2006" w:type="dxa"/>
            <w:noWrap w:val="0"/>
            <w:vAlign w:val="center"/>
          </w:tcPr>
          <w:p w14:paraId="62E57320">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w:t>
            </w:r>
          </w:p>
        </w:tc>
        <w:tc>
          <w:tcPr>
            <w:tcW w:w="479" w:type="dxa"/>
            <w:noWrap w:val="0"/>
            <w:vAlign w:val="center"/>
          </w:tcPr>
          <w:p w14:paraId="1D60B1C0">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w:t>
            </w:r>
          </w:p>
        </w:tc>
      </w:tr>
      <w:tr w14:paraId="0EA98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noWrap w:val="0"/>
            <w:vAlign w:val="center"/>
          </w:tcPr>
          <w:p w14:paraId="1057B79B">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YS5117242530001</w:t>
            </w:r>
          </w:p>
        </w:tc>
        <w:tc>
          <w:tcPr>
            <w:tcW w:w="793" w:type="dxa"/>
            <w:vMerge w:val="continue"/>
            <w:noWrap w:val="0"/>
            <w:vAlign w:val="center"/>
          </w:tcPr>
          <w:p w14:paraId="1E40396D">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大竹县城镇开发边界</w:t>
            </w:r>
          </w:p>
        </w:tc>
        <w:tc>
          <w:tcPr>
            <w:tcW w:w="4612" w:type="dxa"/>
            <w:vMerge w:val="continue"/>
            <w:noWrap w:val="0"/>
            <w:vAlign w:val="top"/>
          </w:tcPr>
          <w:p w14:paraId="5FD16B0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空间布局约束：</w:t>
            </w:r>
          </w:p>
          <w:p w14:paraId="29FA8A0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禁止开发建设活动的要求</w:t>
            </w:r>
          </w:p>
          <w:p w14:paraId="586BA59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3B78EB1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限制开发建设活动的要求</w:t>
            </w:r>
          </w:p>
          <w:p w14:paraId="216D924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0C2BCAC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不符合空间布局要求活动的退出要求</w:t>
            </w:r>
          </w:p>
          <w:p w14:paraId="2091662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637BED5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其他空间布局约束要求</w:t>
            </w:r>
          </w:p>
          <w:p w14:paraId="6ADB2F3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3D226AC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污染物排放管控：</w:t>
            </w:r>
          </w:p>
          <w:p w14:paraId="03EC4D06">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允许排放量要求</w:t>
            </w:r>
          </w:p>
          <w:p w14:paraId="15921F7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39DDFC6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现有源提标升级改造</w:t>
            </w:r>
          </w:p>
          <w:p w14:paraId="5F12E8B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CB2DB1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其他污染物排放管控要求</w:t>
            </w:r>
          </w:p>
          <w:p w14:paraId="1D1D050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7514D2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环境风险防控：</w:t>
            </w:r>
          </w:p>
          <w:p w14:paraId="639562F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联防联控要求</w:t>
            </w:r>
          </w:p>
          <w:p w14:paraId="4C9B2D0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4774E076">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其他环境风险防控要求</w:t>
            </w:r>
          </w:p>
          <w:p w14:paraId="3C1E121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1AE21B4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资源开发利用效率要求：</w:t>
            </w:r>
          </w:p>
          <w:p w14:paraId="0739251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水资源利用总量要求</w:t>
            </w:r>
          </w:p>
          <w:p w14:paraId="6367282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555E5ED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地下水开采要求</w:t>
            </w:r>
          </w:p>
          <w:p w14:paraId="03F5278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E38F9C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能源利用总量及效率要求</w:t>
            </w:r>
          </w:p>
          <w:p w14:paraId="1BC87A1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E43EFF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禁燃区要求</w:t>
            </w:r>
          </w:p>
          <w:p w14:paraId="139EE93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298801C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其他资源利用效率要求</w:t>
            </w:r>
          </w:p>
          <w:p w14:paraId="32DEBD1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tc>
        <w:tc>
          <w:tcPr>
            <w:tcW w:w="1556" w:type="dxa"/>
            <w:noWrap w:val="0"/>
            <w:vAlign w:val="center"/>
          </w:tcPr>
          <w:p w14:paraId="7614EF8B">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资源开发效率要求</w:t>
            </w:r>
          </w:p>
        </w:tc>
        <w:tc>
          <w:tcPr>
            <w:tcW w:w="3938" w:type="dxa"/>
            <w:noWrap w:val="0"/>
            <w:vAlign w:val="center"/>
          </w:tcPr>
          <w:p w14:paraId="16FC0800">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土地资源开发效率要求</w:t>
            </w:r>
          </w:p>
          <w:p w14:paraId="5975B1BE">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土地资源开发利用量不得超过土地资源利用上线控制性指标。</w:t>
            </w:r>
          </w:p>
          <w:p w14:paraId="2A8D03E3">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能源资源开发效率要求</w:t>
            </w:r>
          </w:p>
          <w:p w14:paraId="0E4DACD8">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其他资源开发效率要求</w:t>
            </w:r>
          </w:p>
        </w:tc>
        <w:tc>
          <w:tcPr>
            <w:tcW w:w="2006" w:type="dxa"/>
            <w:noWrap w:val="0"/>
            <w:vAlign w:val="center"/>
          </w:tcPr>
          <w:p w14:paraId="5E444D78">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本项目不涉及。</w:t>
            </w:r>
          </w:p>
        </w:tc>
        <w:tc>
          <w:tcPr>
            <w:tcW w:w="479" w:type="dxa"/>
            <w:noWrap w:val="0"/>
            <w:vAlign w:val="center"/>
          </w:tcPr>
          <w:p w14:paraId="1DD944F0">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符合</w:t>
            </w:r>
          </w:p>
        </w:tc>
      </w:tr>
      <w:tr w14:paraId="46E22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restart"/>
            <w:noWrap w:val="0"/>
            <w:vAlign w:val="center"/>
          </w:tcPr>
          <w:p w14:paraId="3E8D6FC1">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YS5117242540001</w:t>
            </w:r>
          </w:p>
        </w:tc>
        <w:tc>
          <w:tcPr>
            <w:tcW w:w="793" w:type="dxa"/>
            <w:vMerge w:val="restart"/>
            <w:noWrap w:val="0"/>
            <w:vAlign w:val="center"/>
          </w:tcPr>
          <w:p w14:paraId="0277620C">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大竹县高污染燃料禁燃区</w:t>
            </w:r>
          </w:p>
        </w:tc>
        <w:tc>
          <w:tcPr>
            <w:tcW w:w="4612" w:type="dxa"/>
            <w:vMerge w:val="continue"/>
            <w:noWrap w:val="0"/>
            <w:vAlign w:val="top"/>
          </w:tcPr>
          <w:p w14:paraId="10C176D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空间布局约束：</w:t>
            </w:r>
          </w:p>
          <w:p w14:paraId="193F004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禁止开发建设活动的要求</w:t>
            </w:r>
          </w:p>
          <w:p w14:paraId="40C6AE9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041CF85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限制开发建设活动的要求</w:t>
            </w:r>
          </w:p>
          <w:p w14:paraId="375A9A9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1D59992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不符合空间布局要求活动的退出要求</w:t>
            </w:r>
          </w:p>
          <w:p w14:paraId="48F8056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262AF0C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其他空间布局约束要求</w:t>
            </w:r>
          </w:p>
          <w:p w14:paraId="4294EF3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2C6BB8A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污染物排放管控：</w:t>
            </w:r>
          </w:p>
          <w:p w14:paraId="691504E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允许排放量要求</w:t>
            </w:r>
          </w:p>
          <w:p w14:paraId="547FE25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50DC401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现有源提标升级改造</w:t>
            </w:r>
          </w:p>
          <w:p w14:paraId="038AA8C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2F21092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其他污染物排放管控要求</w:t>
            </w:r>
          </w:p>
          <w:p w14:paraId="3E228C7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3A0274D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环境风险防控：</w:t>
            </w:r>
          </w:p>
          <w:p w14:paraId="4B13E2F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联防联控要求</w:t>
            </w:r>
          </w:p>
          <w:p w14:paraId="1FD96B6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1257ACE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其他环境风险防控要求</w:t>
            </w:r>
          </w:p>
          <w:p w14:paraId="02B5E2D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073B903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资源开发利用效率要求：</w:t>
            </w:r>
          </w:p>
          <w:p w14:paraId="73ABE4A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水资源利用总量要求</w:t>
            </w:r>
          </w:p>
          <w:p w14:paraId="566CF7C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34180D9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地下水开采要求</w:t>
            </w:r>
          </w:p>
          <w:p w14:paraId="45B6D7A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E2CB2A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能源利用总量及效率要求</w:t>
            </w:r>
          </w:p>
          <w:p w14:paraId="7239C30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0CBD98D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禁燃区要求</w:t>
            </w:r>
          </w:p>
          <w:p w14:paraId="46B31BF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6CC8DE3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其他资源利用效率要求</w:t>
            </w:r>
          </w:p>
          <w:p w14:paraId="346D190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tc>
        <w:tc>
          <w:tcPr>
            <w:tcW w:w="1556" w:type="dxa"/>
            <w:noWrap w:val="0"/>
            <w:vAlign w:val="center"/>
          </w:tcPr>
          <w:p w14:paraId="35849B29">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空间布局约束</w:t>
            </w:r>
          </w:p>
        </w:tc>
        <w:tc>
          <w:tcPr>
            <w:tcW w:w="3938" w:type="dxa"/>
            <w:noWrap w:val="0"/>
            <w:vAlign w:val="center"/>
          </w:tcPr>
          <w:p w14:paraId="448A1B13">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坚决遏制“两高一低”项目盲目发展</w:t>
            </w:r>
          </w:p>
        </w:tc>
        <w:tc>
          <w:tcPr>
            <w:tcW w:w="2006" w:type="dxa"/>
            <w:noWrap w:val="0"/>
            <w:vAlign w:val="center"/>
          </w:tcPr>
          <w:p w14:paraId="4C4A56B2">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本项目不属于“两高一低”项目</w:t>
            </w:r>
          </w:p>
        </w:tc>
        <w:tc>
          <w:tcPr>
            <w:tcW w:w="479" w:type="dxa"/>
            <w:noWrap w:val="0"/>
            <w:vAlign w:val="center"/>
          </w:tcPr>
          <w:p w14:paraId="1BA051D1">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符合</w:t>
            </w:r>
          </w:p>
        </w:tc>
      </w:tr>
      <w:tr w14:paraId="74569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noWrap w:val="0"/>
            <w:vAlign w:val="center"/>
          </w:tcPr>
          <w:p w14:paraId="754DD07A">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YS5117242540001</w:t>
            </w:r>
          </w:p>
        </w:tc>
        <w:tc>
          <w:tcPr>
            <w:tcW w:w="793" w:type="dxa"/>
            <w:vMerge w:val="continue"/>
            <w:noWrap w:val="0"/>
            <w:vAlign w:val="center"/>
          </w:tcPr>
          <w:p w14:paraId="3B95C064">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大竹县高污染燃料禁燃区</w:t>
            </w:r>
          </w:p>
        </w:tc>
        <w:tc>
          <w:tcPr>
            <w:tcW w:w="4612" w:type="dxa"/>
            <w:vMerge w:val="continue"/>
            <w:noWrap w:val="0"/>
            <w:vAlign w:val="top"/>
          </w:tcPr>
          <w:p w14:paraId="6FC5522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空间布局约束：</w:t>
            </w:r>
          </w:p>
          <w:p w14:paraId="5353F97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禁止开发建设活动的要求</w:t>
            </w:r>
          </w:p>
          <w:p w14:paraId="3D11614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1BB6A3E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限制开发建设活动的要求</w:t>
            </w:r>
          </w:p>
          <w:p w14:paraId="7714599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5785CA5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不符合空间布局要求活动的退出要求</w:t>
            </w:r>
          </w:p>
          <w:p w14:paraId="5696432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348B9A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其他空间布局约束要求</w:t>
            </w:r>
          </w:p>
          <w:p w14:paraId="087BCD2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37FAB33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污染物排放管控：</w:t>
            </w:r>
          </w:p>
          <w:p w14:paraId="785D9F1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允许排放量要求</w:t>
            </w:r>
          </w:p>
          <w:p w14:paraId="6268784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6BB508D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现有源提标升级改造</w:t>
            </w:r>
          </w:p>
          <w:p w14:paraId="06C24266">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119C615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其他污染物排放管控要求</w:t>
            </w:r>
          </w:p>
          <w:p w14:paraId="601905D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0E3DEA1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环境风险防控：</w:t>
            </w:r>
          </w:p>
          <w:p w14:paraId="0871986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联防联控要求</w:t>
            </w:r>
          </w:p>
          <w:p w14:paraId="4C4854F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42AF461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其他环境风险防控要求</w:t>
            </w:r>
          </w:p>
          <w:p w14:paraId="578F605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5486F89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资源开发利用效率要求：</w:t>
            </w:r>
          </w:p>
          <w:p w14:paraId="13D3E26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水资源利用总量要求</w:t>
            </w:r>
          </w:p>
          <w:p w14:paraId="2267C37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001746A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地下水开采要求</w:t>
            </w:r>
          </w:p>
          <w:p w14:paraId="06F0B6B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14C3BCD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能源利用总量及效率要求</w:t>
            </w:r>
          </w:p>
          <w:p w14:paraId="78B2DC6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12521F3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禁燃区要求</w:t>
            </w:r>
          </w:p>
          <w:p w14:paraId="1BC54DF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187FDB0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其他资源利用效率要求</w:t>
            </w:r>
          </w:p>
          <w:p w14:paraId="2298B39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tc>
        <w:tc>
          <w:tcPr>
            <w:tcW w:w="1556" w:type="dxa"/>
            <w:noWrap w:val="0"/>
            <w:vAlign w:val="center"/>
          </w:tcPr>
          <w:p w14:paraId="0784ABF9">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污染物排放管控</w:t>
            </w:r>
          </w:p>
        </w:tc>
        <w:tc>
          <w:tcPr>
            <w:tcW w:w="3938" w:type="dxa"/>
            <w:noWrap w:val="0"/>
            <w:vAlign w:val="center"/>
          </w:tcPr>
          <w:p w14:paraId="18465339">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w:t>
            </w:r>
          </w:p>
        </w:tc>
        <w:tc>
          <w:tcPr>
            <w:tcW w:w="2006" w:type="dxa"/>
            <w:noWrap w:val="0"/>
            <w:vAlign w:val="center"/>
          </w:tcPr>
          <w:p w14:paraId="4F54D539">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w:t>
            </w:r>
          </w:p>
        </w:tc>
        <w:tc>
          <w:tcPr>
            <w:tcW w:w="479" w:type="dxa"/>
            <w:noWrap w:val="0"/>
            <w:vAlign w:val="center"/>
          </w:tcPr>
          <w:p w14:paraId="0D310686">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w:t>
            </w:r>
          </w:p>
        </w:tc>
      </w:tr>
      <w:tr w14:paraId="346E3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noWrap w:val="0"/>
            <w:vAlign w:val="center"/>
          </w:tcPr>
          <w:p w14:paraId="5BB72F38">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YS5117242540001</w:t>
            </w:r>
          </w:p>
        </w:tc>
        <w:tc>
          <w:tcPr>
            <w:tcW w:w="793" w:type="dxa"/>
            <w:vMerge w:val="continue"/>
            <w:noWrap w:val="0"/>
            <w:vAlign w:val="center"/>
          </w:tcPr>
          <w:p w14:paraId="6A26CDCD">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大竹县高污染燃料禁燃区</w:t>
            </w:r>
          </w:p>
        </w:tc>
        <w:tc>
          <w:tcPr>
            <w:tcW w:w="4612" w:type="dxa"/>
            <w:vMerge w:val="continue"/>
            <w:noWrap w:val="0"/>
            <w:vAlign w:val="top"/>
          </w:tcPr>
          <w:p w14:paraId="06145B2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空间布局约束：</w:t>
            </w:r>
          </w:p>
          <w:p w14:paraId="22AAB1E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禁止开发建设活动的要求</w:t>
            </w:r>
          </w:p>
          <w:p w14:paraId="5B8C0D7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10E3D04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限制开发建设活动的要求</w:t>
            </w:r>
          </w:p>
          <w:p w14:paraId="446B81B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4F38555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不符合空间布局要求活动的退出要求</w:t>
            </w:r>
          </w:p>
          <w:p w14:paraId="3D45DB0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4C9C519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其他空间布局约束要求</w:t>
            </w:r>
          </w:p>
          <w:p w14:paraId="3BAD5F6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9C8415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污染物排放管控：</w:t>
            </w:r>
          </w:p>
          <w:p w14:paraId="77CB398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允许排放量要求</w:t>
            </w:r>
          </w:p>
          <w:p w14:paraId="68244E1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7E1EC7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现有源提标升级改造</w:t>
            </w:r>
          </w:p>
          <w:p w14:paraId="116386B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0702482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其他污染物排放管控要求</w:t>
            </w:r>
          </w:p>
          <w:p w14:paraId="04275C4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7012C4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环境风险防控：</w:t>
            </w:r>
          </w:p>
          <w:p w14:paraId="1E37478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联防联控要求</w:t>
            </w:r>
          </w:p>
          <w:p w14:paraId="6BAB041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67D1F19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其他环境风险防控要求</w:t>
            </w:r>
          </w:p>
          <w:p w14:paraId="234D2EF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28FAB5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资源开发利用效率要求：</w:t>
            </w:r>
          </w:p>
          <w:p w14:paraId="239AD19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水资源利用总量要求</w:t>
            </w:r>
          </w:p>
          <w:p w14:paraId="4FC5C38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6AA7EF9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地下水开采要求</w:t>
            </w:r>
          </w:p>
          <w:p w14:paraId="0D2D4326">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606831E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能源利用总量及效率要求</w:t>
            </w:r>
          </w:p>
          <w:p w14:paraId="026F6FE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35A2357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禁燃区要求</w:t>
            </w:r>
          </w:p>
          <w:p w14:paraId="7ECFEB7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3D3C8CC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其他资源利用效率要求</w:t>
            </w:r>
          </w:p>
          <w:p w14:paraId="3E608A3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tc>
        <w:tc>
          <w:tcPr>
            <w:tcW w:w="1556" w:type="dxa"/>
            <w:noWrap w:val="0"/>
            <w:vAlign w:val="center"/>
          </w:tcPr>
          <w:p w14:paraId="7A16EC7F">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环境风险防控</w:t>
            </w:r>
          </w:p>
        </w:tc>
        <w:tc>
          <w:tcPr>
            <w:tcW w:w="3938" w:type="dxa"/>
            <w:noWrap w:val="0"/>
            <w:vAlign w:val="center"/>
          </w:tcPr>
          <w:p w14:paraId="056B186D">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w:t>
            </w:r>
          </w:p>
        </w:tc>
        <w:tc>
          <w:tcPr>
            <w:tcW w:w="2006" w:type="dxa"/>
            <w:noWrap w:val="0"/>
            <w:vAlign w:val="center"/>
          </w:tcPr>
          <w:p w14:paraId="3A692831">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w:t>
            </w:r>
          </w:p>
        </w:tc>
        <w:tc>
          <w:tcPr>
            <w:tcW w:w="479" w:type="dxa"/>
            <w:noWrap w:val="0"/>
            <w:vAlign w:val="center"/>
          </w:tcPr>
          <w:p w14:paraId="70AB740E">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w:t>
            </w:r>
          </w:p>
        </w:tc>
      </w:tr>
      <w:tr w14:paraId="16361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0" w:type="dxa"/>
            <w:vMerge w:val="continue"/>
            <w:noWrap w:val="0"/>
            <w:vAlign w:val="center"/>
          </w:tcPr>
          <w:p w14:paraId="6437C8DC">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YS5117242540001</w:t>
            </w:r>
          </w:p>
        </w:tc>
        <w:tc>
          <w:tcPr>
            <w:tcW w:w="793" w:type="dxa"/>
            <w:vMerge w:val="continue"/>
            <w:noWrap w:val="0"/>
            <w:vAlign w:val="center"/>
          </w:tcPr>
          <w:p w14:paraId="0555244F">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大竹县高污染燃料禁燃区</w:t>
            </w:r>
          </w:p>
        </w:tc>
        <w:tc>
          <w:tcPr>
            <w:tcW w:w="4612" w:type="dxa"/>
            <w:vMerge w:val="continue"/>
            <w:noWrap w:val="0"/>
            <w:vAlign w:val="top"/>
          </w:tcPr>
          <w:p w14:paraId="2F6B70A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空间布局约束：</w:t>
            </w:r>
          </w:p>
          <w:p w14:paraId="0BDA195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禁止开发建设活动的要求</w:t>
            </w:r>
          </w:p>
          <w:p w14:paraId="5924072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3DA3FE7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限制开发建设活动的要求</w:t>
            </w:r>
          </w:p>
          <w:p w14:paraId="5374D5C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26568AC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不符合空间布局要求活动的退出要求</w:t>
            </w:r>
          </w:p>
          <w:p w14:paraId="7983642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677001E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其他空间布局约束要求</w:t>
            </w:r>
          </w:p>
          <w:p w14:paraId="601EC57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01B2415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污染物排放管控：</w:t>
            </w:r>
          </w:p>
          <w:p w14:paraId="05791AD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允许排放量要求</w:t>
            </w:r>
          </w:p>
          <w:p w14:paraId="1D13F75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2E9B34A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现有源提标升级改造</w:t>
            </w:r>
          </w:p>
          <w:p w14:paraId="715E45F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42725CA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其他污染物排放管控要求</w:t>
            </w:r>
          </w:p>
          <w:p w14:paraId="780DDD9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2F1DD87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环境风险防控：</w:t>
            </w:r>
          </w:p>
          <w:p w14:paraId="249E173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联防联控要求</w:t>
            </w:r>
          </w:p>
          <w:p w14:paraId="3EA247F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202FE3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其他环境风险防控要求</w:t>
            </w:r>
          </w:p>
          <w:p w14:paraId="20D4655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3D950F1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资源开发利用效率要求：</w:t>
            </w:r>
          </w:p>
          <w:p w14:paraId="1A32EEA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水资源利用总量要求</w:t>
            </w:r>
          </w:p>
          <w:p w14:paraId="573BA90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47C43D2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地下水开采要求</w:t>
            </w:r>
          </w:p>
          <w:p w14:paraId="5E56991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3C59CB9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能源利用总量及效率要求</w:t>
            </w:r>
          </w:p>
          <w:p w14:paraId="006FF76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58086F2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禁燃区要求</w:t>
            </w:r>
          </w:p>
          <w:p w14:paraId="2246D7A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3C87813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其他资源利用效率要求</w:t>
            </w:r>
          </w:p>
          <w:p w14:paraId="578E73B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tc>
        <w:tc>
          <w:tcPr>
            <w:tcW w:w="1556" w:type="dxa"/>
            <w:noWrap w:val="0"/>
            <w:vAlign w:val="center"/>
          </w:tcPr>
          <w:p w14:paraId="6CB942B6">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资源开发效率要求</w:t>
            </w:r>
          </w:p>
        </w:tc>
        <w:tc>
          <w:tcPr>
            <w:tcW w:w="3938" w:type="dxa"/>
            <w:noWrap w:val="0"/>
            <w:vAlign w:val="center"/>
          </w:tcPr>
          <w:p w14:paraId="63F6D05D">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土地资源开发效率要求</w:t>
            </w:r>
          </w:p>
          <w:p w14:paraId="1111139C">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能源资源开发效率要求</w:t>
            </w:r>
          </w:p>
          <w:p w14:paraId="2B23A872">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能源消耗、污染物排放不得超过能源利用上线控制性指标。</w:t>
            </w:r>
          </w:p>
          <w:p w14:paraId="6DF340EF">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其他资源开发效率要求</w:t>
            </w:r>
          </w:p>
        </w:tc>
        <w:tc>
          <w:tcPr>
            <w:tcW w:w="2006" w:type="dxa"/>
            <w:noWrap w:val="0"/>
            <w:vAlign w:val="center"/>
          </w:tcPr>
          <w:p w14:paraId="665A41DC">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本项目不涉及。</w:t>
            </w:r>
          </w:p>
        </w:tc>
        <w:tc>
          <w:tcPr>
            <w:tcW w:w="479" w:type="dxa"/>
            <w:noWrap w:val="0"/>
            <w:vAlign w:val="center"/>
          </w:tcPr>
          <w:p w14:paraId="5D2CD25B">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符合</w:t>
            </w:r>
          </w:p>
        </w:tc>
      </w:tr>
      <w:tr w14:paraId="62454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restart"/>
            <w:noWrap w:val="0"/>
            <w:vAlign w:val="center"/>
          </w:tcPr>
          <w:p w14:paraId="613EAF1A">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YS5117242550001</w:t>
            </w:r>
          </w:p>
        </w:tc>
        <w:tc>
          <w:tcPr>
            <w:tcW w:w="793" w:type="dxa"/>
            <w:vMerge w:val="restart"/>
            <w:noWrap w:val="0"/>
            <w:vAlign w:val="center"/>
          </w:tcPr>
          <w:p w14:paraId="5AAF6E93">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大竹县自然资源重点管控区</w:t>
            </w:r>
          </w:p>
        </w:tc>
        <w:tc>
          <w:tcPr>
            <w:tcW w:w="4612" w:type="dxa"/>
            <w:vMerge w:val="continue"/>
            <w:noWrap w:val="0"/>
            <w:vAlign w:val="top"/>
          </w:tcPr>
          <w:p w14:paraId="57A938B6">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空间布局约束：</w:t>
            </w:r>
          </w:p>
          <w:p w14:paraId="084A802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禁止开发建设活动的要求</w:t>
            </w:r>
          </w:p>
          <w:p w14:paraId="4492408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419410C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限制开发建设活动的要求</w:t>
            </w:r>
          </w:p>
          <w:p w14:paraId="062C377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08E8B1E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不符合空间布局要求活动的退出要求</w:t>
            </w:r>
          </w:p>
          <w:p w14:paraId="52E8485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6A386DF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其他空间布局约束要求</w:t>
            </w:r>
          </w:p>
          <w:p w14:paraId="69C5F76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58F86F1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污染物排放管控：</w:t>
            </w:r>
          </w:p>
          <w:p w14:paraId="016FCAF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允许排放量要求</w:t>
            </w:r>
          </w:p>
          <w:p w14:paraId="7AA0EFE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033F4BD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现有源提标升级改造</w:t>
            </w:r>
          </w:p>
          <w:p w14:paraId="091B86A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0A60EC0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其他污染物排放管控要求</w:t>
            </w:r>
          </w:p>
          <w:p w14:paraId="7EE6045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6B664BD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环境风险防控：</w:t>
            </w:r>
          </w:p>
          <w:p w14:paraId="55004AB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联防联控要求</w:t>
            </w:r>
          </w:p>
          <w:p w14:paraId="3A91A4D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1F9EA77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其他环境风险防控要求</w:t>
            </w:r>
          </w:p>
          <w:p w14:paraId="4771252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17655B9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资源开发利用效率要求：</w:t>
            </w:r>
          </w:p>
          <w:p w14:paraId="2A858546">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水资源利用总量要求</w:t>
            </w:r>
          </w:p>
          <w:p w14:paraId="77322A0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436F111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地下水开采要求</w:t>
            </w:r>
          </w:p>
          <w:p w14:paraId="7D78568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1A3C887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能源利用总量及效率要求</w:t>
            </w:r>
          </w:p>
          <w:p w14:paraId="47FAB16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6576B8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禁燃区要求</w:t>
            </w:r>
          </w:p>
          <w:p w14:paraId="4D85905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1D1600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其他资源利用效率要求</w:t>
            </w:r>
          </w:p>
          <w:p w14:paraId="14B1586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tc>
        <w:tc>
          <w:tcPr>
            <w:tcW w:w="1556" w:type="dxa"/>
            <w:noWrap w:val="0"/>
            <w:vAlign w:val="center"/>
          </w:tcPr>
          <w:p w14:paraId="28108A22">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空间布局约束</w:t>
            </w:r>
          </w:p>
        </w:tc>
        <w:tc>
          <w:tcPr>
            <w:tcW w:w="3938" w:type="dxa"/>
            <w:noWrap w:val="0"/>
            <w:vAlign w:val="center"/>
          </w:tcPr>
          <w:p w14:paraId="4D9B42C7">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w:t>
            </w:r>
          </w:p>
        </w:tc>
        <w:tc>
          <w:tcPr>
            <w:tcW w:w="2006" w:type="dxa"/>
            <w:noWrap w:val="0"/>
            <w:vAlign w:val="center"/>
          </w:tcPr>
          <w:p w14:paraId="6DED51D4">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w:t>
            </w:r>
          </w:p>
        </w:tc>
        <w:tc>
          <w:tcPr>
            <w:tcW w:w="479" w:type="dxa"/>
            <w:noWrap w:val="0"/>
            <w:vAlign w:val="center"/>
          </w:tcPr>
          <w:p w14:paraId="00E3CB7A">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w:t>
            </w:r>
          </w:p>
        </w:tc>
      </w:tr>
      <w:tr w14:paraId="7F6AC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noWrap w:val="0"/>
            <w:vAlign w:val="center"/>
          </w:tcPr>
          <w:p w14:paraId="673F63DF">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YS5117242550001</w:t>
            </w:r>
          </w:p>
        </w:tc>
        <w:tc>
          <w:tcPr>
            <w:tcW w:w="793" w:type="dxa"/>
            <w:vMerge w:val="continue"/>
            <w:noWrap w:val="0"/>
            <w:vAlign w:val="center"/>
          </w:tcPr>
          <w:p w14:paraId="00FF81B3">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大竹县自然资源重点管控区</w:t>
            </w:r>
          </w:p>
        </w:tc>
        <w:tc>
          <w:tcPr>
            <w:tcW w:w="4612" w:type="dxa"/>
            <w:vMerge w:val="continue"/>
            <w:noWrap w:val="0"/>
            <w:vAlign w:val="top"/>
          </w:tcPr>
          <w:p w14:paraId="048C2606">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空间布局约束：</w:t>
            </w:r>
          </w:p>
          <w:p w14:paraId="2A33FF2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禁止开发建设活动的要求</w:t>
            </w:r>
          </w:p>
          <w:p w14:paraId="5277AE7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DB7D56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限制开发建设活动的要求</w:t>
            </w:r>
          </w:p>
          <w:p w14:paraId="71109E3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4CDEAE5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不符合空间布局要求活动的退出要求</w:t>
            </w:r>
          </w:p>
          <w:p w14:paraId="502BA36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146BB64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其他空间布局约束要求</w:t>
            </w:r>
          </w:p>
          <w:p w14:paraId="6C226C1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6532783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污染物排放管控：</w:t>
            </w:r>
          </w:p>
          <w:p w14:paraId="5C71F36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允许排放量要求</w:t>
            </w:r>
          </w:p>
          <w:p w14:paraId="5F33952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633DD91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现有源提标升级改造</w:t>
            </w:r>
          </w:p>
          <w:p w14:paraId="54ED97D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17732A2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其他污染物排放管控要求</w:t>
            </w:r>
          </w:p>
          <w:p w14:paraId="0B1F3F2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196565C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环境风险防控：</w:t>
            </w:r>
          </w:p>
          <w:p w14:paraId="0B41AB0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联防联控要求</w:t>
            </w:r>
          </w:p>
          <w:p w14:paraId="64FE487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3607551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其他环境风险防控要求</w:t>
            </w:r>
          </w:p>
          <w:p w14:paraId="2EC0957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6936BD5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资源开发利用效率要求：</w:t>
            </w:r>
          </w:p>
          <w:p w14:paraId="3E2D3176">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水资源利用总量要求</w:t>
            </w:r>
          </w:p>
          <w:p w14:paraId="0C32A04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1AA362D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地下水开采要求</w:t>
            </w:r>
          </w:p>
          <w:p w14:paraId="24282786">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6C07786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能源利用总量及效率要求</w:t>
            </w:r>
          </w:p>
          <w:p w14:paraId="751CF7E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02E1FDF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禁燃区要求</w:t>
            </w:r>
          </w:p>
          <w:p w14:paraId="1FA7F63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A5E50B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其他资源利用效率要求</w:t>
            </w:r>
          </w:p>
          <w:p w14:paraId="6B92678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tc>
        <w:tc>
          <w:tcPr>
            <w:tcW w:w="1556" w:type="dxa"/>
            <w:noWrap w:val="0"/>
            <w:vAlign w:val="center"/>
          </w:tcPr>
          <w:p w14:paraId="69AB83FE">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污染物排放管控</w:t>
            </w:r>
          </w:p>
        </w:tc>
        <w:tc>
          <w:tcPr>
            <w:tcW w:w="3938" w:type="dxa"/>
            <w:noWrap w:val="0"/>
            <w:vAlign w:val="center"/>
          </w:tcPr>
          <w:p w14:paraId="027F6529">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w:t>
            </w:r>
          </w:p>
        </w:tc>
        <w:tc>
          <w:tcPr>
            <w:tcW w:w="2006" w:type="dxa"/>
            <w:noWrap w:val="0"/>
            <w:vAlign w:val="center"/>
          </w:tcPr>
          <w:p w14:paraId="7CF55011">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w:t>
            </w:r>
          </w:p>
        </w:tc>
        <w:tc>
          <w:tcPr>
            <w:tcW w:w="479" w:type="dxa"/>
            <w:noWrap w:val="0"/>
            <w:vAlign w:val="center"/>
          </w:tcPr>
          <w:p w14:paraId="0DB71862">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w:t>
            </w:r>
          </w:p>
        </w:tc>
      </w:tr>
      <w:tr w14:paraId="7CCCB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90" w:type="dxa"/>
            <w:vMerge w:val="continue"/>
            <w:noWrap w:val="0"/>
            <w:vAlign w:val="center"/>
          </w:tcPr>
          <w:p w14:paraId="46B0C71E">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YS5117242550001</w:t>
            </w:r>
          </w:p>
        </w:tc>
        <w:tc>
          <w:tcPr>
            <w:tcW w:w="793" w:type="dxa"/>
            <w:vMerge w:val="continue"/>
            <w:noWrap w:val="0"/>
            <w:vAlign w:val="center"/>
          </w:tcPr>
          <w:p w14:paraId="7178D684">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大竹县自然资源重点管控区</w:t>
            </w:r>
          </w:p>
        </w:tc>
        <w:tc>
          <w:tcPr>
            <w:tcW w:w="4612" w:type="dxa"/>
            <w:vMerge w:val="continue"/>
            <w:noWrap w:val="0"/>
            <w:vAlign w:val="top"/>
          </w:tcPr>
          <w:p w14:paraId="6539DD9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空间布局约束：</w:t>
            </w:r>
          </w:p>
          <w:p w14:paraId="55EB918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禁止开发建设活动的要求</w:t>
            </w:r>
          </w:p>
          <w:p w14:paraId="2C78F96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0DC777E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限制开发建设活动的要求</w:t>
            </w:r>
          </w:p>
          <w:p w14:paraId="198541A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44199D0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不符合空间布局要求活动的退出要求</w:t>
            </w:r>
          </w:p>
          <w:p w14:paraId="493AC96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2654CEC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其他空间布局约束要求</w:t>
            </w:r>
          </w:p>
          <w:p w14:paraId="54FAFFB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86E031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污染物排放管控：</w:t>
            </w:r>
          </w:p>
          <w:p w14:paraId="1A3D0B6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允许排放量要求</w:t>
            </w:r>
          </w:p>
          <w:p w14:paraId="51D832C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57D2647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现有源提标升级改造</w:t>
            </w:r>
          </w:p>
          <w:p w14:paraId="05CA4496">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5DFD97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其他污染物排放管控要求</w:t>
            </w:r>
          </w:p>
          <w:p w14:paraId="07C8026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35CBAD0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环境风险防控：</w:t>
            </w:r>
          </w:p>
          <w:p w14:paraId="72B53A9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联防联控要求</w:t>
            </w:r>
          </w:p>
          <w:p w14:paraId="6B8BE6B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6BC2AD6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其他环境风险防控要求</w:t>
            </w:r>
          </w:p>
          <w:p w14:paraId="4C1A43E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6EFC4AB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资源开发利用效率要求：</w:t>
            </w:r>
          </w:p>
          <w:p w14:paraId="30C7AA3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水资源利用总量要求</w:t>
            </w:r>
          </w:p>
          <w:p w14:paraId="1B591E1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1941669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地下水开采要求</w:t>
            </w:r>
          </w:p>
          <w:p w14:paraId="286D3D8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284D567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能源利用总量及效率要求</w:t>
            </w:r>
          </w:p>
          <w:p w14:paraId="43E7454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0C1ED04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禁燃区要求</w:t>
            </w:r>
          </w:p>
          <w:p w14:paraId="02A21EB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997ECE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其他资源利用效率要求</w:t>
            </w:r>
          </w:p>
          <w:p w14:paraId="56881C3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tc>
        <w:tc>
          <w:tcPr>
            <w:tcW w:w="1556" w:type="dxa"/>
            <w:noWrap w:val="0"/>
            <w:vAlign w:val="center"/>
          </w:tcPr>
          <w:p w14:paraId="2C68016C">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环境风险防控</w:t>
            </w:r>
          </w:p>
        </w:tc>
        <w:tc>
          <w:tcPr>
            <w:tcW w:w="3938" w:type="dxa"/>
            <w:noWrap w:val="0"/>
            <w:vAlign w:val="center"/>
          </w:tcPr>
          <w:p w14:paraId="3EE45DF5">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w:t>
            </w:r>
          </w:p>
        </w:tc>
        <w:tc>
          <w:tcPr>
            <w:tcW w:w="2006" w:type="dxa"/>
            <w:noWrap w:val="0"/>
            <w:vAlign w:val="center"/>
          </w:tcPr>
          <w:p w14:paraId="09DB0943">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w:t>
            </w:r>
          </w:p>
        </w:tc>
        <w:tc>
          <w:tcPr>
            <w:tcW w:w="479" w:type="dxa"/>
            <w:noWrap w:val="0"/>
            <w:vAlign w:val="center"/>
          </w:tcPr>
          <w:p w14:paraId="69461868">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w:t>
            </w:r>
          </w:p>
        </w:tc>
      </w:tr>
      <w:tr w14:paraId="11B57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noWrap w:val="0"/>
            <w:vAlign w:val="center"/>
          </w:tcPr>
          <w:p w14:paraId="57189197">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YS5117242550001</w:t>
            </w:r>
          </w:p>
        </w:tc>
        <w:tc>
          <w:tcPr>
            <w:tcW w:w="793" w:type="dxa"/>
            <w:vMerge w:val="continue"/>
            <w:noWrap w:val="0"/>
            <w:vAlign w:val="center"/>
          </w:tcPr>
          <w:p w14:paraId="5EFD48A8">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大竹县自然资源重点管控区</w:t>
            </w:r>
          </w:p>
        </w:tc>
        <w:tc>
          <w:tcPr>
            <w:tcW w:w="4612" w:type="dxa"/>
            <w:vMerge w:val="continue"/>
            <w:noWrap w:val="0"/>
            <w:vAlign w:val="top"/>
          </w:tcPr>
          <w:p w14:paraId="43D3AFA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空间布局约束：</w:t>
            </w:r>
          </w:p>
          <w:p w14:paraId="34917D8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禁止开发建设活动的要求</w:t>
            </w:r>
          </w:p>
          <w:p w14:paraId="43C3104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0C69348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限制开发建设活动的要求</w:t>
            </w:r>
          </w:p>
          <w:p w14:paraId="03CDA6F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BDCE16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不符合空间布局要求活动的退出要求</w:t>
            </w:r>
          </w:p>
          <w:p w14:paraId="4AEE6CA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257B50E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其他空间布局约束要求</w:t>
            </w:r>
          </w:p>
          <w:p w14:paraId="0E48FFD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4BB1E1D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污染物排放管控：</w:t>
            </w:r>
          </w:p>
          <w:p w14:paraId="78969CA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允许排放量要求</w:t>
            </w:r>
          </w:p>
          <w:p w14:paraId="61B72AA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8CA211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现有源提标升级改造</w:t>
            </w:r>
          </w:p>
          <w:p w14:paraId="63CA90F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020A309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其他污染物排放管控要求</w:t>
            </w:r>
          </w:p>
          <w:p w14:paraId="584A897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423513C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环境风险防控：</w:t>
            </w:r>
          </w:p>
          <w:p w14:paraId="2CEFA84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联防联控要求</w:t>
            </w:r>
          </w:p>
          <w:p w14:paraId="4537352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49045C6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其他环境风险防控要求</w:t>
            </w:r>
          </w:p>
          <w:p w14:paraId="7DDAA19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2E729E1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资源开发利用效率要求：</w:t>
            </w:r>
          </w:p>
          <w:p w14:paraId="2AFCD706">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水资源利用总量要求</w:t>
            </w:r>
          </w:p>
          <w:p w14:paraId="2136AC1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7A0B788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地下水开采要求</w:t>
            </w:r>
          </w:p>
          <w:p w14:paraId="0EE563F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0AD98CC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能源利用总量及效率要求</w:t>
            </w:r>
          </w:p>
          <w:p w14:paraId="3A65EBF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59E63F1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禁燃区要求</w:t>
            </w:r>
          </w:p>
          <w:p w14:paraId="0CB883A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p w14:paraId="2620A92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其他资源利用效率要求</w:t>
            </w:r>
          </w:p>
          <w:p w14:paraId="134B281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暂无</w:t>
            </w:r>
          </w:p>
        </w:tc>
        <w:tc>
          <w:tcPr>
            <w:tcW w:w="1556" w:type="dxa"/>
            <w:noWrap w:val="0"/>
            <w:vAlign w:val="center"/>
          </w:tcPr>
          <w:p w14:paraId="7BDDF11D">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资源开发效率要求</w:t>
            </w:r>
          </w:p>
        </w:tc>
        <w:tc>
          <w:tcPr>
            <w:tcW w:w="3938" w:type="dxa"/>
            <w:noWrap w:val="0"/>
            <w:vAlign w:val="center"/>
          </w:tcPr>
          <w:p w14:paraId="2485009E">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土地资源开发效率要求</w:t>
            </w:r>
          </w:p>
          <w:p w14:paraId="2E1DDB75">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能源资源开发效率要求</w:t>
            </w:r>
          </w:p>
          <w:p w14:paraId="28C26968">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其他资源开发效率要求</w:t>
            </w:r>
          </w:p>
        </w:tc>
        <w:tc>
          <w:tcPr>
            <w:tcW w:w="2006" w:type="dxa"/>
            <w:noWrap w:val="0"/>
            <w:vAlign w:val="center"/>
          </w:tcPr>
          <w:p w14:paraId="4B9ED037">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本项目不涉及。</w:t>
            </w:r>
          </w:p>
        </w:tc>
        <w:tc>
          <w:tcPr>
            <w:tcW w:w="479" w:type="dxa"/>
            <w:noWrap w:val="0"/>
            <w:vAlign w:val="center"/>
          </w:tcPr>
          <w:p w14:paraId="47C3CFA5">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符合</w:t>
            </w:r>
          </w:p>
        </w:tc>
      </w:tr>
      <w:tr w14:paraId="2832B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restart"/>
            <w:noWrap w:val="0"/>
            <w:vAlign w:val="center"/>
          </w:tcPr>
          <w:p w14:paraId="706FE0B6">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ZH51172420002</w:t>
            </w:r>
          </w:p>
        </w:tc>
        <w:tc>
          <w:tcPr>
            <w:tcW w:w="793" w:type="dxa"/>
            <w:vMerge w:val="restart"/>
            <w:noWrap w:val="0"/>
            <w:vAlign w:val="center"/>
          </w:tcPr>
          <w:p w14:paraId="62CD6AAF">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四川大竹经济开发区</w:t>
            </w:r>
          </w:p>
        </w:tc>
        <w:tc>
          <w:tcPr>
            <w:tcW w:w="4612" w:type="dxa"/>
            <w:vMerge w:val="restart"/>
            <w:noWrap w:val="0"/>
            <w:vAlign w:val="top"/>
          </w:tcPr>
          <w:p w14:paraId="7FF40A6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空间布局约束：</w:t>
            </w:r>
          </w:p>
          <w:p w14:paraId="4422DA0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禁止开发建设活动的要求</w:t>
            </w:r>
          </w:p>
          <w:p w14:paraId="34F75AA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-禁止在长江干支流、重要湖泊岸线一公里范围内新建、扩建化工园区和化工项目，严控新建石油化工、煤化工、涉磷、造纸、印染、制革等项目。</w:t>
            </w:r>
          </w:p>
          <w:p w14:paraId="5ECDF12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-禁止从事《长江经济带发展负面清单指南（试行）》禁止准入类事项。</w:t>
            </w:r>
          </w:p>
          <w:p w14:paraId="661DC02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-引进项目应符合园区规划环评和区域产业准入及负面清单要求。</w:t>
            </w:r>
          </w:p>
          <w:p w14:paraId="0962697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-禁止新建不符合国家产业政策和行业准入条件的高污染项目。</w:t>
            </w:r>
          </w:p>
          <w:p w14:paraId="353EF7A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-工业园区禁止新建高污染燃料锅炉。</w:t>
            </w:r>
          </w:p>
          <w:p w14:paraId="3057ACA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-禁止在长江流域河湖管理范围内倾倒、填埋、堆放、弃置、处理固体废物。</w:t>
            </w:r>
          </w:p>
          <w:p w14:paraId="1FB1D5F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-未通过认定的化工园区，不得新建、改扩建化工项目（安全、环保、节能和智能化改造项目除外），按属地原则依法依规妥善做好未通过认</w:t>
            </w:r>
            <w:r>
              <w:rPr>
                <w:rStyle w:val="37"/>
                <w:rFonts w:hint="eastAsia" w:eastAsia="宋体" w:cs="Times New Roman"/>
                <w:color w:val="auto"/>
                <w:kern w:val="0"/>
                <w:sz w:val="21"/>
                <w:szCs w:val="21"/>
                <w:lang w:val="en-US" w:eastAsia="zh-CN" w:bidi="ar-SA"/>
              </w:rPr>
              <w:t>定的</w:t>
            </w:r>
            <w:r>
              <w:rPr>
                <w:rStyle w:val="37"/>
                <w:rFonts w:hint="default" w:ascii="Times New Roman" w:hAnsi="Times New Roman" w:eastAsia="宋体" w:cs="Times New Roman"/>
                <w:color w:val="auto"/>
                <w:kern w:val="0"/>
                <w:sz w:val="21"/>
                <w:szCs w:val="21"/>
                <w:lang w:val="en-US" w:eastAsia="zh-CN" w:bidi="ar-SA"/>
              </w:rPr>
              <w:t>化工园区及园内企业的转型、关闭、处置及监管工作。</w:t>
            </w:r>
          </w:p>
          <w:p w14:paraId="087CC48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限制开发建设活动的要求</w:t>
            </w:r>
          </w:p>
          <w:p w14:paraId="7A4F845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-严格控制污染物新增排放量，对新建排放二氧化硫、氮氧化物、工业烟粉尘和 VOCS 的项目实施现役源 2 倍削减量替代。</w:t>
            </w:r>
          </w:p>
          <w:p w14:paraId="00A58AC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-严格实施环评制度，将细颗粒物达标情况纳入规划环评和相关项目环评内容，加快制定颗粒物、VOCS排放总量管理配套政策。</w:t>
            </w:r>
          </w:p>
          <w:p w14:paraId="4992670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-严格控制新建、扩建燃煤发电项目。</w:t>
            </w:r>
          </w:p>
          <w:p w14:paraId="63169E8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-严控达州市主城区上游沿岸地区新建石油化工、煤化工、涉磷、造纸、印染、制革等项目。</w:t>
            </w:r>
          </w:p>
          <w:p w14:paraId="2F2FAFE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不符合空间布局要求活动的退出要求</w:t>
            </w:r>
          </w:p>
          <w:p w14:paraId="119FCA3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-现有属于禁止引入产业门类的企业，应按相关规定限期整治或退出。</w:t>
            </w:r>
          </w:p>
          <w:p w14:paraId="7846C71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重点区域城市钢铁企业要切实采取彻底关停、转型发展、就地改造、域外搬迁等方式。四川省达州钢铁集团有限责任公司处于四川省大气污染防治重点区域，属于“彻底关停、转型发展、就地改造、域外搬迁”企业；</w:t>
            </w:r>
          </w:p>
          <w:p w14:paraId="3FBEA94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-引导重污染产业退出或搬迁、企业分类退城入园，逐步打破近水靠城的历史工业布局。加大城市区域现有装备水平低、环保设施差的微小企业“关、停、并、转”实施力度，清理建成区上风向重点涉气项目。</w:t>
            </w:r>
          </w:p>
          <w:p w14:paraId="41CAE8A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-石化、现代煤化工项目应纳入国家产业规划。新建、扩建石化、化工、焦化、有色金属冶炼、平板玻璃项目应布设在依法合规设立并经规划环评的产业园区。</w:t>
            </w:r>
          </w:p>
          <w:p w14:paraId="69D4167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其他空间布局约束要求</w:t>
            </w:r>
          </w:p>
          <w:p w14:paraId="166DF5C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w:t>
            </w:r>
          </w:p>
          <w:p w14:paraId="37D0527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污染物排放管控：</w:t>
            </w:r>
          </w:p>
          <w:p w14:paraId="2DD853B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允许排放量要求</w:t>
            </w:r>
          </w:p>
          <w:p w14:paraId="5F5D3EB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达州市2025年水污染物允许排放量COD4396.41t，氨氮418.7t，TP45.36t；达州市2025年大气污染物一次PM2.5 5805t、SO2 12773t、NOx11892t、VOCs 13969t</w:t>
            </w:r>
          </w:p>
          <w:p w14:paraId="693BEB6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现有源提标升级改造</w:t>
            </w:r>
          </w:p>
          <w:p w14:paraId="3F4B170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-污水收集处理率达100%；</w:t>
            </w:r>
          </w:p>
          <w:p w14:paraId="7FE5EEB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w:t>
            </w:r>
          </w:p>
          <w:p w14:paraId="568F49E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30、200、300毫克/立方米实施改造，其中，日用玻璃、玻璃棉氮氧化物排放限值不高于400毫克/立方米。</w:t>
            </w:r>
          </w:p>
          <w:p w14:paraId="759FB8C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14:paraId="56D6198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其他污染物排放管控要求</w:t>
            </w:r>
          </w:p>
          <w:p w14:paraId="7E2E979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新增源等量或倍量替代:上一年度水环境质量未完成目标的，新建排放水污染的建设项目按照总量管控要求进行倍量削减替代。</w:t>
            </w:r>
          </w:p>
          <w:p w14:paraId="710CD03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上一年度空气质量年平均浓度不达标的城市，建设项目新增相关污染物按照总量管控要求进行倍量削减替代。</w:t>
            </w:r>
          </w:p>
          <w:p w14:paraId="7A5B8DB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对新建排放二氧化硫、氮氧化物、工业烟粉尘和VOCs的项目实施现役源倍量削减量替代。严禁钢铁、水泥、电解铝、平板玻璃等行业新增产能，对确有必要新建的必须实施等量或减量置换，防范过剩和落后产能跨地区转移.</w:t>
            </w:r>
          </w:p>
          <w:p w14:paraId="4174EE5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污染物排放绩效水平准入要求:新、改扩建项目污染排放指标满足《四川省省级生态工业园区指标》综合类生态工业园区要求。工业固体废弃物利用处置率达100%，危险废物处置率达100%。</w:t>
            </w:r>
          </w:p>
          <w:p w14:paraId="6BDBC4A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国家大气污染防治重点区域(以下</w:t>
            </w:r>
            <w:r>
              <w:rPr>
                <w:rStyle w:val="37"/>
                <w:rFonts w:hint="eastAsia" w:eastAsia="宋体" w:cs="Times New Roman"/>
                <w:color w:val="auto"/>
                <w:kern w:val="0"/>
                <w:sz w:val="21"/>
                <w:szCs w:val="21"/>
                <w:lang w:val="en-US" w:eastAsia="zh-CN" w:bidi="ar-SA"/>
              </w:rPr>
              <w:t>简称</w:t>
            </w:r>
            <w:r>
              <w:rPr>
                <w:rStyle w:val="37"/>
                <w:rFonts w:hint="default" w:ascii="Times New Roman" w:hAnsi="Times New Roman" w:eastAsia="宋体" w:cs="Times New Roman"/>
                <w:color w:val="auto"/>
                <w:kern w:val="0"/>
                <w:sz w:val="21"/>
                <w:szCs w:val="21"/>
                <w:lang w:val="en-US" w:eastAsia="zh-CN" w:bidi="ar-SA"/>
              </w:rPr>
              <w:t>重点区域)内新建耗煤项目还应严格按规定采取煤炭消费减量替代措施，不得使用高污染燃料作为煤炭减量替代措施;重点区域执行大气污染物特别排放限值，严禁新增钢铁、电力、水泥、玻璃、砖瓦、陶瓷、焦化、电解铝、有色等重点行业大气污染物排放。</w:t>
            </w:r>
          </w:p>
          <w:p w14:paraId="7EF5C59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钢铁行业新建应参考达州市“三线一单”生态环境分区管控中钢铁行业资源环境绩效准入门槛。</w:t>
            </w:r>
          </w:p>
          <w:p w14:paraId="1890E5B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2030年，渠江流域用水总量控制在31.61亿立方米以内，渠江干流COD排放总量限制在4.89万t/a内、氨氮排放总量限制在0.54万t/a内。全面推进节水型社会建设，加强河湖（库）水域岸线保护及管理，加强入河排污口规范化建设，加强工业污染、农业农村污染、船舶港口污染防治。对流域内饮用水源地进行有效保护及规范化建设。</w:t>
            </w:r>
          </w:p>
          <w:p w14:paraId="152CA41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化工园区应按照分类收集，分质处理的要求，配备专业化工生产废水集中处理设施（独立建设或依托骨干企业）及专管或明管输送的配套管网，化工生产废水纳管率达到100%。入河排污口设置应符合相关规定。</w:t>
            </w:r>
          </w:p>
          <w:p w14:paraId="32AFA3C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14:paraId="362BF9A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p w14:paraId="68C7EDB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环境风险防控：</w:t>
            </w:r>
          </w:p>
          <w:p w14:paraId="3FB3EC7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联防联控要求</w:t>
            </w:r>
          </w:p>
          <w:p w14:paraId="2C8256D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14:paraId="0DADD35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其他环境风险防控要求</w:t>
            </w:r>
          </w:p>
          <w:p w14:paraId="5A33978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企业环境风险防控要求:涉及有毒有害、易燃易爆物质新建、改扩建项目，严控准入要求。（根据《GB 8978-2002》中第一类污染物以及《优先控制化学品名录</w:t>
            </w:r>
            <w:r>
              <w:rPr>
                <w:rStyle w:val="37"/>
                <w:rFonts w:hint="eastAsia" w:eastAsia="宋体" w:cs="Times New Roman"/>
                <w:color w:val="auto"/>
                <w:kern w:val="0"/>
                <w:sz w:val="21"/>
                <w:szCs w:val="21"/>
                <w:lang w:val="en-US" w:eastAsia="zh-CN" w:bidi="ar-SA"/>
              </w:rPr>
              <w:t>》《</w:t>
            </w:r>
            <w:r>
              <w:rPr>
                <w:rStyle w:val="37"/>
                <w:rFonts w:hint="default" w:ascii="Times New Roman" w:hAnsi="Times New Roman" w:eastAsia="宋体" w:cs="Times New Roman"/>
                <w:color w:val="auto"/>
                <w:kern w:val="0"/>
                <w:sz w:val="21"/>
                <w:szCs w:val="21"/>
                <w:lang w:val="en-US" w:eastAsia="zh-CN" w:bidi="ar-SA"/>
              </w:rPr>
              <w:t>有毒有害大气污染物名录</w:t>
            </w:r>
            <w:r>
              <w:rPr>
                <w:rStyle w:val="37"/>
                <w:rFonts w:hint="eastAsia" w:eastAsia="宋体" w:cs="Times New Roman"/>
                <w:color w:val="auto"/>
                <w:kern w:val="0"/>
                <w:sz w:val="21"/>
                <w:szCs w:val="21"/>
                <w:lang w:val="en-US" w:eastAsia="zh-CN" w:bidi="ar-SA"/>
              </w:rPr>
              <w:t>》《</w:t>
            </w:r>
            <w:r>
              <w:rPr>
                <w:rStyle w:val="37"/>
                <w:rFonts w:hint="default" w:ascii="Times New Roman" w:hAnsi="Times New Roman" w:eastAsia="宋体" w:cs="Times New Roman"/>
                <w:color w:val="auto"/>
                <w:kern w:val="0"/>
                <w:sz w:val="21"/>
                <w:szCs w:val="21"/>
                <w:lang w:val="en-US" w:eastAsia="zh-CN" w:bidi="ar-SA"/>
              </w:rPr>
              <w:t>有毒有害水污染物名录》确定）。对钢铁、焦化平板玻璃、铜铅锌硅冶炼等环境影响大或环境风险高的项目类别，不得以改革试点名义随意下放环评审批权限或降低审批要求。</w:t>
            </w:r>
          </w:p>
          <w:p w14:paraId="5C05543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园区环境风险防控要求:园区风险防控体系要求：构建三级环境风险防控体系，强化危化品泄漏应急处置措施，确保风险可控。针对化工园区进一步强化风险防控。化工园区应具有安全风险监控体系、建立生态环境监测监控体系、建立必要的突发环境事件应急体系。杜绝危化品泄漏、事故排放等，确保环境安全。</w:t>
            </w:r>
          </w:p>
          <w:p w14:paraId="5C578EB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用地环境风险防控要求: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p w14:paraId="05D0CCA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资源开发利用效率要求：</w:t>
            </w:r>
          </w:p>
          <w:p w14:paraId="0A3C3D9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水资源利用总量要求</w:t>
            </w:r>
          </w:p>
          <w:p w14:paraId="6574A29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新、改扩建项目污染水耗指标满足《四川省省级生态工业园区指标》综合类生态工业园区要求；到2022年，万元国内生产总值用水量、万元工业增加值用水量较2015年分别下降30%和28%。</w:t>
            </w:r>
          </w:p>
          <w:p w14:paraId="18AE28D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地下水开采要求</w:t>
            </w:r>
          </w:p>
          <w:p w14:paraId="0397BCD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以省市下发指标为准</w:t>
            </w:r>
          </w:p>
          <w:p w14:paraId="5B6C0F2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能源利用总量及效率要求</w:t>
            </w:r>
          </w:p>
          <w:p w14:paraId="4E4E1D0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川东北区域实施新建项目与煤炭消费总量控制挂钩机制，耗煤建设项目实行煤炭消耗等量减量替代。提高煤炭利用效率和天然气利用占比，工业领域有序推进“煤改电”和有序推进“煤改气”。</w:t>
            </w:r>
          </w:p>
          <w:p w14:paraId="75B936E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-大力实施和推广以电代煤、以电代油工程，重点在城市交通、工商业等领域实施以电代油、以电代煤。</w:t>
            </w:r>
          </w:p>
          <w:p w14:paraId="07243C6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-增加天然气对煤炭和石油的替代，提高天然气民用、交通、发电、工业领域天然气消费比重。</w:t>
            </w:r>
          </w:p>
          <w:p w14:paraId="7B02020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-实施煤炭消费总量控制：严格控制煤炭消费总量；严格控制新建、改建、扩建耗煤项目，新增耗煤项目实行煤炭消耗减量倍量替代。</w:t>
            </w:r>
          </w:p>
          <w:p w14:paraId="341595D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鼓励使用清洁燃料，重点区域建设项目原则上不新建燃煤自备锅炉。鼓励重点区域高炉-转炉长流程钢铁企业转型为电炉短流程企业。大宗物料优先采用铁路、管道或水路运输，短途接驳优先使用新能源车辆运输。</w:t>
            </w:r>
          </w:p>
          <w:p w14:paraId="70F3192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-推进清洁能源的推广使用，全面推进散煤清洁化整治；</w:t>
            </w:r>
          </w:p>
          <w:p w14:paraId="672111E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全面淘汰10蒸吨/小时及以下燃煤锅炉，原则上不再新建35蒸吨/小时及以下的燃煤锅炉，推进县级及以上城市建成区淘汰35蒸吨/小时及以下燃煤锅炉，以工业余热、电厂热力、清洁能源等替代煤炭。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14:paraId="41E2AFE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对20蒸吨及以上燃煤锅炉实施脱硫改造，建设高效脱硫设施；对循环流化床锅炉以外的燃煤发电机组一律安装脱硫设施，对燃煤锅炉和工业锅炉现有除尘设施实施升级改造，确保达到新的排放标准和特别排放限值。</w:t>
            </w:r>
          </w:p>
          <w:p w14:paraId="32433246">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禁燃区要求</w:t>
            </w:r>
          </w:p>
          <w:p w14:paraId="4DA80FB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高污染燃料禁燃区内禁止燃用的燃料为《高污染燃料目录》（2017）中Ⅲ类（严格）燃料组合，包括：（一）煤炭及其制品；（二）石油焦、油页岩、原油、重油、渣油、煤焦油；（三）非专用锅炉或未配置高效除尘设施的专用锅炉燃用的生物质成型燃料。</w:t>
            </w:r>
          </w:p>
          <w:p w14:paraId="2716AA3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-禁燃区内禁止销售、燃用高污染燃料；禁止新建、改建、扩建燃用高污染燃料的设施和设备。</w:t>
            </w:r>
          </w:p>
          <w:p w14:paraId="4A40A29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-禁燃区内已建成的高污染燃料燃用设施由辖区人民政府制定限期改造计划，改用天然气、页岩气、液化石油气、电或其他清洁能源。</w:t>
            </w:r>
          </w:p>
          <w:p w14:paraId="3CB1F7D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其他资源利用效率要求</w:t>
            </w:r>
          </w:p>
          <w:p w14:paraId="1F7B1AC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w:t>
            </w:r>
          </w:p>
        </w:tc>
        <w:tc>
          <w:tcPr>
            <w:tcW w:w="1556" w:type="dxa"/>
            <w:noWrap w:val="0"/>
            <w:vAlign w:val="center"/>
          </w:tcPr>
          <w:p w14:paraId="2B193535">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空间布局约束</w:t>
            </w:r>
          </w:p>
        </w:tc>
        <w:tc>
          <w:tcPr>
            <w:tcW w:w="3938" w:type="dxa"/>
            <w:noWrap w:val="0"/>
            <w:vAlign w:val="center"/>
          </w:tcPr>
          <w:p w14:paraId="276F1E3C">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禁止开发建设活动的要求</w:t>
            </w:r>
          </w:p>
          <w:p w14:paraId="0C7BAB1D">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1、北区和南区：禁止引入金属冶炼等可能对区域大气环境及周边环境敏感点造成严重影响的企业；禁止引入用水量大的企业，禁止引入天然气开发、石化、化工、电镀、酿造、印染、化学制浆造纸等废水排放量大且难于处理、污染严重的企业；原则上不准引进原煤作为主要能源的企业</w:t>
            </w:r>
          </w:p>
          <w:p w14:paraId="5E507950">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2、东区：禁止引入对水环境可能造成较大风险的制造业如石油加工、造纸、印染（苎麻配套印染除外）、化学原料及化学制品制造业、医药原药制造业等其它同达州市工业重点管控单元要求；</w:t>
            </w:r>
          </w:p>
          <w:p w14:paraId="07152EB4">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3、大竹县柏林工业园区：禁止除竹(木)加工、竹浆造纸外的企业</w:t>
            </w:r>
          </w:p>
          <w:p w14:paraId="49D04DB4">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限制开发建设活动的要求</w:t>
            </w:r>
          </w:p>
          <w:p w14:paraId="72F32481">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1、园区西侧落地项目应充分论证大气、噪声环境影响，优化项目选址布局</w:t>
            </w:r>
          </w:p>
          <w:p w14:paraId="1986F838">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2、园区周边涉及永久基本农田区域，布局项目应充分考虑涉气特征污染物（硫酸雾、硫化氢、氯化氢等）对基本农田的影响，适当优化布局优先保护类耕地集中区域现有可能造成土壤污染的相关行业企业要采用新技术、新工艺，加快提标升级改造步伐，定期开展土壤污染隐患排查与风险管控，防止对耕地造成污染；排放污染物的企业事业单位和其他生产经营者应当采取有效措施，确保废水、废气排放和固体废物处理、处置符合国家有关规定要求，强化土壤环境污染治理及风险管控，防止对周边农用地土壤造成污染</w:t>
            </w:r>
          </w:p>
          <w:p w14:paraId="591F2897">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3、东区：</w:t>
            </w:r>
          </w:p>
          <w:p w14:paraId="714ADFE6">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1）在引进苎麻加工企业时要控制含脱胶企业的数量和规模，引进苎麻加工企业应以精干麻为原料的纯苎麻纺织项目为主，对新建的含脱胶的苎麻加工项目应限制入园（在东柳河水质达到Ⅲ类标准以前，对苎麻脱胶企业限制引进）；</w:t>
            </w:r>
          </w:p>
          <w:p w14:paraId="2FF72EF1">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（2）园区引进新建的含脱胶苎麻加工企业时，应以建设园区</w:t>
            </w:r>
            <w:r>
              <w:rPr>
                <w:rStyle w:val="37"/>
                <w:rFonts w:hint="eastAsia" w:eastAsia="宋体" w:cs="Times New Roman"/>
                <w:color w:val="auto"/>
                <w:kern w:val="2"/>
                <w:sz w:val="21"/>
                <w:szCs w:val="21"/>
                <w:lang w:val="en-US" w:eastAsia="zh-CN" w:bidi="ar-SA"/>
              </w:rPr>
              <w:t>污水处理厂</w:t>
            </w:r>
            <w:r>
              <w:rPr>
                <w:rStyle w:val="37"/>
                <w:rFonts w:hint="default" w:ascii="Times New Roman" w:hAnsi="Times New Roman" w:eastAsia="宋体" w:cs="Times New Roman"/>
                <w:color w:val="auto"/>
                <w:kern w:val="2"/>
                <w:sz w:val="21"/>
                <w:szCs w:val="21"/>
                <w:lang w:val="en-US" w:eastAsia="zh-CN" w:bidi="ar-SA"/>
              </w:rPr>
              <w:t>为前提</w:t>
            </w:r>
          </w:p>
          <w:p w14:paraId="7EE97997">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4、大竹县柏林工业园区：在场镇未搬迁前，园区西侧落地项目应充分论证大气、噪声环境影响，优化项目选址布局</w:t>
            </w:r>
          </w:p>
          <w:p w14:paraId="3FD5C7CB">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其它同达州市工业重点管控单元总体要求</w:t>
            </w:r>
          </w:p>
          <w:p w14:paraId="66518277">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允许开发建设活动的要求</w:t>
            </w:r>
          </w:p>
          <w:p w14:paraId="088F33AC">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w:t>
            </w:r>
          </w:p>
          <w:p w14:paraId="321D487A">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不符合空间布局要求活动的退出要求</w:t>
            </w:r>
          </w:p>
          <w:p w14:paraId="1AB15621">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执行达州市工业重点管控单元总体要求</w:t>
            </w:r>
          </w:p>
          <w:p w14:paraId="5A169B21">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其他空间布局约束要求</w:t>
            </w:r>
          </w:p>
          <w:p w14:paraId="2E559A51">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w:t>
            </w:r>
          </w:p>
        </w:tc>
        <w:tc>
          <w:tcPr>
            <w:tcW w:w="2006" w:type="dxa"/>
            <w:noWrap w:val="0"/>
            <w:vAlign w:val="center"/>
          </w:tcPr>
          <w:p w14:paraId="521B1DEE">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both"/>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highlight w:val="none"/>
                <w:lang w:val="en-US" w:eastAsia="zh-CN" w:bidi="ar-SA"/>
              </w:rPr>
              <w:t>本项目位于南区，属于C2319包装装潢及其他印刷和C2929塑料零件及其他塑料制品制造。本项目不属于金属冶炼、用水量大、天然气开发、石化、化工、电镀、酿造、印染、化学制浆造纸等项目。本项目采取有效措施，确保废水、废气排放和固体废物处理、处置符合国家有关规定要求。</w:t>
            </w:r>
          </w:p>
        </w:tc>
        <w:tc>
          <w:tcPr>
            <w:tcW w:w="479" w:type="dxa"/>
            <w:noWrap w:val="0"/>
            <w:vAlign w:val="center"/>
          </w:tcPr>
          <w:p w14:paraId="41F2538C">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eastAsia" w:eastAsia="宋体" w:cs="Times New Roman"/>
                <w:color w:val="auto"/>
                <w:kern w:val="2"/>
                <w:sz w:val="21"/>
                <w:szCs w:val="21"/>
                <w:lang w:val="en-US" w:eastAsia="zh-CN" w:bidi="ar-SA"/>
              </w:rPr>
              <w:t>符合</w:t>
            </w:r>
          </w:p>
        </w:tc>
      </w:tr>
      <w:tr w14:paraId="6E95E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noWrap w:val="0"/>
            <w:vAlign w:val="center"/>
          </w:tcPr>
          <w:p w14:paraId="0E5428CD">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ZH51172420002</w:t>
            </w:r>
          </w:p>
        </w:tc>
        <w:tc>
          <w:tcPr>
            <w:tcW w:w="793" w:type="dxa"/>
            <w:vMerge w:val="continue"/>
            <w:noWrap w:val="0"/>
            <w:vAlign w:val="center"/>
          </w:tcPr>
          <w:p w14:paraId="0E08DE4B">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四川大竹经济开发区</w:t>
            </w:r>
          </w:p>
        </w:tc>
        <w:tc>
          <w:tcPr>
            <w:tcW w:w="4612" w:type="dxa"/>
            <w:vMerge w:val="continue"/>
            <w:noWrap w:val="0"/>
            <w:vAlign w:val="top"/>
          </w:tcPr>
          <w:p w14:paraId="21AC95F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空间布局约束：</w:t>
            </w:r>
          </w:p>
          <w:p w14:paraId="6CA525C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禁止开发建设活动的要求</w:t>
            </w:r>
          </w:p>
          <w:p w14:paraId="4C45C48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-禁止在长江干支流、重要湖泊岸线一公里范围内新建、扩建化工园区和化工项目，严控新建石油化工、煤化工、涉磷、造纸、印染、制革等项目。</w:t>
            </w:r>
          </w:p>
          <w:p w14:paraId="7626808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-禁止从事《长江经济带发展负面清单指南（试行）》禁止准入类事项。</w:t>
            </w:r>
          </w:p>
          <w:p w14:paraId="704D1F8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-引进项目应符合园区规划环评和区域产业准入及负面清单要求。</w:t>
            </w:r>
          </w:p>
          <w:p w14:paraId="28B34F8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-禁止新建不符合国家产业政策和行业准入条件的高污染项目。</w:t>
            </w:r>
          </w:p>
          <w:p w14:paraId="00D90C7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-工业园区禁止新建高污染燃料锅炉。</w:t>
            </w:r>
          </w:p>
          <w:p w14:paraId="7716C61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-禁止在长江流域河湖管理范围内倾倒、填埋、堆放、弃置、处理固体废物。</w:t>
            </w:r>
          </w:p>
          <w:p w14:paraId="0630E2F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-未通过认定的化工园区，不得新建、改扩建化工项目（安全、环保、节能和智能化改造项目除外），按属地原则依法依规妥善做好未通过认定化工园区及园内企业的转型、关闭、处置及监管工作。</w:t>
            </w:r>
          </w:p>
          <w:p w14:paraId="49B7675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p>
          <w:p w14:paraId="3398359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限制开发建设活动的要求</w:t>
            </w:r>
          </w:p>
          <w:p w14:paraId="5AA297D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-严格控制污染物新增排放量，对新建排放二氧化硫、氮氧化物、工业烟粉尘和 VOCS 的项目实施现役源 2 倍削减量替代。</w:t>
            </w:r>
          </w:p>
          <w:p w14:paraId="24156D7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-严格实施环评制度，将细颗粒物达标情况纳入规划环评和相关项目环评内容，加快制定颗粒物、VOCS排放总量管理配套政策。</w:t>
            </w:r>
          </w:p>
          <w:p w14:paraId="23C927B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-严格控制新建、扩建燃煤发电项目。</w:t>
            </w:r>
          </w:p>
          <w:p w14:paraId="1B9376C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-严控达州市主城区上游沿岸地区新建石油化工、煤化工、涉磷、造纸、印染、制革等项目。</w:t>
            </w:r>
          </w:p>
          <w:p w14:paraId="40C1DFD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p>
          <w:p w14:paraId="19C670A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不符合空间布局要求活动的退出要求</w:t>
            </w:r>
          </w:p>
          <w:p w14:paraId="60E3D0E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-现有属于禁止引入产业门类的企业，应按相关规定限期整治或退出。</w:t>
            </w:r>
          </w:p>
          <w:p w14:paraId="4BB4496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重点区域城市钢铁企业要切实采取彻底关停、转型发展、就地改造、域外搬迁等方式。四川省达州钢铁集团有限责任公司处于四川省大气污染防治重点区域，属于“彻底关停、转型发展、就地改造、域外搬迁”企业；</w:t>
            </w:r>
          </w:p>
          <w:p w14:paraId="442CD33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-引导重污染产业退出或搬迁、企业分类退城入园，逐步打破近水靠城的历史工业布局。加大城市区域现有装备水平低、环保设施差的微小企业“关、停、并、转”实施力度，清理建成区上风向重点涉气项目。</w:t>
            </w:r>
          </w:p>
          <w:p w14:paraId="730F2F4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-石化、现代煤化工项目应纳入国家产业规划。新建、扩建石化、化工、焦化、有色金属冶炼、平板玻璃项目应布设在依法合规设立并经规划环评的产业园区。</w:t>
            </w:r>
          </w:p>
          <w:p w14:paraId="7EC33FF6">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p>
          <w:p w14:paraId="3968C2F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其他空间布局约束要求</w:t>
            </w:r>
          </w:p>
          <w:p w14:paraId="57E3CF3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w:t>
            </w:r>
          </w:p>
          <w:p w14:paraId="2EC0211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污染物排放管控：</w:t>
            </w:r>
          </w:p>
          <w:p w14:paraId="33BDD99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允许排放量要求</w:t>
            </w:r>
          </w:p>
          <w:p w14:paraId="7765EBA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达州市2025年水污染物允许排放量COD4396.41t，氨氮418.7t，TP45.36t；达州市2025年大气污染物一次PM2.5 5805t、SO2 12773t、NOx11892t、VOCs 13969t</w:t>
            </w:r>
          </w:p>
          <w:p w14:paraId="064F27B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现有源提标升级改造</w:t>
            </w:r>
          </w:p>
          <w:p w14:paraId="5B54469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-污水收集处理率达100%；</w:t>
            </w:r>
          </w:p>
          <w:p w14:paraId="1DDA858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w:t>
            </w:r>
          </w:p>
          <w:p w14:paraId="72739E6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30、200、300毫克/立方米实施改造，其中，日用玻璃、玻璃棉氮氧化物排放限值不高于400毫克/立方米。</w:t>
            </w:r>
          </w:p>
          <w:p w14:paraId="65A208C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14:paraId="1C354AE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其他污染物排放管控要求</w:t>
            </w:r>
          </w:p>
          <w:p w14:paraId="0B8CDC2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新增源等量或倍量替代:上一年度水环境质量未完成目标的，新建排放水污染的建设项目按照总量管控要求进行倍量削减替代。</w:t>
            </w:r>
          </w:p>
          <w:p w14:paraId="6758968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上一年度空气质量年平均浓度不达标的城市，建设项目新增相关污染物按照总量管控要求进行倍量削减替代。</w:t>
            </w:r>
          </w:p>
          <w:p w14:paraId="17B09AA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对新建排放二氧化硫、氮氧化物、工业烟粉尘和VOCs的项目实施现役源倍量削减量替代。严禁钢铁、水泥、电解铝、平板玻璃等行业新增产能，对确有必要新建的必须实施等量或减量置换，防范过剩和落后产能跨地区转移.</w:t>
            </w:r>
          </w:p>
          <w:p w14:paraId="4C07177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污染物排放绩效水平准入要求:新、改扩建项目污染排放指标满足《四川省省级生态工业园区指标》综合类生态工业园区要求。工业固体废弃物利用处置率达100%，危险废物处置率达100%。</w:t>
            </w:r>
          </w:p>
          <w:p w14:paraId="6E47397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国家大气污染防治重点区域(以下称重点区域)内新建耗煤项目还应严格按规定采取煤炭消费减量替代措施，不得使用高污染燃料作为煤炭减量替代措施;重点区域执行大气污染物特别排放限值，严禁新增钢铁、电力、水泥、玻璃、砖瓦、陶瓷、焦化、电解铝、有色等重点行业大气污染物排放。</w:t>
            </w:r>
          </w:p>
          <w:p w14:paraId="7DBA220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钢铁行业新建应参考达州市“三线一单”生态环境分区管控中钢铁行业资源环境绩效准入门槛。</w:t>
            </w:r>
          </w:p>
          <w:p w14:paraId="3097B22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2030年，渠江流域用水总量控制在31.61亿立方米以内，渠江干流COD排放总量限制在4.89万t/a内、氨氮排放总量限制在0.54万t/a内。全面推进节水型社会建设，加强河湖（库）水域岸线保护及管理，加强入河排污口规范化建设，加强工业污染、农业农村污染、船舶港口污染防治。对流域内饮用水源地进行有效保护及规范化建设。</w:t>
            </w:r>
          </w:p>
          <w:p w14:paraId="50D2B516">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化工园区应按照分类收集，分质处理的要求，配备专业化工生产废水集中处理设施（独立建设或依托骨干企业）及专管或明管输送的配套管网，化工生产废水纳管率达到100%。入河排污口设置应符合相关规定。</w:t>
            </w:r>
          </w:p>
          <w:p w14:paraId="18DA847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14:paraId="26F46DD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p w14:paraId="7ED1F59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环境风险防控：</w:t>
            </w:r>
          </w:p>
          <w:p w14:paraId="02F83B9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联防联控要求</w:t>
            </w:r>
          </w:p>
          <w:p w14:paraId="74109C9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14:paraId="6BCCCBA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其他环境风险防控要求</w:t>
            </w:r>
          </w:p>
          <w:p w14:paraId="7167A7A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企业环境风险防控要求:涉及有毒有害、易燃易爆物质新建、改扩建项目，严控准入要求。（根据《GB 8978-2002》中第一类污染物以及《优先控制化学品名录</w:t>
            </w:r>
            <w:r>
              <w:rPr>
                <w:rStyle w:val="37"/>
                <w:rFonts w:hint="eastAsia" w:eastAsia="宋体" w:cs="Times New Roman"/>
                <w:color w:val="auto"/>
                <w:kern w:val="0"/>
                <w:sz w:val="21"/>
                <w:szCs w:val="21"/>
                <w:lang w:val="en-US" w:eastAsia="zh-CN" w:bidi="ar-SA"/>
              </w:rPr>
              <w:t>》《</w:t>
            </w:r>
            <w:r>
              <w:rPr>
                <w:rStyle w:val="37"/>
                <w:rFonts w:hint="default" w:ascii="Times New Roman" w:hAnsi="Times New Roman" w:eastAsia="宋体" w:cs="Times New Roman"/>
                <w:color w:val="auto"/>
                <w:kern w:val="0"/>
                <w:sz w:val="21"/>
                <w:szCs w:val="21"/>
                <w:lang w:val="en-US" w:eastAsia="zh-CN" w:bidi="ar-SA"/>
              </w:rPr>
              <w:t>有毒有害大气污染物名录</w:t>
            </w:r>
            <w:r>
              <w:rPr>
                <w:rStyle w:val="37"/>
                <w:rFonts w:hint="eastAsia" w:eastAsia="宋体" w:cs="Times New Roman"/>
                <w:color w:val="auto"/>
                <w:kern w:val="0"/>
                <w:sz w:val="21"/>
                <w:szCs w:val="21"/>
                <w:lang w:val="en-US" w:eastAsia="zh-CN" w:bidi="ar-SA"/>
              </w:rPr>
              <w:t>》《</w:t>
            </w:r>
            <w:r>
              <w:rPr>
                <w:rStyle w:val="37"/>
                <w:rFonts w:hint="default" w:ascii="Times New Roman" w:hAnsi="Times New Roman" w:eastAsia="宋体" w:cs="Times New Roman"/>
                <w:color w:val="auto"/>
                <w:kern w:val="0"/>
                <w:sz w:val="21"/>
                <w:szCs w:val="21"/>
                <w:lang w:val="en-US" w:eastAsia="zh-CN" w:bidi="ar-SA"/>
              </w:rPr>
              <w:t>有毒有害水污染物名录》确定）。对钢铁、焦化平板玻璃、铜铅锌硅冶炼等环境影响大或环境风险高的项目类别，不得以改革试点名义随意下放环评审批权限或降低审批要求。</w:t>
            </w:r>
          </w:p>
          <w:p w14:paraId="09629FF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园区环境风险防控要求:园区风险防控体系要求：构建三级环境风险防控体系，强化危化品泄漏应急处置措施，确保风险可控。针对化工园区进一步强化风险防控。化工园区应具有安全风险监控体系、建立生态环境监测监控体系、建立必要的突发环境事件应急体系。杜绝危化品泄漏、事故排放等，确保环境安全。</w:t>
            </w:r>
          </w:p>
          <w:p w14:paraId="5E7065B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用地环境风险防控要求: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p w14:paraId="494EAD3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资源开发利用效率要求：</w:t>
            </w:r>
          </w:p>
          <w:p w14:paraId="6FBDF44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水资源利用总量要求</w:t>
            </w:r>
          </w:p>
          <w:p w14:paraId="3CD5DBA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新、改扩建项目污染水耗指标满足《四川省省级生态工业园区指标》综合类生态工业园区要求；到2022年，万元国内生产总值用水量、万元工业增加值用水量较2015年分别下降30%和28%。</w:t>
            </w:r>
          </w:p>
          <w:p w14:paraId="708B315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地下水开采要求</w:t>
            </w:r>
          </w:p>
          <w:p w14:paraId="2FD970E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以省市下发指标为准</w:t>
            </w:r>
          </w:p>
          <w:p w14:paraId="63F37686">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能源利用总量及效率要求</w:t>
            </w:r>
          </w:p>
          <w:p w14:paraId="0D36E2C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川东北区域实施新建项目与煤炭消费总量控制挂钩机制，耗煤建设项目实行煤炭消耗等量减量替代。提高煤炭利用效率和天然气利用占比，工业领域有序推进“煤改电”和有序推进“煤改气”。</w:t>
            </w:r>
          </w:p>
          <w:p w14:paraId="59F5B30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-大力实施和推广以电代煤、以电代油工程，重点在城市交通、工商业等领域实施以电代油、以电代煤。</w:t>
            </w:r>
          </w:p>
          <w:p w14:paraId="233D399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-增加天然气对煤炭和石油的替代，提高天然气民用、交通、发电、工业领域天然气消费比重。</w:t>
            </w:r>
          </w:p>
          <w:p w14:paraId="5791CFB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-实施煤炭消费总量控制：严格控制煤炭消费总量；严格控制新建、改建、扩建耗煤项目，新增耗煤项目实行煤炭消耗减量倍量替代。</w:t>
            </w:r>
          </w:p>
          <w:p w14:paraId="77F9E6C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鼓励使用清洁燃料，重点区域建设项目原则上不新建燃煤自备锅炉。鼓励重点区域高炉-转炉长流程钢铁企业转型为电炉短流程企业。大宗物料优先采用铁路、管道或水路运输，短途接驳优先使用新能源车辆运输。</w:t>
            </w:r>
          </w:p>
          <w:p w14:paraId="6585D90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-推进清洁能源的推广使用，全面推进散煤清洁化整治；</w:t>
            </w:r>
          </w:p>
          <w:p w14:paraId="4938F64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全面淘汰10蒸吨/小时及以下燃煤锅炉，原则上不再新建35蒸吨/小时及以下的燃煤锅炉，推进县级及以上城市建成区淘汰35蒸吨/小时及以下燃煤锅炉，以工业余热、电厂热力、清洁能源等替代煤炭。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14:paraId="272E55F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-对20蒸吨及以上燃煤锅炉实施脱硫改造，建设高效脱硫设施；对循环流化床锅炉以外的燃煤发电机组一律安装脱硫设施，对燃煤锅炉和工业锅炉现有除尘设施实施升级改造，确保达到新的排放标准和特别排放限值</w:t>
            </w:r>
          </w:p>
          <w:p w14:paraId="569A5CA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w:t>
            </w:r>
          </w:p>
          <w:p w14:paraId="18A75EB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禁燃区要求</w:t>
            </w:r>
          </w:p>
          <w:p w14:paraId="320DB63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-高污染燃料禁燃区内禁止燃用的燃料为《高污染燃料目录》（2017）中</w:t>
            </w:r>
            <w:r>
              <w:rPr>
                <w:rStyle w:val="37"/>
                <w:rFonts w:hint="eastAsia" w:eastAsia="宋体" w:cs="Times New Roman"/>
                <w:color w:val="auto"/>
                <w:kern w:val="0"/>
                <w:sz w:val="21"/>
                <w:szCs w:val="21"/>
                <w:lang w:val="en-US" w:eastAsia="zh-CN" w:bidi="ar-SA"/>
              </w:rPr>
              <w:t>Ⅲ类</w:t>
            </w:r>
            <w:r>
              <w:rPr>
                <w:rStyle w:val="37"/>
                <w:rFonts w:hint="default" w:ascii="Times New Roman" w:hAnsi="Times New Roman" w:eastAsia="宋体" w:cs="Times New Roman"/>
                <w:color w:val="auto"/>
                <w:kern w:val="0"/>
                <w:sz w:val="21"/>
                <w:szCs w:val="21"/>
                <w:lang w:val="en-US" w:eastAsia="zh-CN" w:bidi="ar-SA"/>
              </w:rPr>
              <w:t>（严格）燃料组合，包括：（一）煤炭及其制品；（二）石油焦、油页岩、原油、重油、渣油、煤焦油；（三）非专用锅炉或未配置高效除尘设施的专用锅炉燃用的生物质成型燃料。</w:t>
            </w:r>
          </w:p>
          <w:p w14:paraId="0413ECC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-禁燃区内禁止销售、燃用高污染燃料；禁止新建、改建、扩建燃用高污染燃料的设施和设备。</w:t>
            </w:r>
          </w:p>
          <w:p w14:paraId="2E32BCC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-禁燃区内已建成的高污染燃料燃用设施由辖区人民政府制定限期改造计划，改用天然气、页岩气、液化石油气、电或其他清洁能源。</w:t>
            </w:r>
          </w:p>
          <w:p w14:paraId="61A9F4E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p>
          <w:p w14:paraId="55D6C7C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其他资源利用效率要求</w:t>
            </w:r>
          </w:p>
          <w:p w14:paraId="68B1B37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w:t>
            </w:r>
          </w:p>
        </w:tc>
        <w:tc>
          <w:tcPr>
            <w:tcW w:w="1556" w:type="dxa"/>
            <w:noWrap w:val="0"/>
            <w:vAlign w:val="center"/>
          </w:tcPr>
          <w:p w14:paraId="4A9E6A96">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污染物排放管控</w:t>
            </w:r>
          </w:p>
        </w:tc>
        <w:tc>
          <w:tcPr>
            <w:tcW w:w="3938" w:type="dxa"/>
            <w:noWrap w:val="0"/>
            <w:vAlign w:val="center"/>
          </w:tcPr>
          <w:p w14:paraId="3C39E655">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现有源提标升级改造</w:t>
            </w:r>
          </w:p>
          <w:p w14:paraId="6F486FAA">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项目产生的生产废水由企业自行处理达到《污水排放综合标准》三级或相应的行业排放标准（麻纺企业须</w:t>
            </w:r>
            <w:r>
              <w:rPr>
                <w:rStyle w:val="37"/>
                <w:rFonts w:hint="eastAsia" w:eastAsia="宋体" w:cs="Times New Roman"/>
                <w:color w:val="auto"/>
                <w:kern w:val="2"/>
                <w:sz w:val="21"/>
                <w:szCs w:val="21"/>
                <w:lang w:val="en-US" w:eastAsia="zh-CN" w:bidi="ar-SA"/>
              </w:rPr>
              <w:t>达到</w:t>
            </w:r>
            <w:r>
              <w:rPr>
                <w:rStyle w:val="37"/>
                <w:rFonts w:hint="default" w:ascii="Times New Roman" w:hAnsi="Times New Roman" w:eastAsia="宋体" w:cs="Times New Roman"/>
                <w:color w:val="auto"/>
                <w:kern w:val="2"/>
                <w:sz w:val="21"/>
                <w:szCs w:val="21"/>
                <w:lang w:val="en-US" w:eastAsia="zh-CN" w:bidi="ar-SA"/>
              </w:rPr>
              <w:t>《麻纺工业水污染物排放标准》（GB 28938-2012）间接排放标准）后排入园区污水处理厂处理达《城镇污水处理厂污染物排放标准》一级A标或更严格标准后排放。</w:t>
            </w:r>
          </w:p>
          <w:p w14:paraId="28DF9C6C">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-含五类重点控制的重金属（汞、镉、铅、砷、铬）废水实现零排放。其他同达州市工业重点总体准入要求</w:t>
            </w:r>
          </w:p>
          <w:p w14:paraId="7534A5CE">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p>
          <w:p w14:paraId="0FE7F611">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新增源等量或倍量替代</w:t>
            </w:r>
          </w:p>
          <w:p w14:paraId="18E46224">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大竹县柏林工业园区：东柳河执行水环境污染物允许排放量硬约束。</w:t>
            </w:r>
          </w:p>
          <w:p w14:paraId="0642313F">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其他同达州市工业重点总体准入要求</w:t>
            </w:r>
          </w:p>
          <w:p w14:paraId="2E76C440">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新增源排放标准限值</w:t>
            </w:r>
          </w:p>
          <w:p w14:paraId="1F12816C">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p>
          <w:p w14:paraId="61CE344B">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大竹县柏林工业园区：1、造纸需满足《四川省造纸产业差别化环境准入指标体系》中提出的污染物排放约束性和建议性环境管控指标。</w:t>
            </w:r>
          </w:p>
          <w:p w14:paraId="2B490425">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2、制浆锅炉执行超低排放限值，碱炉执行大气特别排放限值。</w:t>
            </w:r>
          </w:p>
          <w:p w14:paraId="03180BE6">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3、制浆造纸企业执行《制浆造纸工业水污染物排放标准》表3水污染物特别排放限值要求</w:t>
            </w:r>
          </w:p>
          <w:p w14:paraId="04AD9921">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污染物排放绩效水平准入要求</w:t>
            </w:r>
          </w:p>
          <w:p w14:paraId="1E62AF62">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同达州市工业重点总体准入要求</w:t>
            </w:r>
          </w:p>
          <w:p w14:paraId="4D075E97">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其他污染物排放管控要求</w:t>
            </w:r>
          </w:p>
          <w:p w14:paraId="573A066C">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w:t>
            </w:r>
          </w:p>
        </w:tc>
        <w:tc>
          <w:tcPr>
            <w:tcW w:w="2006" w:type="dxa"/>
            <w:noWrap w:val="0"/>
            <w:vAlign w:val="center"/>
          </w:tcPr>
          <w:p w14:paraId="3FDA7210">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highlight w:val="none"/>
                <w:lang w:val="en-US" w:eastAsia="zh-CN" w:bidi="ar-SA"/>
              </w:rPr>
              <w:t>本项目废水经生化池处理达标后排入市政污水管网。</w:t>
            </w:r>
          </w:p>
        </w:tc>
        <w:tc>
          <w:tcPr>
            <w:tcW w:w="479" w:type="dxa"/>
            <w:noWrap w:val="0"/>
            <w:vAlign w:val="center"/>
          </w:tcPr>
          <w:p w14:paraId="185AAD50">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eastAsia" w:eastAsia="宋体" w:cs="Times New Roman"/>
                <w:color w:val="auto"/>
                <w:kern w:val="2"/>
                <w:sz w:val="21"/>
                <w:szCs w:val="21"/>
                <w:lang w:val="en-US" w:eastAsia="zh-CN" w:bidi="ar-SA"/>
              </w:rPr>
              <w:t>符合</w:t>
            </w:r>
          </w:p>
        </w:tc>
      </w:tr>
      <w:tr w14:paraId="71467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0" w:type="dxa"/>
            <w:vMerge w:val="continue"/>
            <w:noWrap w:val="0"/>
            <w:vAlign w:val="center"/>
          </w:tcPr>
          <w:p w14:paraId="039F93E8">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ZH51172420002</w:t>
            </w:r>
          </w:p>
        </w:tc>
        <w:tc>
          <w:tcPr>
            <w:tcW w:w="793" w:type="dxa"/>
            <w:vMerge w:val="continue"/>
            <w:noWrap w:val="0"/>
            <w:vAlign w:val="center"/>
          </w:tcPr>
          <w:p w14:paraId="790B2A58">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四川大竹经济开发区</w:t>
            </w:r>
          </w:p>
        </w:tc>
        <w:tc>
          <w:tcPr>
            <w:tcW w:w="4612" w:type="dxa"/>
            <w:vMerge w:val="continue"/>
            <w:noWrap w:val="0"/>
            <w:vAlign w:val="top"/>
          </w:tcPr>
          <w:p w14:paraId="6865731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空间布局约束：</w:t>
            </w:r>
          </w:p>
          <w:p w14:paraId="1B6A28B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禁止开发建设活动的要求</w:t>
            </w:r>
          </w:p>
          <w:p w14:paraId="61CD2DD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-禁止在长江干支流、重要湖泊岸线一公里范围内新建、扩建化工园区和化工项目，严控新建石油化工、煤化工、涉磷、造纸、印染、制革等项目。</w:t>
            </w:r>
          </w:p>
          <w:p w14:paraId="4A0801B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-禁止从事《长江经济带发展负面清单指南（试行）》禁止准入类事项。</w:t>
            </w:r>
          </w:p>
          <w:p w14:paraId="40E905C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-引进项目应符合园区规划环评和区域产业准入及负面清单要求。</w:t>
            </w:r>
          </w:p>
          <w:p w14:paraId="59E051F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-禁止新建不符合国家产业政策和行业准入条件的高污染项目。</w:t>
            </w:r>
          </w:p>
          <w:p w14:paraId="6AF7539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-工业园区禁止新建高污染燃料锅炉。</w:t>
            </w:r>
          </w:p>
          <w:p w14:paraId="7C9DDA4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-禁止在长江流域河湖管理范围内倾倒、填埋、堆放、弃置、处理固体废物。</w:t>
            </w:r>
          </w:p>
          <w:p w14:paraId="56129F0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-未通过认定的化工园区，不得新建、改扩建化工项目（安全、环保、节能和智能化改造项目除外），按属地原则依法依规妥善做好未通过认定化工园区及园内企业的转型、关闭、处置及监管工作。</w:t>
            </w:r>
          </w:p>
          <w:p w14:paraId="75096C9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p>
          <w:p w14:paraId="0B1704D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限制开发建设活动的要求</w:t>
            </w:r>
          </w:p>
          <w:p w14:paraId="2C3FED0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-严格控制污染物新增排放量，对新建排放二氧化硫、氮氧化物、工业烟粉尘和 VOCS 的项目实施现役源 2 倍削减量替代。</w:t>
            </w:r>
          </w:p>
          <w:p w14:paraId="5CB0CBA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-严格实施环评制度，将细颗粒物达标情况纳入规划环评和相关项目环评内容，加快制定颗粒物、VOCS排放总量管理配套政策。</w:t>
            </w:r>
          </w:p>
          <w:p w14:paraId="75AB421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-严格控制新建、扩建燃煤发电项目。</w:t>
            </w:r>
          </w:p>
          <w:p w14:paraId="3EE1AB9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-严控达州市主城区上游沿岸地区新建石油化工、煤化工、涉磷、造纸、印染、制革等项目。</w:t>
            </w:r>
          </w:p>
          <w:p w14:paraId="6F505EA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p>
          <w:p w14:paraId="17A1391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不符合空间布局要求活动的退出要求</w:t>
            </w:r>
          </w:p>
          <w:p w14:paraId="4F0544A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-现有属于禁止引入产业门类的企业，应按相关规定限期整治或退出。</w:t>
            </w:r>
          </w:p>
          <w:p w14:paraId="3D6171F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重点区域城市钢铁企业要切实采取彻底关停、转型发展、就地改造、域外搬迁等方式。四川省达州钢铁集团有限责任公司处于四川省大气污染防治重点区域，属于“彻底关停、转型发展、就地改造、域外搬迁”企业；</w:t>
            </w:r>
          </w:p>
          <w:p w14:paraId="2A25B46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-引导重污染产业退出或搬迁、企业分类退城入园，逐步打破近水靠城的历史工业布局。加大城市区域现有装备水平低、环保设施差的微小企业“关、停、并、转”实施力度，清理建成区上风向重点涉气项目。</w:t>
            </w:r>
          </w:p>
          <w:p w14:paraId="7FB3CF2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-石化、现代煤化工项目应纳入国家产业规划。新建、扩建石化、化工、焦化、有色金属冶炼、平板玻璃项目应布设在依法合规设立并经规划环评的产业园区。</w:t>
            </w:r>
          </w:p>
          <w:p w14:paraId="32E1E2F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p>
          <w:p w14:paraId="138731B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其他空间布局约束要求</w:t>
            </w:r>
          </w:p>
          <w:p w14:paraId="3FA68F6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w:t>
            </w:r>
          </w:p>
          <w:p w14:paraId="7BBEE12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污染物排放管控：</w:t>
            </w:r>
          </w:p>
          <w:p w14:paraId="6023AC1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允许排放量要求</w:t>
            </w:r>
          </w:p>
          <w:p w14:paraId="0724F15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达州市2025年水污染物允许排放量COD4396.41t，氨氮418.7t，TP45.36t；达州市2025年大气污染物一次PM2.5 5805t、SO2 12773t、NOx11892t、VOCs 13969t</w:t>
            </w:r>
          </w:p>
          <w:p w14:paraId="1DA027E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现有源提标升级改造</w:t>
            </w:r>
          </w:p>
          <w:p w14:paraId="091FB1A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-污水收集处理率达100%；</w:t>
            </w:r>
          </w:p>
          <w:p w14:paraId="6C402ED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w:t>
            </w:r>
          </w:p>
          <w:p w14:paraId="4491ECE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30、200、300毫克/立方米实施改造，其中，日用玻璃、玻璃棉氮氧化物排放限值不高于400毫克/立方米。</w:t>
            </w:r>
          </w:p>
          <w:p w14:paraId="2B71605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14:paraId="332803E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其他污染物排放管控要求</w:t>
            </w:r>
          </w:p>
          <w:p w14:paraId="54FD33B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新增源等量或倍量替代:上一年度水环境质量未完成目标的，新建排放水污染的建设项目按照总量管控要求进行倍量削减替代。</w:t>
            </w:r>
          </w:p>
          <w:p w14:paraId="155A4C6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上一年度空气质量年平均浓度不达标的城市，建设项目新增相关污染物按照总量管控要求进行倍量削减替代。</w:t>
            </w:r>
          </w:p>
          <w:p w14:paraId="5951F69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对新建排放二氧化硫、氮氧化物、工业烟粉尘和VOCs的项目实施现役源倍量削减量替代。严禁钢铁、水泥、电解铝、平板玻璃等行业新增产能，对确有必要新建的必须实施等量或减量置换，防范过剩和落后产能跨地区转移.</w:t>
            </w:r>
          </w:p>
          <w:p w14:paraId="7E63478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污染物排放绩效水平准入要求:新、改扩建项目污染排放指标满足《四川省省级生态工业园区指标》综合类生态工业园区要求。工业固体废弃物利用处置率达100%，危险废物处置率达100%。</w:t>
            </w:r>
          </w:p>
          <w:p w14:paraId="2F203AA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国家大气污染防治重点区域(以下称重点区域)内新建耗煤项目还应严格按规定采取煤炭消费减量替代措施，不得使用高污染燃料作为煤炭减量替代措施;重点区域执行大气污染物特别排放限值，严禁新增钢铁、电力、水泥、玻璃、砖瓦、陶瓷、焦化、电解铝、有色等重点行业大气污染物排放。</w:t>
            </w:r>
          </w:p>
          <w:p w14:paraId="2A15689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钢铁行业新建应参考达州市“三线一单”生态环境分区管控中钢铁行业资源环境绩效准入门槛。</w:t>
            </w:r>
          </w:p>
          <w:p w14:paraId="442D961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2030年，渠江流域用水总量控制在31.61亿立方米以内，渠江干流COD排放总量限制在4.89万t/a内、氨氮排放总量限制在0.54万t/a内。全面推进节水型社会建设，加强河湖（库）水域岸线保护及管理，加强入河排污口规范化建设，加强工业污染、农业农村污染、船舶港口污染防治。对流域内饮用水源地进行有效保护及规范化建设。</w:t>
            </w:r>
          </w:p>
          <w:p w14:paraId="1738FC1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化工园区应按照分类收集，分质处理的要求，配备专业化工生产废水集中处理设施（独立建设或依托骨干企业）及专管或明管输送的配套管网，化工生产废水纳管率达到100%。入河排污口设置应符合相关规定。</w:t>
            </w:r>
          </w:p>
          <w:p w14:paraId="7DEE3C1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14:paraId="23D7FFD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p w14:paraId="3098ED1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环境风险防控：</w:t>
            </w:r>
          </w:p>
          <w:p w14:paraId="7303A13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联防联控要求</w:t>
            </w:r>
          </w:p>
          <w:p w14:paraId="7D15462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14:paraId="247AFA9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其他环境风险防控要求</w:t>
            </w:r>
          </w:p>
          <w:p w14:paraId="3B46FF7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企业环境风险防控要求:涉及有毒有害、易燃易爆物质新建、改扩建项目，严控准入要求。（根据《GB 8978-2002》中第一类污染物以及《优先控制化学品名录</w:t>
            </w:r>
            <w:r>
              <w:rPr>
                <w:rStyle w:val="37"/>
                <w:rFonts w:hint="eastAsia" w:eastAsia="宋体" w:cs="Times New Roman"/>
                <w:color w:val="auto"/>
                <w:kern w:val="0"/>
                <w:sz w:val="21"/>
                <w:szCs w:val="21"/>
                <w:lang w:val="en-US" w:eastAsia="zh-CN" w:bidi="ar-SA"/>
              </w:rPr>
              <w:t>》《</w:t>
            </w:r>
            <w:r>
              <w:rPr>
                <w:rStyle w:val="37"/>
                <w:rFonts w:hint="default" w:ascii="Times New Roman" w:hAnsi="Times New Roman" w:eastAsia="宋体" w:cs="Times New Roman"/>
                <w:color w:val="auto"/>
                <w:kern w:val="0"/>
                <w:sz w:val="21"/>
                <w:szCs w:val="21"/>
                <w:lang w:val="en-US" w:eastAsia="zh-CN" w:bidi="ar-SA"/>
              </w:rPr>
              <w:t>有毒有害大气污染物名录</w:t>
            </w:r>
            <w:r>
              <w:rPr>
                <w:rStyle w:val="37"/>
                <w:rFonts w:hint="eastAsia" w:eastAsia="宋体" w:cs="Times New Roman"/>
                <w:color w:val="auto"/>
                <w:kern w:val="0"/>
                <w:sz w:val="21"/>
                <w:szCs w:val="21"/>
                <w:lang w:val="en-US" w:eastAsia="zh-CN" w:bidi="ar-SA"/>
              </w:rPr>
              <w:t>》《</w:t>
            </w:r>
            <w:r>
              <w:rPr>
                <w:rStyle w:val="37"/>
                <w:rFonts w:hint="default" w:ascii="Times New Roman" w:hAnsi="Times New Roman" w:eastAsia="宋体" w:cs="Times New Roman"/>
                <w:color w:val="auto"/>
                <w:kern w:val="0"/>
                <w:sz w:val="21"/>
                <w:szCs w:val="21"/>
                <w:lang w:val="en-US" w:eastAsia="zh-CN" w:bidi="ar-SA"/>
              </w:rPr>
              <w:t>有毒有害水污染物名录》确定）。对钢铁、焦化平板玻璃、铜铅锌硅冶炼等环境影响大或环境风险高的项目类别，不得以改革试点名义随意下放环评审批权限或降低审批要求。</w:t>
            </w:r>
          </w:p>
          <w:p w14:paraId="340565C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园区环境风险防控要求:园区风险防控体系要求：构建三级环境风险防控体系，强化危化品泄漏应急处置措施，确保风险可控。针对化工园区进一步强化风险防控。化工园区应具有安全风险监控体系、建立生态环境监测监控体系、建立必要的突发环境事件应急体系。杜绝危化品泄漏、事故排放等，确保环境安全。</w:t>
            </w:r>
          </w:p>
          <w:p w14:paraId="10160E5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用地环境风险防控要求: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p w14:paraId="2F4E724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资源开发利用效率要求：</w:t>
            </w:r>
          </w:p>
          <w:p w14:paraId="0B1C54C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水资源利用总量要求</w:t>
            </w:r>
          </w:p>
          <w:p w14:paraId="3F5600E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新、改扩建项目污染水耗指标满足《四川省省级生态工业园区指标》综合类生态工业园区要求；到2022年，万元国内生产总值用水量、万元工业增加值用水量较2015年分别下降30%和28%。</w:t>
            </w:r>
          </w:p>
          <w:p w14:paraId="0BCCA92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地下水开采要求</w:t>
            </w:r>
          </w:p>
          <w:p w14:paraId="229E364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以省市下发指标为准</w:t>
            </w:r>
          </w:p>
          <w:p w14:paraId="76CC351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能源利用总量及效率要求</w:t>
            </w:r>
          </w:p>
          <w:p w14:paraId="6017DFC6">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川东北区域实施新建项目与煤炭消费总量控制挂钩机制，耗煤建设项目实行煤炭消耗等量减量替代。提高煤炭利用效率和天然气利用占比，工业领域有序推进“煤改电”和有序推进“煤改气”。</w:t>
            </w:r>
          </w:p>
          <w:p w14:paraId="3950781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-大力实施和推广以电代煤、以电代油工程，重点在城市交通、工商业等领域实施以电代油、以电代煤。</w:t>
            </w:r>
          </w:p>
          <w:p w14:paraId="20E5A54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-增加天然气对煤炭和石油的替代，提高天然气民用、交通、发电、工业领域天然气消费比重。</w:t>
            </w:r>
          </w:p>
          <w:p w14:paraId="602ABAE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-实施煤炭消费总量控制：严格控制煤炭消费总量；严格控制新建、改建、扩建耗煤项目，新增耗煤项目实行煤炭消耗减量倍量替代。</w:t>
            </w:r>
          </w:p>
          <w:p w14:paraId="1ADFCE8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鼓励使用清洁燃料，重点区域建设项目原则上不新建燃煤自备锅炉。鼓励重点区域高炉-转炉长流程钢铁企业转型为电炉短流程企业。大宗物料优先采用铁路、管道或水路运输，短途接驳优先使用新能源车辆运输。</w:t>
            </w:r>
          </w:p>
          <w:p w14:paraId="336ED40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-推进清洁能源的推广使用，全面推进散煤清洁化整治；</w:t>
            </w:r>
          </w:p>
          <w:p w14:paraId="5BD8C35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全面淘汰10蒸吨/小时及以下燃煤锅炉，原则上不再新建35蒸吨/小时及以下的燃煤锅炉，推进县级及以上城市建成区淘汰35蒸吨/小时及以下燃煤锅炉，以工业余热、电厂热力、清洁能源等替代煤炭。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14:paraId="1F41895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-对20蒸吨及以上燃煤锅炉实施脱硫改造，建设高效脱硫设施；对循环流化床锅炉以外的燃煤发电机组一律安装脱硫设施，对燃煤锅炉和工业锅炉现有除尘设施实施升级改造，确保达到新的排放标准和特别排放限值</w:t>
            </w:r>
          </w:p>
          <w:p w14:paraId="5B5091A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w:t>
            </w:r>
          </w:p>
          <w:p w14:paraId="75CF7BE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禁燃区要求</w:t>
            </w:r>
          </w:p>
          <w:p w14:paraId="4E35E5B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-高污染燃料禁燃区内禁止燃用的燃料为《高污染燃料目录》（2017）中</w:t>
            </w:r>
            <w:r>
              <w:rPr>
                <w:rStyle w:val="37"/>
                <w:rFonts w:hint="eastAsia" w:eastAsia="宋体" w:cs="Times New Roman"/>
                <w:color w:val="auto"/>
                <w:kern w:val="0"/>
                <w:sz w:val="21"/>
                <w:szCs w:val="21"/>
                <w:lang w:val="en-US" w:eastAsia="zh-CN" w:bidi="ar-SA"/>
              </w:rPr>
              <w:t>Ⅲ类</w:t>
            </w:r>
            <w:r>
              <w:rPr>
                <w:rStyle w:val="37"/>
                <w:rFonts w:hint="default" w:ascii="Times New Roman" w:hAnsi="Times New Roman" w:eastAsia="宋体" w:cs="Times New Roman"/>
                <w:color w:val="auto"/>
                <w:kern w:val="0"/>
                <w:sz w:val="21"/>
                <w:szCs w:val="21"/>
                <w:lang w:val="en-US" w:eastAsia="zh-CN" w:bidi="ar-SA"/>
              </w:rPr>
              <w:t>（严格）燃料组合，包括：（一）煤炭及其制品；（二）石油焦、油页岩、原油、重油、渣油、煤焦油；（三）非专用锅炉或未配置高效除尘设施的专用锅炉燃用的生物质成型燃料。</w:t>
            </w:r>
          </w:p>
          <w:p w14:paraId="31C2685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-禁燃区内禁止销售、燃用高污染燃料；禁止新建、改建、扩建燃用高污染燃料的设施和设备。</w:t>
            </w:r>
          </w:p>
          <w:p w14:paraId="76F7EFF6">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-禁燃区内已建成的高污染燃料燃用设施由辖区人民政府制定限期改造计划，改用天然气、页岩气、液化石油气、电或其他清洁能源。</w:t>
            </w:r>
          </w:p>
          <w:p w14:paraId="559FCC4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p>
          <w:p w14:paraId="22C48ED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其他资源利用效率要求</w:t>
            </w:r>
          </w:p>
          <w:p w14:paraId="06F0E5A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w:t>
            </w:r>
          </w:p>
        </w:tc>
        <w:tc>
          <w:tcPr>
            <w:tcW w:w="1556" w:type="dxa"/>
            <w:noWrap w:val="0"/>
            <w:vAlign w:val="center"/>
          </w:tcPr>
          <w:p w14:paraId="46A225AF">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环境风险防控</w:t>
            </w:r>
          </w:p>
        </w:tc>
        <w:tc>
          <w:tcPr>
            <w:tcW w:w="3938" w:type="dxa"/>
            <w:noWrap w:val="0"/>
            <w:vAlign w:val="center"/>
          </w:tcPr>
          <w:p w14:paraId="064C8D81">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严格管控类农用地管控要求</w:t>
            </w:r>
          </w:p>
          <w:p w14:paraId="7930ECCB">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执行达州市工业重点管控单元总体要求</w:t>
            </w:r>
          </w:p>
          <w:p w14:paraId="4AE09E5D">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安全利用类农用地管控要求</w:t>
            </w:r>
          </w:p>
          <w:p w14:paraId="07BDB04F">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执行达州市工业重点管控单元总体要求</w:t>
            </w:r>
          </w:p>
          <w:p w14:paraId="4B2EFAF3">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污染地块管控要求</w:t>
            </w:r>
          </w:p>
          <w:p w14:paraId="67B8110F">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执行达州市工业重点管控单元总体要求</w:t>
            </w:r>
          </w:p>
          <w:p w14:paraId="338E41B8">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园区环境风险防控要求</w:t>
            </w:r>
          </w:p>
          <w:p w14:paraId="107F43B3">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执行达州市工业重点管控单元总体要求</w:t>
            </w:r>
          </w:p>
          <w:p w14:paraId="4C915AB0">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企业环境风险防控要求</w:t>
            </w:r>
          </w:p>
          <w:p w14:paraId="61659768">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执行达州市工业重点管控单元总体要求</w:t>
            </w:r>
          </w:p>
          <w:p w14:paraId="5FD051BD">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其他环境风险防控要求</w:t>
            </w:r>
          </w:p>
          <w:p w14:paraId="19AB431B">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w:t>
            </w:r>
          </w:p>
        </w:tc>
        <w:tc>
          <w:tcPr>
            <w:tcW w:w="2006" w:type="dxa"/>
            <w:noWrap w:val="0"/>
            <w:vAlign w:val="center"/>
          </w:tcPr>
          <w:p w14:paraId="791E521C">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本项目不涉及。</w:t>
            </w:r>
          </w:p>
        </w:tc>
        <w:tc>
          <w:tcPr>
            <w:tcW w:w="479" w:type="dxa"/>
            <w:noWrap w:val="0"/>
            <w:vAlign w:val="center"/>
          </w:tcPr>
          <w:p w14:paraId="39B1E4AA">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符合</w:t>
            </w:r>
          </w:p>
        </w:tc>
      </w:tr>
      <w:tr w14:paraId="31482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7" w:hRule="atLeast"/>
          <w:jc w:val="center"/>
        </w:trPr>
        <w:tc>
          <w:tcPr>
            <w:tcW w:w="790" w:type="dxa"/>
            <w:vMerge w:val="continue"/>
            <w:noWrap w:val="0"/>
            <w:vAlign w:val="center"/>
          </w:tcPr>
          <w:p w14:paraId="1C518315">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ZH51172420002</w:t>
            </w:r>
          </w:p>
        </w:tc>
        <w:tc>
          <w:tcPr>
            <w:tcW w:w="793" w:type="dxa"/>
            <w:vMerge w:val="continue"/>
            <w:noWrap w:val="0"/>
            <w:vAlign w:val="center"/>
          </w:tcPr>
          <w:p w14:paraId="420613EB">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四川大竹经济开发区</w:t>
            </w:r>
          </w:p>
        </w:tc>
        <w:tc>
          <w:tcPr>
            <w:tcW w:w="4612" w:type="dxa"/>
            <w:vMerge w:val="continue"/>
            <w:noWrap w:val="0"/>
            <w:vAlign w:val="top"/>
          </w:tcPr>
          <w:p w14:paraId="5C52AFC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空间布局约束：</w:t>
            </w:r>
          </w:p>
          <w:p w14:paraId="7511F79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禁止开发建设活动的要求</w:t>
            </w:r>
          </w:p>
          <w:p w14:paraId="4B40AFD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-禁止在长江干支流、重要湖泊岸线一公里范围内新建、扩建化工园区和化工项目，严控新建石油化工、煤化工、涉磷、造纸、印染、制革等项目。</w:t>
            </w:r>
          </w:p>
          <w:p w14:paraId="5942AE4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-禁止从事《长江经济带发展负面清单指南（试行）》禁止准入类事项。</w:t>
            </w:r>
          </w:p>
          <w:p w14:paraId="47D8B0A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-引进项目应符合园区规划环评和区域产业准入及负面清单要求。</w:t>
            </w:r>
          </w:p>
          <w:p w14:paraId="579C14F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-禁止新建不符合国家产业政策和行业准入条件的高污染项目。</w:t>
            </w:r>
          </w:p>
          <w:p w14:paraId="7AAE939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-工业园区禁止新建高污染燃料锅炉。</w:t>
            </w:r>
          </w:p>
          <w:p w14:paraId="0763AEC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-禁止在长江流域河湖管理范围内倾倒、填埋、堆放、弃置、处理固体废物。</w:t>
            </w:r>
          </w:p>
          <w:p w14:paraId="0696AC9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-未通过认定的化工园区，不得新建、改扩建化工项目（安全、环保、节能和智能化改造项目除外），按属地原则依法依规妥善做好未通过认定化工园区及园内企业的转型、关闭、处置及监管工作。</w:t>
            </w:r>
          </w:p>
          <w:p w14:paraId="0C719BD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p>
          <w:p w14:paraId="15CD2826">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限制开发建设活动的要求</w:t>
            </w:r>
          </w:p>
          <w:p w14:paraId="2A69EE1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-严格控制污染物新增排放量，对新建排放二氧化硫、氮氧化物、工业烟粉尘和 VOCS 的项目实施现役源 2 倍削减量替代。</w:t>
            </w:r>
          </w:p>
          <w:p w14:paraId="6A3ECAF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-严格实施环评制度，将细颗粒物达标情况纳入规划环评和相关项目环评内容，加快制定颗粒物、VOCS排放总量管理配套政策。</w:t>
            </w:r>
          </w:p>
          <w:p w14:paraId="0AE1AD3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-严格控制新建、扩建燃煤发电项目。</w:t>
            </w:r>
          </w:p>
          <w:p w14:paraId="35E19426">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-严控达州市主城区上游沿岸地区新建石油化工、煤化工、涉磷、造纸、印染、制革等项目。</w:t>
            </w:r>
          </w:p>
          <w:p w14:paraId="09A7E66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p>
          <w:p w14:paraId="4BE585A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不符合空间布局要求活动的退出要求</w:t>
            </w:r>
          </w:p>
          <w:p w14:paraId="0940C18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-现有属于禁止引入产业门类的企业，应按相关规定限期整治或退出。</w:t>
            </w:r>
          </w:p>
          <w:p w14:paraId="05BC214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重点区域城市钢铁企业要切实采取彻底关停、转型发展、就地改造、域外搬迁等方式。四川省达州钢铁集团有限责任公司处于四川省大气污染防治重点区域，属于“彻底关停、转型发展、就地改造、域外搬迁”企业；</w:t>
            </w:r>
          </w:p>
          <w:p w14:paraId="2948F876">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-引导重污染产业退出或搬迁、企业分类退城入园，逐步打破近水靠城的历史工业布局。加大城市区域现有装备水平低、环保设施差的微小企业“关、停、并、转”实施力度，清理建成区上风向重点涉气项目。</w:t>
            </w:r>
          </w:p>
          <w:p w14:paraId="0CADBFF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-石化、现代煤化工项目应纳入国家产业规划。新建、扩建石化、化工、焦化、有色金属冶炼、平板玻璃项目应布设在依法合规设立并经规划环评的产业园区。</w:t>
            </w:r>
          </w:p>
          <w:p w14:paraId="6855968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p>
          <w:p w14:paraId="7708FAE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其他空间布局约束要求</w:t>
            </w:r>
          </w:p>
          <w:p w14:paraId="5C1F1A5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w:t>
            </w:r>
          </w:p>
          <w:p w14:paraId="2B73A7E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污染物排放管控：</w:t>
            </w:r>
          </w:p>
          <w:p w14:paraId="647523F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允许排放量要求</w:t>
            </w:r>
          </w:p>
          <w:p w14:paraId="25B18CB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达州市2025年水污染物允许排放量COD4396.41t，氨氮418.7t，TP45.36t；达州市2025年大气污染物一次PM2.5 5805t、SO2 12773t、NOx11892t、VOCs 13969t</w:t>
            </w:r>
          </w:p>
          <w:p w14:paraId="5EFDDD3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现有源提标升级改造</w:t>
            </w:r>
          </w:p>
          <w:p w14:paraId="47C911DB">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-污水收集处理率达100%；</w:t>
            </w:r>
          </w:p>
          <w:p w14:paraId="242A9C9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到2025年底前，现有钢铁行业80%以上产能完成超低排放改造，烧结机机头、球团焙烧烟气颗粒物、二氧化硫、氮氧化物排放浓度小时均值分别不高于10、35、50毫克/立方米；其他主要污染源颗粒物、二氧化硫、氮氧化物排放浓度小时均值原则上分别不高于10、50、200毫克/立方米。</w:t>
            </w:r>
          </w:p>
          <w:p w14:paraId="2F085CA4">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有行业标准的工业炉窑，要求严格执行已有的行业排放标准，配套建设高效除尘脱硫脱硝设施，确保稳定达标排放。有排污许可证的，应严格执行许可要求。暂没有行业标准的，要求参照有关行业标准执行，其中，铸造行业烧结、高炉工序污染排放控制按照钢铁行业相关标准要求执行；颗粒物、二氧化硫、氮氧化物排放限值分别不高于30、200、300毫克/立方米实施改造，其中，日用玻璃、玻璃棉氮氧化物排放限值不高于400毫克/立方米。</w:t>
            </w:r>
          </w:p>
          <w:p w14:paraId="5D2A3C5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p w14:paraId="26D92E3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其他污染物排放管控要求</w:t>
            </w:r>
          </w:p>
          <w:p w14:paraId="1DA8622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新增源等量或倍量替代:上一年度水环境质量未完成目标的，新建排放水污染的建设项目按照总量管控要求进行倍量削减替代。</w:t>
            </w:r>
          </w:p>
          <w:p w14:paraId="7D59D2E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上一年度空气质量年平均浓度不达标的城市，建设项目新增相关污染物按照总量管控要求进行倍量削减替代。</w:t>
            </w:r>
          </w:p>
          <w:p w14:paraId="2305F09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对新建排放二氧化硫、氮氧化物、工业烟粉尘和VOCs的项目实施现役源倍量削减量替代。严禁钢铁、水泥、电解铝、平板玻璃等行业新增产能，对确有必要新建的必须实施等量或减量置换，防范过剩和落后产能跨地区转移.</w:t>
            </w:r>
          </w:p>
          <w:p w14:paraId="5D37C7C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污染物排放绩效水平准入要求:新、改扩建项目污染排放指标满足《四川省省级生态工业园区指标》综合类生态工业园区要求。工业固体废弃物利用处置率达100%，危险废物处置率达100%。</w:t>
            </w:r>
          </w:p>
          <w:p w14:paraId="3B4B135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国家大气污染防治重点区域(以下称重点区域)内新建耗煤项目还应严格按规定采取煤炭消费减量替代措施，不得使用高污染燃料作为煤炭减量替代措施;重点区域执行大气污染物特别排放限值，严禁新增钢铁、电力、水泥、玻璃、砖瓦、陶瓷、焦化、电解铝、有色等重点行业大气污染物排放。</w:t>
            </w:r>
          </w:p>
          <w:p w14:paraId="6143DF5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钢铁行业新建应参考达州市“三线一单”生态环境分区管控中钢铁行业资源环境绩效准入门槛。</w:t>
            </w:r>
          </w:p>
          <w:p w14:paraId="2674A3B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2030年，渠江流域用水总量控制在31.61亿立方米以内，渠江干流COD排放总量限制在4.89万t/a内、氨氮排放总量限制在0.54万t/a内。全面推进节水型社会建设，加强河湖（库）水域岸线保护及管理，加强入河排污口规范化建设，加强工业污染、农业农村污染、船舶港口污染防治。对流域内饮用水源地进行有效保护及规范化建设。</w:t>
            </w:r>
          </w:p>
          <w:p w14:paraId="6B057EE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化工园区应按照分类收集，分质处理的要求，配备专业化工生产废水集中处理设施（独立建设或依托骨干企业）及专管或明管输送的配套管网，化工生产废水纳管率达到100%。入河排污口设置应符合相关规定。</w:t>
            </w:r>
          </w:p>
          <w:p w14:paraId="427DD9F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14:paraId="0779E9B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w:t>
            </w:r>
            <w:r>
              <w:rPr>
                <w:rStyle w:val="37"/>
                <w:rFonts w:hint="eastAsia" w:eastAsia="宋体" w:cs="Times New Roman"/>
                <w:color w:val="auto"/>
                <w:kern w:val="0"/>
                <w:sz w:val="21"/>
                <w:szCs w:val="21"/>
                <w:lang w:val="en-US" w:eastAsia="zh-CN" w:bidi="ar-SA"/>
              </w:rPr>
              <w:t>VOCs</w:t>
            </w:r>
            <w:r>
              <w:rPr>
                <w:rStyle w:val="37"/>
                <w:rFonts w:hint="default" w:ascii="Times New Roman" w:hAnsi="Times New Roman" w:eastAsia="宋体" w:cs="Times New Roman"/>
                <w:color w:val="auto"/>
                <w:kern w:val="0"/>
                <w:sz w:val="21"/>
                <w:szCs w:val="21"/>
                <w:lang w:val="en-US" w:eastAsia="zh-CN" w:bidi="ar-SA"/>
              </w:rPr>
              <w:t>综合管控。</w:t>
            </w:r>
          </w:p>
          <w:p w14:paraId="397A757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环境风险防控：</w:t>
            </w:r>
          </w:p>
          <w:p w14:paraId="720FC7B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联防联控要求</w:t>
            </w:r>
          </w:p>
          <w:p w14:paraId="0388CD08">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14:paraId="50B6E61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其他环境风险防控要求</w:t>
            </w:r>
          </w:p>
          <w:p w14:paraId="76ECA33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企业环境风险防控要求:涉及有毒有害、易燃易爆物质新建、改扩建项目，严控准入要求。（根据《GB 8978-2002》中第一类污染物以及《优先控制化学品名录</w:t>
            </w:r>
            <w:r>
              <w:rPr>
                <w:rStyle w:val="37"/>
                <w:rFonts w:hint="eastAsia" w:eastAsia="宋体" w:cs="Times New Roman"/>
                <w:color w:val="auto"/>
                <w:kern w:val="0"/>
                <w:sz w:val="21"/>
                <w:szCs w:val="21"/>
                <w:lang w:val="en-US" w:eastAsia="zh-CN" w:bidi="ar-SA"/>
              </w:rPr>
              <w:t>》《</w:t>
            </w:r>
            <w:r>
              <w:rPr>
                <w:rStyle w:val="37"/>
                <w:rFonts w:hint="default" w:ascii="Times New Roman" w:hAnsi="Times New Roman" w:eastAsia="宋体" w:cs="Times New Roman"/>
                <w:color w:val="auto"/>
                <w:kern w:val="0"/>
                <w:sz w:val="21"/>
                <w:szCs w:val="21"/>
                <w:lang w:val="en-US" w:eastAsia="zh-CN" w:bidi="ar-SA"/>
              </w:rPr>
              <w:t>有毒有害大气污染物名录</w:t>
            </w:r>
            <w:r>
              <w:rPr>
                <w:rStyle w:val="37"/>
                <w:rFonts w:hint="eastAsia" w:eastAsia="宋体" w:cs="Times New Roman"/>
                <w:color w:val="auto"/>
                <w:kern w:val="0"/>
                <w:sz w:val="21"/>
                <w:szCs w:val="21"/>
                <w:lang w:val="en-US" w:eastAsia="zh-CN" w:bidi="ar-SA"/>
              </w:rPr>
              <w:t>》《</w:t>
            </w:r>
            <w:r>
              <w:rPr>
                <w:rStyle w:val="37"/>
                <w:rFonts w:hint="default" w:ascii="Times New Roman" w:hAnsi="Times New Roman" w:eastAsia="宋体" w:cs="Times New Roman"/>
                <w:color w:val="auto"/>
                <w:kern w:val="0"/>
                <w:sz w:val="21"/>
                <w:szCs w:val="21"/>
                <w:lang w:val="en-US" w:eastAsia="zh-CN" w:bidi="ar-SA"/>
              </w:rPr>
              <w:t>有毒有害水污染物名录》确定）。对钢铁、焦化平板玻璃、铜铅锌硅冶炼等环境影响大或环境风险高的项目类别，不得以改革试点名义随意下放环评审批权限或降低审批要求。</w:t>
            </w:r>
          </w:p>
          <w:p w14:paraId="074DFC1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园区环境风险防控要求:园区风险防控体系要求：构建三级环境风险防控体系，强化危化品泄漏应急处置措施，确保风险可控。针对化工园区进一步强化风险防控。化工园区应具有安全风险监控体系、建立生态环境监测监控体系、建立必要的突发环境事件应急体系。杜绝危化品泄漏、事故排放等，确保环境安全。</w:t>
            </w:r>
          </w:p>
          <w:p w14:paraId="2C36054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用地环境风险防控要求:化工、电镀等行业企业拆除生产设施设备、构筑物和污染治理设施，要事先制定残留污染物清理和安全处置方案，要严格按照有关规定实施安全处理处置，防范拆除活动污染土壤。有色金属矿采选、有色金属冶炼、石油加工、化工、焦化、电镀、制革、天然（页岩）气开采、铅蓄电池、汽车制造、农药、危废处置、电子拆解等行业企业及其他可能影响土壤环境质量的生产设施设备、构筑物和污染治理设施的拆除，按照有关规定制定残留污染物清理和安全处置方案，要严格按照有关规定实施安全处理处置，防范拆除活动污染土壤。</w:t>
            </w:r>
          </w:p>
          <w:p w14:paraId="414C880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资源开发利用效率要求：</w:t>
            </w:r>
          </w:p>
          <w:p w14:paraId="569D012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水资源利用总量要求</w:t>
            </w:r>
          </w:p>
          <w:p w14:paraId="1D66F4B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新、改扩建项目污染水耗指标满足《四川省省级生态工业园区指标》综合类生态工业园区要求；到2022年，万元国内生产总值用水量、万元工业增加值用水量较2015年分别下降30%和28%。</w:t>
            </w:r>
          </w:p>
          <w:p w14:paraId="4FEAD44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地下水开采要求</w:t>
            </w:r>
          </w:p>
          <w:p w14:paraId="702BF9F6">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以省市下发指标为准</w:t>
            </w:r>
          </w:p>
          <w:p w14:paraId="3670D111">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能源利用总量及效率要求</w:t>
            </w:r>
          </w:p>
          <w:p w14:paraId="1D15123F">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川东北区域实施新建项目与煤炭消费总量控制挂钩机制，耗煤建设项目实行煤炭消耗等量减量替代。提高煤炭利用效率和天然气利用占比，工业领域有序推进“煤改电”和有序推进“煤改气”。</w:t>
            </w:r>
          </w:p>
          <w:p w14:paraId="3B1558E7">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-大力实施和推广以电代煤、以电代油工程，重点在城市交通、工商业等领域实施以电代油、以电代煤。</w:t>
            </w:r>
          </w:p>
          <w:p w14:paraId="7CEC274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-增加天然气对煤炭和石油的替代，提高天然气民用、交通、发电、工业领域天然气消费比重。</w:t>
            </w:r>
          </w:p>
          <w:p w14:paraId="53ECF335">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-实施煤炭消费总量控制：严格控制煤炭消费总量；严格控制新建、改建、扩建耗煤项目，新增耗煤项目实行煤炭消耗减量倍量替代。</w:t>
            </w:r>
          </w:p>
          <w:p w14:paraId="0277992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鼓励使用清洁燃料，重点区域建设项目原则上不新建燃煤自备锅炉。鼓励重点区域高炉-转炉长流程钢铁企业转型为电炉短流程企业。大宗物料优先采用铁路、管道或水路运输，短途接驳优先使用新能源车辆运输。</w:t>
            </w:r>
          </w:p>
          <w:p w14:paraId="29B2606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-推进清洁能源的推广使用，全面推进散煤清洁化整治；</w:t>
            </w:r>
          </w:p>
          <w:p w14:paraId="315F2C80">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全面淘汰10蒸吨/小时及以下燃煤锅炉，原则上不再新建35蒸吨/小时及以下的燃煤锅炉，推进县级及以上城市建成区淘汰35蒸吨/小时及以下燃煤锅炉，以工业余热、电厂热力、清洁能源等替代煤炭。加快推进火电、钢铁、铸造（含烧结、球团、高炉工序）水泥、焦化行业燃煤锅炉和工业炉窑超低排放改造及深度治理。稳步实施陶瓷、玻璃、铁合金、有色、砖瓦等行业企业深度治理，推进工业炉窑煤改电（气）和低氮燃烧改造。全面加强钢铁、建材、有色、焦化、铸造重点行业无组织排放治理。生物质锅炉采用专用锅炉，配套布袋等高效除尘设施，禁止掺烧煤炭、垃圾等其他物料。</w:t>
            </w:r>
          </w:p>
          <w:p w14:paraId="7019149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-对20蒸吨及以上燃煤锅炉实施脱硫改造，建设高效脱硫设施；对循环流化床锅炉以外的燃煤发电机组一律安装脱硫设施，对燃煤锅炉和工业锅炉现有除尘设施实施升级改造，确保达到新的排放标准和特别排放限值</w:t>
            </w:r>
          </w:p>
          <w:p w14:paraId="6E0B1FD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w:t>
            </w:r>
          </w:p>
          <w:p w14:paraId="3A7C9152">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禁燃区要求</w:t>
            </w:r>
          </w:p>
          <w:p w14:paraId="0278124A">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-高污染燃料禁燃区内禁止燃用的燃料为《高污染燃料目录》（2017）中</w:t>
            </w:r>
            <w:r>
              <w:rPr>
                <w:rStyle w:val="37"/>
                <w:rFonts w:hint="eastAsia" w:eastAsia="宋体" w:cs="Times New Roman"/>
                <w:color w:val="auto"/>
                <w:kern w:val="0"/>
                <w:sz w:val="21"/>
                <w:szCs w:val="21"/>
                <w:lang w:val="en-US" w:eastAsia="zh-CN" w:bidi="ar-SA"/>
              </w:rPr>
              <w:t>Ⅲ类</w:t>
            </w:r>
            <w:r>
              <w:rPr>
                <w:rStyle w:val="37"/>
                <w:rFonts w:hint="default" w:ascii="Times New Roman" w:hAnsi="Times New Roman" w:eastAsia="宋体" w:cs="Times New Roman"/>
                <w:color w:val="auto"/>
                <w:kern w:val="0"/>
                <w:sz w:val="21"/>
                <w:szCs w:val="21"/>
                <w:lang w:val="en-US" w:eastAsia="zh-CN" w:bidi="ar-SA"/>
              </w:rPr>
              <w:t>（严格）燃料组合，包括：（一）煤炭及其制品；（二）石油焦、油页岩、原油、重油、渣油、煤焦油；（三）非专用锅炉或未配置高效除尘设施的专用锅炉燃用的生物质成型燃料。</w:t>
            </w:r>
          </w:p>
          <w:p w14:paraId="1C3C402D">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-禁燃区内禁止销售、燃用高污染燃料；禁止新建、改建、扩建燃用高污染燃料的设施和设备。</w:t>
            </w:r>
          </w:p>
          <w:p w14:paraId="0CB6672C">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-禁燃区内已建成的高污染燃料燃用设施由辖区人民政府制定限期改造计划，改用天然气、页岩气、液化石油气、电或其他清洁能源。</w:t>
            </w:r>
          </w:p>
          <w:p w14:paraId="6653DE9E">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p>
          <w:p w14:paraId="525010C9">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其他资源利用效率要求</w:t>
            </w:r>
          </w:p>
          <w:p w14:paraId="04152993">
            <w:pPr>
              <w:pStyle w:val="27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Style w:val="37"/>
                <w:rFonts w:hint="default" w:ascii="Times New Roman" w:hAnsi="Times New Roman" w:eastAsia="宋体" w:cs="Times New Roman"/>
                <w:color w:val="auto"/>
                <w:kern w:val="0"/>
                <w:sz w:val="21"/>
                <w:szCs w:val="21"/>
                <w:lang w:val="en-US" w:eastAsia="zh-CN" w:bidi="ar-SA"/>
              </w:rPr>
            </w:pPr>
            <w:r>
              <w:rPr>
                <w:rStyle w:val="37"/>
                <w:rFonts w:hint="default" w:ascii="Times New Roman" w:hAnsi="Times New Roman" w:eastAsia="宋体" w:cs="Times New Roman"/>
                <w:color w:val="auto"/>
                <w:kern w:val="0"/>
                <w:sz w:val="21"/>
                <w:szCs w:val="21"/>
                <w:lang w:val="en-US" w:eastAsia="zh-CN" w:bidi="ar-SA"/>
              </w:rPr>
              <w:t>/</w:t>
            </w:r>
          </w:p>
        </w:tc>
        <w:tc>
          <w:tcPr>
            <w:tcW w:w="1556" w:type="dxa"/>
            <w:noWrap w:val="0"/>
            <w:vAlign w:val="center"/>
          </w:tcPr>
          <w:p w14:paraId="3E7476F0">
            <w:pPr>
              <w:pStyle w:val="279"/>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资源开发效率要求</w:t>
            </w:r>
          </w:p>
        </w:tc>
        <w:tc>
          <w:tcPr>
            <w:tcW w:w="3938" w:type="dxa"/>
            <w:noWrap w:val="0"/>
            <w:vAlign w:val="center"/>
          </w:tcPr>
          <w:p w14:paraId="5CE4A753">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水资源利用效率要求</w:t>
            </w:r>
          </w:p>
          <w:p w14:paraId="4AE88527">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同达州市工业重点总体准入要求</w:t>
            </w:r>
          </w:p>
          <w:p w14:paraId="2FFA0FDD">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地下水开采要求</w:t>
            </w:r>
          </w:p>
          <w:p w14:paraId="4DA92BE1">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执行达州市工业重点管控单元总体要求</w:t>
            </w:r>
          </w:p>
          <w:p w14:paraId="2E340170">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能源利用效率要求</w:t>
            </w:r>
          </w:p>
          <w:p w14:paraId="3B0B1F63">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大竹县柏林工业园区：除制浆造纸项目外禁止使用燃煤等高污染燃料，其他项目以天然气、电等清洁能源为主。</w:t>
            </w:r>
          </w:p>
          <w:p w14:paraId="7DB04026">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其他资源利用效率要求</w:t>
            </w:r>
          </w:p>
          <w:p w14:paraId="1D6B4AEE">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禁燃区要求：同达州市工业重点总体准入要求</w:t>
            </w:r>
          </w:p>
        </w:tc>
        <w:tc>
          <w:tcPr>
            <w:tcW w:w="2006" w:type="dxa"/>
            <w:noWrap w:val="0"/>
            <w:vAlign w:val="center"/>
          </w:tcPr>
          <w:p w14:paraId="46BF487E">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本项目不涉及。</w:t>
            </w:r>
          </w:p>
        </w:tc>
        <w:tc>
          <w:tcPr>
            <w:tcW w:w="479" w:type="dxa"/>
            <w:noWrap w:val="0"/>
            <w:vAlign w:val="center"/>
          </w:tcPr>
          <w:p w14:paraId="4E078D1A">
            <w:pPr>
              <w:pStyle w:val="279"/>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7"/>
                <w:rFonts w:hint="default" w:ascii="Times New Roman" w:hAnsi="Times New Roman" w:eastAsia="宋体" w:cs="Times New Roman"/>
                <w:color w:val="auto"/>
                <w:kern w:val="2"/>
                <w:sz w:val="21"/>
                <w:szCs w:val="21"/>
                <w:lang w:val="en-US" w:eastAsia="zh-CN" w:bidi="ar-SA"/>
              </w:rPr>
            </w:pPr>
            <w:r>
              <w:rPr>
                <w:rStyle w:val="37"/>
                <w:rFonts w:hint="default" w:ascii="Times New Roman" w:hAnsi="Times New Roman" w:eastAsia="宋体" w:cs="Times New Roman"/>
                <w:color w:val="auto"/>
                <w:kern w:val="2"/>
                <w:sz w:val="21"/>
                <w:szCs w:val="21"/>
                <w:lang w:val="en-US" w:eastAsia="zh-CN" w:bidi="ar-SA"/>
              </w:rPr>
              <w:t>符合</w:t>
            </w:r>
          </w:p>
        </w:tc>
      </w:tr>
    </w:tbl>
    <w:p w14:paraId="034A258A">
      <w:pPr>
        <w:rPr>
          <w:rFonts w:hint="default" w:ascii="Times New Roman" w:hAnsi="Times New Roman" w:eastAsia="宋体" w:cs="Times New Roman"/>
          <w:color w:val="auto"/>
          <w:sz w:val="30"/>
          <w:lang w:eastAsia="zh-CN"/>
        </w:rPr>
      </w:pPr>
      <w:r>
        <w:rPr>
          <w:rFonts w:hint="default" w:ascii="Times New Roman" w:hAnsi="Times New Roman" w:cs="Times New Roman"/>
          <w:b/>
          <w:color w:val="auto"/>
          <w:sz w:val="24"/>
        </w:rPr>
        <w:t>综上所述，本项目与四川省达州市“三线一单”要求相符</w:t>
      </w:r>
      <w:r>
        <w:rPr>
          <w:rFonts w:hint="default" w:ascii="Times New Roman" w:hAnsi="Times New Roman" w:cs="Times New Roman"/>
          <w:b/>
          <w:color w:val="auto"/>
          <w:sz w:val="24"/>
          <w:lang w:eastAsia="zh-CN"/>
        </w:rPr>
        <w:t>。</w:t>
      </w:r>
    </w:p>
    <w:p w14:paraId="43A719C0">
      <w:pPr>
        <w:spacing w:line="360" w:lineRule="auto"/>
        <w:rPr>
          <w:rFonts w:hint="default" w:ascii="Times New Roman" w:hAnsi="Times New Roman" w:eastAsia="黑体" w:cs="Times New Roman"/>
          <w:color w:val="auto"/>
          <w:sz w:val="30"/>
        </w:rPr>
        <w:sectPr>
          <w:pgSz w:w="16838" w:h="11906" w:orient="landscape"/>
          <w:pgMar w:top="1531" w:right="1701" w:bottom="1531" w:left="1701" w:header="851" w:footer="1077" w:gutter="0"/>
          <w:pgNumType w:fmt="decimal"/>
          <w:cols w:space="720" w:num="1"/>
          <w:docGrid w:linePitch="312" w:charSpace="0"/>
        </w:sectPr>
      </w:pPr>
    </w:p>
    <w:tbl>
      <w:tblPr>
        <w:tblStyle w:val="35"/>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829"/>
      </w:tblGrid>
      <w:tr w14:paraId="40D2C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4" w:hRule="atLeast"/>
          <w:jc w:val="center"/>
        </w:trPr>
        <w:tc>
          <w:tcPr>
            <w:tcW w:w="456" w:type="dxa"/>
            <w:noWrap w:val="0"/>
            <w:vAlign w:val="center"/>
          </w:tcPr>
          <w:p w14:paraId="5A0B794F">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其他符合性分析</w:t>
            </w:r>
          </w:p>
          <w:p w14:paraId="2F982412">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其他符合性分析</w:t>
            </w:r>
          </w:p>
        </w:tc>
        <w:tc>
          <w:tcPr>
            <w:tcW w:w="8829" w:type="dxa"/>
            <w:noWrap w:val="0"/>
            <w:vAlign w:val="center"/>
          </w:tcPr>
          <w:p w14:paraId="2F356880">
            <w:pPr>
              <w:pStyle w:val="280"/>
              <w:snapToGrid w:val="0"/>
              <w:ind w:firstLine="482"/>
              <w:rPr>
                <w:rFonts w:hint="default" w:ascii="Times New Roman" w:hAnsi="Times New Roman" w:cs="Times New Roman"/>
                <w:b/>
                <w:bCs/>
                <w:color w:val="auto"/>
              </w:rPr>
            </w:pPr>
            <w:r>
              <w:rPr>
                <w:rFonts w:hint="default" w:ascii="Times New Roman" w:hAnsi="Times New Roman" w:cs="Times New Roman"/>
                <w:b/>
                <w:color w:val="auto"/>
                <w:kern w:val="0"/>
              </w:rPr>
              <w:t>（4）</w:t>
            </w:r>
            <w:r>
              <w:rPr>
                <w:rFonts w:hint="default" w:ascii="Times New Roman" w:hAnsi="Times New Roman" w:cs="Times New Roman"/>
                <w:b/>
                <w:bCs/>
                <w:color w:val="auto"/>
              </w:rPr>
              <w:t>与《达州市人民政府办公室 关于加强生态环境分区管控的通知》（达市府办函〔2024〕31号）符合性分析</w:t>
            </w:r>
          </w:p>
          <w:p w14:paraId="644282D1">
            <w:pPr>
              <w:autoSpaceDE w:val="0"/>
              <w:autoSpaceDN w:val="0"/>
              <w:adjustRightInd w:val="0"/>
              <w:snapToGrid w:val="0"/>
              <w:spacing w:line="360" w:lineRule="auto"/>
              <w:ind w:firstLine="480" w:firstLineChars="200"/>
              <w:rPr>
                <w:rFonts w:hint="default" w:ascii="Times New Roman" w:hAnsi="Times New Roman" w:cs="Times New Roman"/>
                <w:b/>
                <w:color w:val="auto"/>
                <w:kern w:val="0"/>
                <w:sz w:val="24"/>
              </w:rPr>
            </w:pPr>
            <w:r>
              <w:rPr>
                <w:rFonts w:hint="default" w:ascii="Times New Roman" w:hAnsi="Times New Roman" w:cs="Times New Roman"/>
                <w:color w:val="auto"/>
                <w:sz w:val="24"/>
              </w:rPr>
              <w:t>根据《达州市人民政府办公室 关于加强生态环境分区管控的通知》（达市府办函〔2024〕31号），本项目与全市及大竹县的生态环境管控要求符合性分析详见下表。</w:t>
            </w:r>
          </w:p>
          <w:p w14:paraId="687FB5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表1.2-3  生态环境管控要求符合性一览表</w:t>
            </w:r>
          </w:p>
          <w:tbl>
            <w:tblPr>
              <w:tblStyle w:val="35"/>
              <w:tblW w:w="495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4797"/>
              <w:gridCol w:w="1785"/>
              <w:gridCol w:w="861"/>
            </w:tblGrid>
            <w:tr w14:paraId="63759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8" w:type="dxa"/>
                  <w:noWrap w:val="0"/>
                  <w:vAlign w:val="center"/>
                </w:tcPr>
                <w:p w14:paraId="5799396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行政区划</w:t>
                  </w:r>
                </w:p>
              </w:tc>
              <w:tc>
                <w:tcPr>
                  <w:tcW w:w="4797" w:type="dxa"/>
                  <w:noWrap w:val="0"/>
                  <w:vAlign w:val="center"/>
                </w:tcPr>
                <w:p w14:paraId="25A3CC7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生态环境管控要求</w:t>
                  </w:r>
                </w:p>
              </w:tc>
              <w:tc>
                <w:tcPr>
                  <w:tcW w:w="1785" w:type="dxa"/>
                  <w:noWrap w:val="0"/>
                  <w:vAlign w:val="center"/>
                </w:tcPr>
                <w:p w14:paraId="47078BB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本项目情况</w:t>
                  </w:r>
                </w:p>
              </w:tc>
              <w:tc>
                <w:tcPr>
                  <w:tcW w:w="861" w:type="dxa"/>
                  <w:noWrap w:val="0"/>
                  <w:vAlign w:val="center"/>
                </w:tcPr>
                <w:p w14:paraId="5BCD068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符合性</w:t>
                  </w:r>
                </w:p>
              </w:tc>
            </w:tr>
            <w:tr w14:paraId="57F8B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8" w:type="dxa"/>
                  <w:noWrap w:val="0"/>
                  <w:vAlign w:val="center"/>
                </w:tcPr>
                <w:p w14:paraId="6752E85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达州市</w:t>
                  </w:r>
                </w:p>
              </w:tc>
              <w:tc>
                <w:tcPr>
                  <w:tcW w:w="4797" w:type="dxa"/>
                  <w:noWrap w:val="0"/>
                  <w:vAlign w:val="center"/>
                </w:tcPr>
                <w:p w14:paraId="463C088C">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1.长江干支流岸线1千米范围内，不得新建、扩建化工园区和化工项目。</w:t>
                  </w:r>
                </w:p>
                <w:p w14:paraId="1C8DDF5E">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2.严控产业转移环境准入。</w:t>
                  </w:r>
                </w:p>
                <w:p w14:paraId="25480384">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3.引进项目应符合园区规划环评和区域产业准入清单要求。</w:t>
                  </w:r>
                </w:p>
                <w:p w14:paraId="2BE5A4C5">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4.造纸等产业污染治理和环境管理应达到国内先进水平。优化制浆造纸产业布局，提升行业清洁生产水平，推动制浆造纸工业向节能、环保、绿色方向发展。</w:t>
                  </w:r>
                </w:p>
                <w:p w14:paraId="3C4CF54E">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5.深化成都平原、川南、川东北地区大气污染联防联控工作机制，加强川渝地区联防联控。强化重污染天气区域应急联动机制，深化区域重污染天气联合应对。</w:t>
                  </w:r>
                </w:p>
                <w:p w14:paraId="27879356">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6.钢铁行业项目新建应参考达州市“三线一单”生态环境分区管控中钢铁行业资源环境绩效准入门槛；达钢等高污染企业限期退城入园；普光气田开发污染防治和环境管理等方面要</w:t>
                  </w:r>
                  <w:r>
                    <w:rPr>
                      <w:rFonts w:hint="eastAsia" w:cs="Times New Roman"/>
                      <w:color w:val="auto"/>
                      <w:szCs w:val="21"/>
                      <w:lang w:eastAsia="zh-CN"/>
                    </w:rPr>
                    <w:t>达到</w:t>
                  </w:r>
                  <w:r>
                    <w:rPr>
                      <w:rFonts w:hint="default" w:ascii="Times New Roman" w:hAnsi="Times New Roman" w:cs="Times New Roman"/>
                      <w:color w:val="auto"/>
                      <w:szCs w:val="21"/>
                    </w:rPr>
                    <w:t>国内先进水平。</w:t>
                  </w:r>
                </w:p>
              </w:tc>
              <w:tc>
                <w:tcPr>
                  <w:tcW w:w="1785" w:type="dxa"/>
                  <w:noWrap w:val="0"/>
                  <w:vAlign w:val="center"/>
                </w:tcPr>
                <w:p w14:paraId="024CC171">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1.本项目属于C2319包装装潢及其他印刷</w:t>
                  </w:r>
                  <w:r>
                    <w:rPr>
                      <w:rFonts w:hint="default" w:ascii="Times New Roman" w:hAnsi="Times New Roman" w:cs="Times New Roman"/>
                      <w:color w:val="auto"/>
                      <w:szCs w:val="21"/>
                      <w:lang w:val="en-US" w:eastAsia="zh-CN"/>
                    </w:rPr>
                    <w:t>和</w:t>
                  </w:r>
                  <w:r>
                    <w:rPr>
                      <w:rFonts w:hint="default" w:ascii="Times New Roman" w:hAnsi="Times New Roman" w:cs="Times New Roman"/>
                      <w:color w:val="auto"/>
                      <w:szCs w:val="21"/>
                    </w:rPr>
                    <w:t>C2929塑料零件及其他塑料制品制造，不属于化工项目；</w:t>
                  </w:r>
                </w:p>
                <w:p w14:paraId="4BF40050">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2.本项目不涉及；</w:t>
                  </w:r>
                </w:p>
                <w:p w14:paraId="6082526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3.本项目不涉及；</w:t>
                  </w:r>
                </w:p>
                <w:p w14:paraId="1067CD26">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4.本项目不属于造纸项目；</w:t>
                  </w:r>
                </w:p>
                <w:p w14:paraId="5E6B4244">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5.本项目不涉及；</w:t>
                  </w:r>
                </w:p>
                <w:p w14:paraId="44A5CE41">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6.本项目不属于钢铁行业项目。</w:t>
                  </w:r>
                </w:p>
              </w:tc>
              <w:tc>
                <w:tcPr>
                  <w:tcW w:w="861" w:type="dxa"/>
                  <w:noWrap w:val="0"/>
                  <w:vAlign w:val="center"/>
                </w:tcPr>
                <w:p w14:paraId="3B1A41B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02FEF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8" w:type="dxa"/>
                  <w:noWrap w:val="0"/>
                  <w:vAlign w:val="center"/>
                </w:tcPr>
                <w:p w14:paraId="7365DA0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大竹县</w:t>
                  </w:r>
                </w:p>
              </w:tc>
              <w:tc>
                <w:tcPr>
                  <w:tcW w:w="4797" w:type="dxa"/>
                  <w:noWrap w:val="0"/>
                  <w:vAlign w:val="center"/>
                </w:tcPr>
                <w:p w14:paraId="509A1D02">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1.优化中心城区产业布局，引进项目应符合园区规划环评和区域产业准入清单要求。</w:t>
                  </w:r>
                </w:p>
                <w:p w14:paraId="36253B1C">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2.加强污水处理等基础设施建设。</w:t>
                  </w:r>
                </w:p>
                <w:p w14:paraId="2C49846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3.完善城镇生活污水源头减量，严格管控农业面源污染，加强规模以上畜禽养殖污染治理，鼓励工业企业开展尾水回收利用。</w:t>
                  </w:r>
                </w:p>
                <w:p w14:paraId="7DD687E7">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4.推进东柳河、铜钵河、黄滩河、东河等水污染防治、水生态修复、水安全保障、湿地资源保护等流域综合治理。加强矿山矿企的环境治理和生态修复，大力查处非法开采和破坏矿山地质环境行为。</w:t>
                  </w:r>
                </w:p>
              </w:tc>
              <w:tc>
                <w:tcPr>
                  <w:tcW w:w="1785" w:type="dxa"/>
                  <w:noWrap w:val="0"/>
                  <w:vAlign w:val="center"/>
                </w:tcPr>
                <w:p w14:paraId="531F8E16">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1.本项目不涉及；</w:t>
                  </w:r>
                </w:p>
                <w:p w14:paraId="1E8D8E1F">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2.本项目不涉及；</w:t>
                  </w:r>
                </w:p>
                <w:p w14:paraId="3DE47881">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3.本项目不涉及；</w:t>
                  </w:r>
                </w:p>
                <w:p w14:paraId="1B20285C">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4</w:t>
                  </w:r>
                  <w:r>
                    <w:rPr>
                      <w:rFonts w:hint="default" w:ascii="Times New Roman" w:hAnsi="Times New Roman" w:cs="Times New Roman"/>
                      <w:color w:val="auto"/>
                      <w:szCs w:val="21"/>
                      <w:highlight w:val="none"/>
                    </w:rPr>
                    <w:t>.本项目生活废水进入生化池处理达标后排入市政污水管网；冷却塔废水经厂区总排口排入市政污水管网。</w:t>
                  </w:r>
                </w:p>
              </w:tc>
              <w:tc>
                <w:tcPr>
                  <w:tcW w:w="861" w:type="dxa"/>
                  <w:noWrap w:val="0"/>
                  <w:vAlign w:val="center"/>
                </w:tcPr>
                <w:p w14:paraId="556C1D3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bl>
          <w:p w14:paraId="14C1AD4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根据上表可知，本项目符合《达州市人民政府办公室 关于加强生态环境分区管控的通知》（达市府办函〔2024〕31号）相关要求。</w:t>
            </w:r>
          </w:p>
          <w:p w14:paraId="5C9E1C6D">
            <w:pPr>
              <w:keepNext w:val="0"/>
              <w:keepLines w:val="0"/>
              <w:pageBreakBefore w:val="0"/>
              <w:widowControl w:val="0"/>
              <w:kinsoku/>
              <w:wordWrap/>
              <w:overflowPunct/>
              <w:topLinePunct w:val="0"/>
              <w:autoSpaceDE w:val="0"/>
              <w:autoSpaceDN w:val="0"/>
              <w:bidi w:val="0"/>
              <w:adjustRightInd w:val="0"/>
              <w:snapToGrid w:val="0"/>
              <w:spacing w:line="360" w:lineRule="auto"/>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1.2.2与《产业结构调整指导目录（2024年本）》符合性分析</w:t>
            </w:r>
          </w:p>
          <w:p w14:paraId="0496B47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本项目属于C2319包装装潢及其他印刷</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rPr>
              <w:t>C2929塑料零件及其他塑料制品制造。对照《产业结构调整指导目录（2024年本）》，项目不属于指导目录中“限制类”和“淘汰类”项目。根据《促进产业结构调整暂行规定》，不属于鼓励类、限制类和淘汰类，且符合国家有关法律、法规和政策规定的，为允许类。对照《高耗能落后机电设备（产品）淘汰目录（第一、二、三、四批）》等文件，项目不涉及高能耗及淘汰类设备。</w:t>
            </w:r>
          </w:p>
          <w:p w14:paraId="5D1B0CD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lang w:eastAsia="zh-CN"/>
              </w:rPr>
            </w:pPr>
            <w:r>
              <w:rPr>
                <w:rFonts w:hint="default" w:ascii="Times New Roman" w:hAnsi="Times New Roman" w:cs="Times New Roman"/>
                <w:color w:val="auto"/>
                <w:sz w:val="24"/>
              </w:rPr>
              <w:t>同时，大竹县经济和信息化局对本项目予以备案，项目备案号：川投资备【2410-511724-07-02-332638】JXQB-0652号</w:t>
            </w:r>
            <w:r>
              <w:rPr>
                <w:rFonts w:hint="eastAsia" w:cs="Times New Roman"/>
                <w:color w:val="auto"/>
                <w:sz w:val="24"/>
                <w:lang w:eastAsia="zh-CN"/>
              </w:rPr>
              <w:t>。</w:t>
            </w:r>
          </w:p>
          <w:p w14:paraId="34CEFCD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bCs/>
                <w:color w:val="auto"/>
                <w:sz w:val="24"/>
              </w:rPr>
              <w:t>综上，评价认为本项目符合国家现行的产业政策</w:t>
            </w:r>
            <w:r>
              <w:rPr>
                <w:rFonts w:hint="default" w:ascii="Times New Roman" w:hAnsi="Times New Roman" w:cs="Times New Roman"/>
                <w:color w:val="auto"/>
                <w:sz w:val="24"/>
              </w:rPr>
              <w:t>。</w:t>
            </w:r>
          </w:p>
          <w:p w14:paraId="717FCD49">
            <w:pPr>
              <w:pStyle w:val="247"/>
              <w:keepNext w:val="0"/>
              <w:keepLines w:val="0"/>
              <w:pageBreakBefore w:val="0"/>
              <w:widowControl w:val="0"/>
              <w:kinsoku/>
              <w:wordWrap/>
              <w:overflowPunct/>
              <w:topLinePunct w:val="0"/>
              <w:bidi w:val="0"/>
              <w:adjustRightInd w:val="0"/>
              <w:snapToGrid w:val="0"/>
              <w:jc w:val="left"/>
              <w:rPr>
                <w:rFonts w:hint="default" w:ascii="Times New Roman" w:hAnsi="Times New Roman" w:eastAsia="宋体" w:cs="Times New Roman"/>
                <w:b/>
                <w:bCs/>
                <w:color w:val="auto"/>
                <w:szCs w:val="24"/>
                <w:highlight w:val="none"/>
              </w:rPr>
            </w:pPr>
            <w:r>
              <w:rPr>
                <w:rFonts w:hint="default" w:ascii="Times New Roman" w:hAnsi="Times New Roman" w:eastAsia="宋体" w:cs="Times New Roman"/>
                <w:b/>
                <w:bCs/>
                <w:color w:val="auto"/>
                <w:szCs w:val="24"/>
                <w:highlight w:val="none"/>
              </w:rPr>
              <w:t>1.</w:t>
            </w:r>
            <w:r>
              <w:rPr>
                <w:rFonts w:hint="default" w:ascii="Times New Roman" w:hAnsi="Times New Roman" w:eastAsia="宋体" w:cs="Times New Roman"/>
                <w:b/>
                <w:bCs/>
                <w:color w:val="auto"/>
                <w:szCs w:val="24"/>
                <w:highlight w:val="none"/>
                <w:lang w:val="en-US" w:eastAsia="zh-CN"/>
              </w:rPr>
              <w:t>2.3</w:t>
            </w:r>
            <w:r>
              <w:rPr>
                <w:rFonts w:hint="default" w:ascii="Times New Roman" w:hAnsi="Times New Roman" w:eastAsia="宋体" w:cs="Times New Roman"/>
                <w:b/>
                <w:bCs/>
                <w:color w:val="auto"/>
                <w:szCs w:val="24"/>
                <w:highlight w:val="none"/>
              </w:rPr>
              <w:t>与《关于加强高耗能、高排放建设项目生态环境源头防控的指导意见》（环环评〔2021〕45号）的符合性分析</w:t>
            </w:r>
          </w:p>
          <w:p w14:paraId="407D5674">
            <w:pPr>
              <w:keepNext w:val="0"/>
              <w:keepLines w:val="0"/>
              <w:pageBreakBefore w:val="0"/>
              <w:widowControl w:val="0"/>
              <w:kinsoku/>
              <w:wordWrap/>
              <w:overflowPunct/>
              <w:topLinePunct w:val="0"/>
              <w:autoSpaceDE w:val="0"/>
              <w:autoSpaceDN w:val="0"/>
              <w:bidi w:val="0"/>
              <w:adjustRightInd w:val="0"/>
              <w:spacing w:line="360" w:lineRule="auto"/>
              <w:ind w:firstLine="480" w:firstLineChars="200"/>
              <w:textAlignment w:val="baseline"/>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项目</w:t>
            </w:r>
            <w:r>
              <w:rPr>
                <w:rFonts w:hint="default" w:ascii="Times New Roman" w:hAnsi="Times New Roman" w:cs="Times New Roman"/>
                <w:color w:val="auto"/>
                <w:sz w:val="24"/>
                <w:highlight w:val="none"/>
              </w:rPr>
              <w:t>与《关于加强高耗能、高排放建设项目生态环境源头防控的指导意见》（环环评〔2021〕45号）的符合性分析详见表1.</w:t>
            </w:r>
            <w:r>
              <w:rPr>
                <w:rFonts w:hint="default" w:ascii="Times New Roman" w:hAnsi="Times New Roman" w:cs="Times New Roman"/>
                <w:color w:val="auto"/>
                <w:sz w:val="24"/>
                <w:highlight w:val="none"/>
                <w:lang w:val="en-US" w:eastAsia="zh-CN"/>
              </w:rPr>
              <w:t>2-4</w:t>
            </w:r>
            <w:r>
              <w:rPr>
                <w:rFonts w:hint="default" w:ascii="Times New Roman" w:hAnsi="Times New Roman" w:cs="Times New Roman"/>
                <w:color w:val="auto"/>
                <w:sz w:val="24"/>
                <w:highlight w:val="none"/>
              </w:rPr>
              <w:t>。</w:t>
            </w:r>
          </w:p>
          <w:p w14:paraId="642119C9">
            <w:pPr>
              <w:autoSpaceDE w:val="0"/>
              <w:autoSpaceDN w:val="0"/>
              <w:adjustRightInd w:val="0"/>
              <w:spacing w:line="240" w:lineRule="auto"/>
              <w:jc w:val="center"/>
              <w:textAlignment w:val="baseline"/>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表1.</w:t>
            </w:r>
            <w:r>
              <w:rPr>
                <w:rFonts w:hint="default" w:ascii="Times New Roman" w:hAnsi="Times New Roman" w:cs="Times New Roman"/>
                <w:b/>
                <w:bCs/>
                <w:color w:val="auto"/>
                <w:sz w:val="24"/>
                <w:highlight w:val="none"/>
                <w:lang w:val="en-US" w:eastAsia="zh-CN"/>
              </w:rPr>
              <w:t>2-4</w:t>
            </w:r>
            <w:r>
              <w:rPr>
                <w:rFonts w:hint="default" w:ascii="Times New Roman" w:hAnsi="Times New Roman" w:cs="Times New Roman"/>
                <w:b/>
                <w:bCs/>
                <w:color w:val="auto"/>
                <w:sz w:val="24"/>
                <w:highlight w:val="none"/>
              </w:rPr>
              <w:t xml:space="preserve">  与环环评〔2021〕45号的符合性分析</w:t>
            </w:r>
          </w:p>
          <w:tbl>
            <w:tblPr>
              <w:tblStyle w:val="35"/>
              <w:tblW w:w="86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2"/>
              <w:gridCol w:w="5730"/>
              <w:gridCol w:w="1937"/>
              <w:gridCol w:w="675"/>
            </w:tblGrid>
            <w:tr w14:paraId="1FC06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352" w:type="dxa"/>
                  <w:noWrap w:val="0"/>
                  <w:vAlign w:val="center"/>
                </w:tcPr>
                <w:p w14:paraId="2F6A7161">
                  <w:pPr>
                    <w:autoSpaceDE w:val="0"/>
                    <w:autoSpaceDN w:val="0"/>
                    <w:adjustRightInd w:val="0"/>
                    <w:spacing w:line="240" w:lineRule="auto"/>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序号</w:t>
                  </w:r>
                </w:p>
              </w:tc>
              <w:tc>
                <w:tcPr>
                  <w:tcW w:w="5730" w:type="dxa"/>
                  <w:noWrap w:val="0"/>
                  <w:vAlign w:val="center"/>
                </w:tcPr>
                <w:p w14:paraId="477C8E76">
                  <w:pPr>
                    <w:autoSpaceDE w:val="0"/>
                    <w:autoSpaceDN w:val="0"/>
                    <w:adjustRightInd w:val="0"/>
                    <w:spacing w:line="240" w:lineRule="auto"/>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文件要求</w:t>
                  </w:r>
                </w:p>
              </w:tc>
              <w:tc>
                <w:tcPr>
                  <w:tcW w:w="1937" w:type="dxa"/>
                  <w:noWrap w:val="0"/>
                  <w:vAlign w:val="center"/>
                </w:tcPr>
                <w:p w14:paraId="27FF19D9">
                  <w:pPr>
                    <w:autoSpaceDE w:val="0"/>
                    <w:autoSpaceDN w:val="0"/>
                    <w:adjustRightInd w:val="0"/>
                    <w:spacing w:line="240" w:lineRule="auto"/>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项目实际情况</w:t>
                  </w:r>
                </w:p>
              </w:tc>
              <w:tc>
                <w:tcPr>
                  <w:tcW w:w="675" w:type="dxa"/>
                  <w:noWrap w:val="0"/>
                  <w:vAlign w:val="center"/>
                </w:tcPr>
                <w:p w14:paraId="4C87010B">
                  <w:pPr>
                    <w:autoSpaceDE w:val="0"/>
                    <w:autoSpaceDN w:val="0"/>
                    <w:adjustRightInd w:val="0"/>
                    <w:spacing w:line="240" w:lineRule="auto"/>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符合性</w:t>
                  </w:r>
                </w:p>
              </w:tc>
            </w:tr>
            <w:tr w14:paraId="4CF8D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1" w:hRule="atLeast"/>
                <w:jc w:val="center"/>
              </w:trPr>
              <w:tc>
                <w:tcPr>
                  <w:tcW w:w="352" w:type="dxa"/>
                  <w:noWrap w:val="0"/>
                  <w:vAlign w:val="center"/>
                </w:tcPr>
                <w:p w14:paraId="252DDE19">
                  <w:pPr>
                    <w:autoSpaceDE w:val="0"/>
                    <w:autoSpaceDN w:val="0"/>
                    <w:adjustRightInd w:val="0"/>
                    <w:spacing w:line="240" w:lineRule="auto"/>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5730" w:type="dxa"/>
                  <w:noWrap w:val="0"/>
                  <w:vAlign w:val="center"/>
                </w:tcPr>
                <w:p w14:paraId="6A332365">
                  <w:pPr>
                    <w:autoSpaceDE w:val="0"/>
                    <w:autoSpaceDN w:val="0"/>
                    <w:adjustRightInd w:val="0"/>
                    <w:spacing w:line="240" w:lineRule="auto"/>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严把建设项目环境准入关。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各级生态环境部门和行政审批部门要严格把关，对于不符合相关法律法规的，依法不予审批。</w:t>
                  </w:r>
                </w:p>
              </w:tc>
              <w:tc>
                <w:tcPr>
                  <w:tcW w:w="1937" w:type="dxa"/>
                  <w:noWrap w:val="0"/>
                  <w:vAlign w:val="center"/>
                </w:tcPr>
                <w:p w14:paraId="63B13A7D">
                  <w:pPr>
                    <w:autoSpaceDE w:val="0"/>
                    <w:autoSpaceDN w:val="0"/>
                    <w:adjustRightInd w:val="0"/>
                    <w:spacing w:line="240" w:lineRule="auto"/>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项目属于C2319包装装潢及其他印刷</w:t>
                  </w:r>
                  <w:r>
                    <w:rPr>
                      <w:rFonts w:hint="default" w:ascii="Times New Roman" w:hAnsi="Times New Roman" w:cs="Times New Roman"/>
                      <w:color w:val="auto"/>
                      <w:sz w:val="21"/>
                      <w:szCs w:val="21"/>
                      <w:highlight w:val="none"/>
                      <w:lang w:val="en-US" w:eastAsia="zh-CN"/>
                    </w:rPr>
                    <w:t>和</w:t>
                  </w:r>
                  <w:r>
                    <w:rPr>
                      <w:rFonts w:hint="default" w:ascii="Times New Roman" w:hAnsi="Times New Roman" w:cs="Times New Roman"/>
                      <w:color w:val="auto"/>
                      <w:sz w:val="21"/>
                      <w:szCs w:val="21"/>
                      <w:highlight w:val="none"/>
                    </w:rPr>
                    <w:t>C2929塑料零件及其他塑料制品制造，不属于石化、化工、焦化、有色金属冶炼、平板玻璃行业，项目符合国家产业政策要求、符合园区环境准入清单要求、符合规划环评要求。</w:t>
                  </w:r>
                </w:p>
              </w:tc>
              <w:tc>
                <w:tcPr>
                  <w:tcW w:w="675" w:type="dxa"/>
                  <w:noWrap w:val="0"/>
                  <w:vAlign w:val="center"/>
                </w:tcPr>
                <w:p w14:paraId="685DA5AA">
                  <w:pPr>
                    <w:autoSpaceDE w:val="0"/>
                    <w:autoSpaceDN w:val="0"/>
                    <w:adjustRightInd w:val="0"/>
                    <w:spacing w:line="240" w:lineRule="auto"/>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3947A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352" w:type="dxa"/>
                  <w:noWrap w:val="0"/>
                  <w:vAlign w:val="center"/>
                </w:tcPr>
                <w:p w14:paraId="071A445F">
                  <w:pPr>
                    <w:autoSpaceDE w:val="0"/>
                    <w:autoSpaceDN w:val="0"/>
                    <w:adjustRightInd w:val="0"/>
                    <w:spacing w:line="240" w:lineRule="auto"/>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5730" w:type="dxa"/>
                  <w:noWrap w:val="0"/>
                  <w:vAlign w:val="center"/>
                </w:tcPr>
                <w:p w14:paraId="2894289C">
                  <w:pPr>
                    <w:autoSpaceDE w:val="0"/>
                    <w:autoSpaceDN w:val="0"/>
                    <w:adjustRightInd w:val="0"/>
                    <w:spacing w:line="240" w:lineRule="auto"/>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落实区域削减要求。新建“两高”项目应按照《关于加强重点行业建设项目区域削减措施监督管理的通知》要求，依据区域环境质量改善目标，制定配套区域污染物削减方案，采取有效的污染物区域削减措施，腾出足够的环境容量。国家大气污染防治重点区域(以下</w:t>
                  </w:r>
                  <w:r>
                    <w:rPr>
                      <w:rFonts w:hint="eastAsia" w:ascii="Times New Roman" w:hAnsi="Times New Roman" w:cs="Times New Roman"/>
                      <w:color w:val="auto"/>
                      <w:sz w:val="21"/>
                      <w:szCs w:val="21"/>
                      <w:highlight w:val="none"/>
                      <w:lang w:val="en-US" w:eastAsia="zh-CN"/>
                    </w:rPr>
                    <w:t>简</w:t>
                  </w:r>
                  <w:r>
                    <w:rPr>
                      <w:rFonts w:hint="default" w:ascii="Times New Roman" w:hAnsi="Times New Roman" w:cs="Times New Roman"/>
                      <w:color w:val="auto"/>
                      <w:sz w:val="21"/>
                      <w:szCs w:val="21"/>
                      <w:highlight w:val="none"/>
                    </w:rPr>
                    <w:t>称重点区域)内新建耗煤项目还应严格按规定采取煤炭消费减量替代措施，不得使用高污染燃料作为煤炭减量替代措施。</w:t>
                  </w:r>
                </w:p>
              </w:tc>
              <w:tc>
                <w:tcPr>
                  <w:tcW w:w="1937" w:type="dxa"/>
                  <w:noWrap w:val="0"/>
                  <w:vAlign w:val="center"/>
                </w:tcPr>
                <w:p w14:paraId="518DEF38">
                  <w:pPr>
                    <w:autoSpaceDE w:val="0"/>
                    <w:autoSpaceDN w:val="0"/>
                    <w:adjustRightInd w:val="0"/>
                    <w:spacing w:line="240" w:lineRule="auto"/>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项目不属于“两高”项目，且项目不使用高污染燃料。</w:t>
                  </w:r>
                </w:p>
              </w:tc>
              <w:tc>
                <w:tcPr>
                  <w:tcW w:w="675" w:type="dxa"/>
                  <w:noWrap w:val="0"/>
                  <w:vAlign w:val="center"/>
                </w:tcPr>
                <w:p w14:paraId="408C68B9">
                  <w:pPr>
                    <w:autoSpaceDE w:val="0"/>
                    <w:autoSpaceDN w:val="0"/>
                    <w:adjustRightInd w:val="0"/>
                    <w:spacing w:line="240" w:lineRule="auto"/>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71C17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2" w:type="dxa"/>
                  <w:noWrap w:val="0"/>
                  <w:vAlign w:val="center"/>
                </w:tcPr>
                <w:p w14:paraId="10A7B385">
                  <w:pPr>
                    <w:autoSpaceDE w:val="0"/>
                    <w:autoSpaceDN w:val="0"/>
                    <w:adjustRightInd w:val="0"/>
                    <w:spacing w:line="240" w:lineRule="auto"/>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5730" w:type="dxa"/>
                  <w:noWrap w:val="0"/>
                  <w:vAlign w:val="center"/>
                </w:tcPr>
                <w:p w14:paraId="3C0D3A5E">
                  <w:pPr>
                    <w:autoSpaceDE w:val="0"/>
                    <w:autoSpaceDN w:val="0"/>
                    <w:adjustRightInd w:val="0"/>
                    <w:spacing w:line="240" w:lineRule="auto"/>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提升清洁生产和污染防治水平。新建、扩建“两高”项目应采用先进适用的工艺技术和装备，单位产品物耗、能耗、水耗等达到清洁生产先进水平，依法制定并严格落实防治土壤与地下水污染的措施。国家或地方已出台超低排放要求的“两高”行业建设项目应满足超低排放要求。鼓励使用清洁燃料，重点区域建设项目原则上不新建燃煤自备锅炉。鼓励重点区域高炉-转炉长流程钢铁企业转型为电炉短流程企业。大宗物料优先采用铁路、管道或水路运输，短途接驳优先使用新能源车辆运输。</w:t>
                  </w:r>
                </w:p>
              </w:tc>
              <w:tc>
                <w:tcPr>
                  <w:tcW w:w="1937" w:type="dxa"/>
                  <w:noWrap w:val="0"/>
                  <w:vAlign w:val="center"/>
                </w:tcPr>
                <w:p w14:paraId="3185E0A9">
                  <w:pPr>
                    <w:autoSpaceDE w:val="0"/>
                    <w:autoSpaceDN w:val="0"/>
                    <w:adjustRightInd w:val="0"/>
                    <w:spacing w:line="240" w:lineRule="auto"/>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项目不属于“两高”项目，清洁生产水平达到国内先进水平；项目根据相关法规政策，采取分区防渗等地下水和土壤污染防治措施。项目不设燃煤锅炉。</w:t>
                  </w:r>
                </w:p>
              </w:tc>
              <w:tc>
                <w:tcPr>
                  <w:tcW w:w="675" w:type="dxa"/>
                  <w:noWrap w:val="0"/>
                  <w:vAlign w:val="center"/>
                </w:tcPr>
                <w:p w14:paraId="4BA6F212">
                  <w:pPr>
                    <w:autoSpaceDE w:val="0"/>
                    <w:autoSpaceDN w:val="0"/>
                    <w:adjustRightInd w:val="0"/>
                    <w:spacing w:line="240" w:lineRule="auto"/>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bl>
          <w:p w14:paraId="09AB425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highlight w:val="none"/>
              </w:rPr>
              <w:t>由上表可知，本项目的建设符合环环评〔2021〕45号中相关要求。</w:t>
            </w:r>
          </w:p>
          <w:p w14:paraId="58108286">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cs="Times New Roman"/>
                <w:color w:val="auto"/>
                <w:sz w:val="24"/>
                <w:szCs w:val="24"/>
              </w:rPr>
            </w:pPr>
            <w:r>
              <w:rPr>
                <w:rFonts w:hint="default" w:ascii="Times New Roman" w:hAnsi="Times New Roman" w:eastAsia="宋体" w:cs="Times New Roman"/>
                <w:b/>
                <w:bCs/>
                <w:color w:val="auto"/>
                <w:sz w:val="24"/>
                <w:szCs w:val="24"/>
                <w:highlight w:val="none"/>
              </w:rPr>
              <w:t>1.</w:t>
            </w:r>
            <w:r>
              <w:rPr>
                <w:rFonts w:hint="default" w:ascii="Times New Roman" w:hAnsi="Times New Roman" w:eastAsia="宋体" w:cs="Times New Roman"/>
                <w:b/>
                <w:bCs/>
                <w:color w:val="auto"/>
                <w:sz w:val="24"/>
                <w:szCs w:val="24"/>
                <w:highlight w:val="none"/>
                <w:lang w:val="en-US" w:eastAsia="zh-CN"/>
              </w:rPr>
              <w:t>2.4与《四川省、重庆市长江经济带发展负面清单实施细则（试行，2022年版）》（川长江办〔2022〕17号）的符合性分析</w:t>
            </w:r>
          </w:p>
          <w:p w14:paraId="7B047192">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项目与《四川省、重庆市长江经济带发展负面清单实施细则（试行，2022年版）》（川长江办〔2022〕17号）的符合性分析，见表1.2-</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w:t>
            </w:r>
          </w:p>
          <w:p w14:paraId="23F98220">
            <w:pPr>
              <w:autoSpaceDE w:val="0"/>
              <w:autoSpaceDN w:val="0"/>
              <w:adjustRightInd w:val="0"/>
              <w:snapToGrid w:val="0"/>
              <w:spacing w:line="240" w:lineRule="auto"/>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表1.2-</w:t>
            </w:r>
            <w:r>
              <w:rPr>
                <w:rFonts w:hint="default" w:ascii="Times New Roman" w:hAnsi="Times New Roman" w:cs="Times New Roman"/>
                <w:b/>
                <w:bCs/>
                <w:color w:val="auto"/>
                <w:sz w:val="24"/>
                <w:lang w:val="en-US" w:eastAsia="zh-CN"/>
              </w:rPr>
              <w:t>5</w:t>
            </w:r>
            <w:r>
              <w:rPr>
                <w:rFonts w:hint="default" w:ascii="Times New Roman" w:hAnsi="Times New Roman" w:cs="Times New Roman"/>
                <w:b/>
                <w:bCs/>
                <w:color w:val="auto"/>
                <w:sz w:val="24"/>
              </w:rPr>
              <w:t xml:space="preserve">  项目与川长江办〔2022〕17号符合性分析</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58"/>
              <w:gridCol w:w="5766"/>
              <w:gridCol w:w="1585"/>
              <w:gridCol w:w="691"/>
            </w:tblGrid>
            <w:tr w14:paraId="71320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24" w:type="pct"/>
                  <w:tcBorders>
                    <w:tl2br w:val="nil"/>
                    <w:tr2bl w:val="nil"/>
                  </w:tcBorders>
                  <w:noWrap w:val="0"/>
                  <w:vAlign w:val="center"/>
                </w:tcPr>
                <w:p w14:paraId="0BA21C52">
                  <w:pPr>
                    <w:pStyle w:val="14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3352" w:type="pct"/>
                  <w:tcBorders>
                    <w:tl2br w:val="nil"/>
                    <w:tr2bl w:val="nil"/>
                  </w:tcBorders>
                  <w:noWrap w:val="0"/>
                  <w:vAlign w:val="center"/>
                </w:tcPr>
                <w:p w14:paraId="44CA184B">
                  <w:pPr>
                    <w:pStyle w:val="14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color w:val="auto"/>
                    </w:rPr>
                  </w:pPr>
                  <w:r>
                    <w:rPr>
                      <w:rFonts w:hint="default" w:ascii="Times New Roman" w:hAnsi="Times New Roman" w:cs="Times New Roman"/>
                      <w:b/>
                      <w:bCs/>
                      <w:color w:val="auto"/>
                    </w:rPr>
                    <w:t>相关要求</w:t>
                  </w:r>
                </w:p>
              </w:tc>
              <w:tc>
                <w:tcPr>
                  <w:tcW w:w="921" w:type="pct"/>
                  <w:tcBorders>
                    <w:tl2br w:val="nil"/>
                    <w:tr2bl w:val="nil"/>
                  </w:tcBorders>
                  <w:noWrap w:val="0"/>
                  <w:vAlign w:val="center"/>
                </w:tcPr>
                <w:p w14:paraId="315FAFFF">
                  <w:pPr>
                    <w:pStyle w:val="14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bCs/>
                      <w:color w:val="auto"/>
                    </w:rPr>
                  </w:pPr>
                  <w:r>
                    <w:rPr>
                      <w:rFonts w:hint="default" w:ascii="Times New Roman" w:hAnsi="Times New Roman" w:cs="Times New Roman"/>
                      <w:b/>
                      <w:bCs/>
                      <w:color w:val="auto"/>
                    </w:rPr>
                    <w:t>项目情况</w:t>
                  </w:r>
                </w:p>
              </w:tc>
              <w:tc>
                <w:tcPr>
                  <w:tcW w:w="401" w:type="pct"/>
                  <w:tcBorders>
                    <w:tl2br w:val="nil"/>
                    <w:tr2bl w:val="nil"/>
                  </w:tcBorders>
                  <w:noWrap w:val="0"/>
                  <w:vAlign w:val="center"/>
                </w:tcPr>
                <w:p w14:paraId="60FA9DF5">
                  <w:pPr>
                    <w:pStyle w:val="14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符合性</w:t>
                  </w:r>
                </w:p>
              </w:tc>
            </w:tr>
            <w:tr w14:paraId="13CF0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24" w:type="pct"/>
                  <w:tcBorders>
                    <w:tl2br w:val="nil"/>
                    <w:tr2bl w:val="nil"/>
                  </w:tcBorders>
                  <w:noWrap w:val="0"/>
                  <w:vAlign w:val="center"/>
                </w:tcPr>
                <w:p w14:paraId="1C34CFCC">
                  <w:pPr>
                    <w:pStyle w:val="14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1</w:t>
                  </w:r>
                </w:p>
              </w:tc>
              <w:tc>
                <w:tcPr>
                  <w:tcW w:w="3352" w:type="pct"/>
                  <w:tcBorders>
                    <w:tl2br w:val="nil"/>
                    <w:tr2bl w:val="nil"/>
                  </w:tcBorders>
                  <w:noWrap w:val="0"/>
                  <w:vAlign w:val="center"/>
                </w:tcPr>
                <w:p w14:paraId="3BE8B320">
                  <w:pPr>
                    <w:pStyle w:val="144"/>
                    <w:keepNext w:val="0"/>
                    <w:keepLines w:val="0"/>
                    <w:pageBreakBefore w:val="0"/>
                    <w:widowControl w:val="0"/>
                    <w:kinsoku/>
                    <w:wordWrap/>
                    <w:overflowPunct/>
                    <w:topLinePunct w:val="0"/>
                    <w:autoSpaceDE/>
                    <w:autoSpaceDN/>
                    <w:bidi w:val="0"/>
                    <w:adjustRightInd w:val="0"/>
                    <w:snapToGrid w:val="0"/>
                    <w:spacing w:line="240" w:lineRule="auto"/>
                    <w:ind w:left="105" w:leftChars="50"/>
                    <w:jc w:val="both"/>
                    <w:textAlignment w:val="auto"/>
                    <w:rPr>
                      <w:rFonts w:hint="default" w:ascii="Times New Roman" w:hAnsi="Times New Roman" w:cs="Times New Roman"/>
                      <w:color w:val="auto"/>
                    </w:rPr>
                  </w:pPr>
                  <w:r>
                    <w:rPr>
                      <w:rFonts w:hint="default" w:ascii="Times New Roman" w:hAnsi="Times New Roman" w:cs="Times New Roman"/>
                      <w:color w:val="auto"/>
                    </w:rPr>
                    <w:t>禁止新建、改建和扩建不符合全国港口布局规划，以及《四川省内河水运发展规划》《泸州一宜宾一乐山港口群布局规划》等省级港口布局规划及市级港口总体规划的码头项目。禁止新建、改建和扩建不符合《长江干线过江通道布局规划（2020</w:t>
                  </w:r>
                  <w:r>
                    <w:rPr>
                      <w:rFonts w:hint="eastAsia" w:ascii="Times New Roman" w:hAnsi="Times New Roman" w:cs="Times New Roman"/>
                      <w:color w:val="auto"/>
                      <w:lang w:eastAsia="zh-CN"/>
                    </w:rPr>
                    <w:t>—</w:t>
                  </w:r>
                  <w:r>
                    <w:rPr>
                      <w:rFonts w:hint="default" w:ascii="Times New Roman" w:hAnsi="Times New Roman" w:cs="Times New Roman"/>
                      <w:color w:val="auto"/>
                    </w:rPr>
                    <w:t>2035年）》的过长江通道项目（含桥梁、隧道），国家发展改革委同意过长江通道线位调整的除外。</w:t>
                  </w:r>
                </w:p>
              </w:tc>
              <w:tc>
                <w:tcPr>
                  <w:tcW w:w="921" w:type="pct"/>
                  <w:tcBorders>
                    <w:tl2br w:val="nil"/>
                    <w:tr2bl w:val="nil"/>
                  </w:tcBorders>
                  <w:noWrap w:val="0"/>
                  <w:vAlign w:val="center"/>
                </w:tcPr>
                <w:p w14:paraId="796EA585">
                  <w:pPr>
                    <w:pStyle w:val="144"/>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rPr>
                  </w:pPr>
                  <w:r>
                    <w:rPr>
                      <w:rFonts w:hint="default" w:ascii="Times New Roman" w:hAnsi="Times New Roman" w:cs="Times New Roman"/>
                      <w:color w:val="auto"/>
                    </w:rPr>
                    <w:t>项目不属于码头、过江通道项目。</w:t>
                  </w:r>
                </w:p>
              </w:tc>
              <w:tc>
                <w:tcPr>
                  <w:tcW w:w="401" w:type="pct"/>
                  <w:tcBorders>
                    <w:tl2br w:val="nil"/>
                    <w:tr2bl w:val="nil"/>
                  </w:tcBorders>
                  <w:noWrap w:val="0"/>
                  <w:vAlign w:val="center"/>
                </w:tcPr>
                <w:p w14:paraId="1DE5EBE2">
                  <w:pPr>
                    <w:pStyle w:val="14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szCs w:val="21"/>
                      <w:highlight w:val="none"/>
                    </w:rPr>
                    <w:t>符合</w:t>
                  </w:r>
                </w:p>
              </w:tc>
            </w:tr>
            <w:tr w14:paraId="32B1C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24" w:type="pct"/>
                  <w:tcBorders>
                    <w:tl2br w:val="nil"/>
                    <w:tr2bl w:val="nil"/>
                  </w:tcBorders>
                  <w:noWrap w:val="0"/>
                  <w:vAlign w:val="center"/>
                </w:tcPr>
                <w:p w14:paraId="31BB34C1">
                  <w:pPr>
                    <w:pStyle w:val="14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2</w:t>
                  </w:r>
                </w:p>
              </w:tc>
              <w:tc>
                <w:tcPr>
                  <w:tcW w:w="3352" w:type="pct"/>
                  <w:tcBorders>
                    <w:tl2br w:val="nil"/>
                    <w:tr2bl w:val="nil"/>
                  </w:tcBorders>
                  <w:noWrap w:val="0"/>
                  <w:vAlign w:val="center"/>
                </w:tcPr>
                <w:p w14:paraId="08147736">
                  <w:pPr>
                    <w:pStyle w:val="144"/>
                    <w:keepNext w:val="0"/>
                    <w:keepLines w:val="0"/>
                    <w:pageBreakBefore w:val="0"/>
                    <w:widowControl w:val="0"/>
                    <w:kinsoku/>
                    <w:wordWrap/>
                    <w:overflowPunct/>
                    <w:topLinePunct w:val="0"/>
                    <w:autoSpaceDE/>
                    <w:autoSpaceDN/>
                    <w:bidi w:val="0"/>
                    <w:adjustRightInd w:val="0"/>
                    <w:snapToGrid w:val="0"/>
                    <w:spacing w:line="240" w:lineRule="auto"/>
                    <w:ind w:left="105" w:leftChars="50"/>
                    <w:jc w:val="both"/>
                    <w:textAlignment w:val="auto"/>
                    <w:rPr>
                      <w:rFonts w:hint="default" w:ascii="Times New Roman" w:hAnsi="Times New Roman" w:cs="Times New Roman"/>
                      <w:color w:val="auto"/>
                    </w:rPr>
                  </w:pPr>
                  <w:r>
                    <w:rPr>
                      <w:rFonts w:hint="default" w:ascii="Times New Roman" w:hAnsi="Times New Roman" w:cs="Times New Roman"/>
                      <w:color w:val="auto"/>
                    </w:rPr>
                    <w:t>禁止在自然保护区核心区、缓冲区的岸线和河段范围内投资建设旅游和生产经营项目。自然保护区的内部未分区的，依照核心区和缓冲区的规定管控。禁止违反风景名胜区规划，在风景名胜区内设立各类开发区。禁止在风景名胜区核心景区的岸线和河段范围内建设宾馆、招待所、培训中心、疗养院以及与风景名胜资源保护无关的项目。</w:t>
                  </w:r>
                </w:p>
              </w:tc>
              <w:tc>
                <w:tcPr>
                  <w:tcW w:w="921" w:type="pct"/>
                  <w:tcBorders>
                    <w:tl2br w:val="nil"/>
                    <w:tr2bl w:val="nil"/>
                  </w:tcBorders>
                  <w:noWrap w:val="0"/>
                  <w:vAlign w:val="center"/>
                </w:tcPr>
                <w:p w14:paraId="6A2E6048">
                  <w:pPr>
                    <w:pStyle w:val="144"/>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rPr>
                  </w:pPr>
                  <w:r>
                    <w:rPr>
                      <w:rFonts w:hint="default" w:ascii="Times New Roman" w:hAnsi="Times New Roman" w:cs="Times New Roman"/>
                      <w:color w:val="auto"/>
                    </w:rPr>
                    <w:t>项目所在区域不在各类保护区范围内，不在风景名胜区范围内。</w:t>
                  </w:r>
                </w:p>
              </w:tc>
              <w:tc>
                <w:tcPr>
                  <w:tcW w:w="401" w:type="pct"/>
                  <w:tcBorders>
                    <w:tl2br w:val="nil"/>
                    <w:tr2bl w:val="nil"/>
                  </w:tcBorders>
                  <w:noWrap w:val="0"/>
                  <w:vAlign w:val="center"/>
                </w:tcPr>
                <w:p w14:paraId="1E9E0821">
                  <w:pPr>
                    <w:pStyle w:val="14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szCs w:val="21"/>
                      <w:highlight w:val="none"/>
                    </w:rPr>
                    <w:t>符合</w:t>
                  </w:r>
                </w:p>
              </w:tc>
            </w:tr>
            <w:tr w14:paraId="082DE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24" w:type="pct"/>
                  <w:tcBorders>
                    <w:tl2br w:val="nil"/>
                    <w:tr2bl w:val="nil"/>
                  </w:tcBorders>
                  <w:noWrap w:val="0"/>
                  <w:vAlign w:val="center"/>
                </w:tcPr>
                <w:p w14:paraId="6BB0324E">
                  <w:pPr>
                    <w:pStyle w:val="14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3</w:t>
                  </w:r>
                  <w:r>
                    <w:rPr>
                      <w:rFonts w:hint="default" w:ascii="Times New Roman" w:hAnsi="Times New Roman" w:cs="Times New Roman"/>
                      <w:color w:val="auto"/>
                    </w:rPr>
                    <w:cr/>
                  </w:r>
                </w:p>
              </w:tc>
              <w:tc>
                <w:tcPr>
                  <w:tcW w:w="3352" w:type="pct"/>
                  <w:tcBorders>
                    <w:tl2br w:val="nil"/>
                    <w:tr2bl w:val="nil"/>
                  </w:tcBorders>
                  <w:noWrap w:val="0"/>
                  <w:vAlign w:val="center"/>
                </w:tcPr>
                <w:p w14:paraId="6CDD6656">
                  <w:pPr>
                    <w:pStyle w:val="144"/>
                    <w:keepNext w:val="0"/>
                    <w:keepLines w:val="0"/>
                    <w:pageBreakBefore w:val="0"/>
                    <w:widowControl w:val="0"/>
                    <w:kinsoku/>
                    <w:wordWrap/>
                    <w:overflowPunct/>
                    <w:topLinePunct w:val="0"/>
                    <w:autoSpaceDE/>
                    <w:autoSpaceDN/>
                    <w:bidi w:val="0"/>
                    <w:adjustRightInd w:val="0"/>
                    <w:snapToGrid w:val="0"/>
                    <w:spacing w:line="240" w:lineRule="auto"/>
                    <w:ind w:left="105" w:leftChars="50"/>
                    <w:jc w:val="left"/>
                    <w:textAlignment w:val="auto"/>
                    <w:rPr>
                      <w:rFonts w:hint="default" w:ascii="Times New Roman" w:hAnsi="Times New Roman" w:cs="Times New Roman"/>
                      <w:color w:val="auto"/>
                    </w:rPr>
                  </w:pPr>
                  <w:r>
                    <w:rPr>
                      <w:rFonts w:hint="default" w:ascii="Times New Roman" w:hAnsi="Times New Roman" w:cs="Times New Roman"/>
                      <w:color w:val="auto"/>
                    </w:rPr>
                    <w:t>禁止在饮用水水源准保护区的岸线和河段范围内新建、扩建对水体污染严重的建设项目，禁止改建增加排污量的建设项目。饮用水水源二级保护区的岸线和河段范围内，除遵守准保护区规定外，禁止新建、改建、扩建排放污染物的投资建设项目；禁止从事对水体有污染的水产养殖等活动。饮用水水源一级保护区的岸线和河段范围内，</w:t>
                  </w:r>
                  <w:r>
                    <w:rPr>
                      <w:rFonts w:hint="default" w:ascii="Times New Roman" w:hAnsi="Times New Roman" w:cs="Times New Roman"/>
                      <w:color w:val="auto"/>
                    </w:rPr>
                    <w:cr/>
                  </w:r>
                  <w:r>
                    <w:rPr>
                      <w:rFonts w:hint="default" w:ascii="Times New Roman" w:hAnsi="Times New Roman" w:cs="Times New Roman"/>
                      <w:color w:val="auto"/>
                    </w:rPr>
                    <w:t>遵守二级保护区规定外，禁止新建、改建、扩建与供水设施和保护水源无关的项目，以及网箱养殖、畜禽养殖、旅游等可能污染饮用水水体的投资建设项目。</w:t>
                  </w:r>
                </w:p>
              </w:tc>
              <w:tc>
                <w:tcPr>
                  <w:tcW w:w="921" w:type="pct"/>
                  <w:tcBorders>
                    <w:tl2br w:val="nil"/>
                    <w:tr2bl w:val="nil"/>
                  </w:tcBorders>
                  <w:noWrap w:val="0"/>
                  <w:vAlign w:val="center"/>
                </w:tcPr>
                <w:p w14:paraId="2D4B8FD8">
                  <w:pPr>
                    <w:pStyle w:val="144"/>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rPr>
                  </w:pPr>
                  <w:r>
                    <w:rPr>
                      <w:rFonts w:hint="default" w:ascii="Times New Roman" w:hAnsi="Times New Roman" w:cs="Times New Roman"/>
                      <w:color w:val="auto"/>
                    </w:rPr>
                    <w:t>项目所在区域不涉及划定的保护区。</w:t>
                  </w:r>
                </w:p>
              </w:tc>
              <w:tc>
                <w:tcPr>
                  <w:tcW w:w="401" w:type="pct"/>
                  <w:tcBorders>
                    <w:tl2br w:val="nil"/>
                    <w:tr2bl w:val="nil"/>
                  </w:tcBorders>
                  <w:noWrap w:val="0"/>
                  <w:vAlign w:val="center"/>
                </w:tcPr>
                <w:p w14:paraId="033BF437">
                  <w:pPr>
                    <w:pStyle w:val="14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szCs w:val="21"/>
                      <w:highlight w:val="none"/>
                    </w:rPr>
                    <w:t>符合</w:t>
                  </w:r>
                </w:p>
              </w:tc>
            </w:tr>
            <w:tr w14:paraId="64388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24" w:type="pct"/>
                  <w:tcBorders>
                    <w:tl2br w:val="nil"/>
                    <w:tr2bl w:val="nil"/>
                  </w:tcBorders>
                  <w:noWrap w:val="0"/>
                  <w:vAlign w:val="center"/>
                </w:tcPr>
                <w:p w14:paraId="556D457C">
                  <w:pPr>
                    <w:pStyle w:val="14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4</w:t>
                  </w:r>
                </w:p>
              </w:tc>
              <w:tc>
                <w:tcPr>
                  <w:tcW w:w="3352" w:type="pct"/>
                  <w:tcBorders>
                    <w:tl2br w:val="nil"/>
                    <w:tr2bl w:val="nil"/>
                  </w:tcBorders>
                  <w:noWrap w:val="0"/>
                  <w:vAlign w:val="center"/>
                </w:tcPr>
                <w:p w14:paraId="03F1E465">
                  <w:pPr>
                    <w:pStyle w:val="144"/>
                    <w:keepNext w:val="0"/>
                    <w:keepLines w:val="0"/>
                    <w:pageBreakBefore w:val="0"/>
                    <w:widowControl w:val="0"/>
                    <w:kinsoku/>
                    <w:wordWrap/>
                    <w:overflowPunct/>
                    <w:topLinePunct w:val="0"/>
                    <w:autoSpaceDE/>
                    <w:autoSpaceDN/>
                    <w:bidi w:val="0"/>
                    <w:adjustRightInd w:val="0"/>
                    <w:snapToGrid w:val="0"/>
                    <w:spacing w:line="240" w:lineRule="auto"/>
                    <w:ind w:left="105" w:leftChars="50"/>
                    <w:jc w:val="left"/>
                    <w:textAlignment w:val="auto"/>
                    <w:rPr>
                      <w:rFonts w:hint="default" w:ascii="Times New Roman" w:hAnsi="Times New Roman" w:cs="Times New Roman"/>
                      <w:color w:val="auto"/>
                    </w:rPr>
                  </w:pPr>
                  <w:r>
                    <w:rPr>
                      <w:rFonts w:hint="default" w:ascii="Times New Roman" w:hAnsi="Times New Roman" w:cs="Times New Roman"/>
                      <w:color w:val="auto"/>
                    </w:rPr>
                    <w:t>禁止在水产种质资源保护区岸线和河段范围内新建围湖造田、围湖造地或挖沙采石等投资建设项目。禁止在国家湿地公园的</w:t>
                  </w:r>
                  <w:r>
                    <w:rPr>
                      <w:rFonts w:hint="eastAsia" w:ascii="Times New Roman" w:hAnsi="Times New Roman" w:cs="Times New Roman"/>
                      <w:color w:val="auto"/>
                      <w:lang w:val="en-US" w:eastAsia="zh-CN"/>
                    </w:rPr>
                    <w:t>岸线</w:t>
                  </w:r>
                  <w:r>
                    <w:rPr>
                      <w:rFonts w:hint="default" w:ascii="Times New Roman" w:hAnsi="Times New Roman" w:cs="Times New Roman"/>
                      <w:color w:val="auto"/>
                    </w:rPr>
                    <w:t>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w:t>
                  </w:r>
                  <w:r>
                    <w:rPr>
                      <w:rFonts w:hint="eastAsia" w:ascii="Times New Roman" w:hAnsi="Times New Roman" w:cs="Times New Roman"/>
                      <w:color w:val="auto"/>
                      <w:lang w:val="en-US" w:eastAsia="zh-CN"/>
                    </w:rPr>
                    <w:t>洄</w:t>
                  </w:r>
                  <w:r>
                    <w:rPr>
                      <w:rFonts w:hint="default" w:ascii="Times New Roman" w:hAnsi="Times New Roman" w:cs="Times New Roman"/>
                      <w:color w:val="auto"/>
                    </w:rPr>
                    <w:t>游通道。</w:t>
                  </w:r>
                </w:p>
              </w:tc>
              <w:tc>
                <w:tcPr>
                  <w:tcW w:w="921" w:type="pct"/>
                  <w:tcBorders>
                    <w:tl2br w:val="nil"/>
                    <w:tr2bl w:val="nil"/>
                  </w:tcBorders>
                  <w:noWrap w:val="0"/>
                  <w:vAlign w:val="center"/>
                </w:tcPr>
                <w:p w14:paraId="1FBD2E9F">
                  <w:pPr>
                    <w:pStyle w:val="14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rPr>
                  </w:pPr>
                  <w:r>
                    <w:rPr>
                      <w:rFonts w:hint="default" w:ascii="Times New Roman" w:hAnsi="Times New Roman" w:cs="Times New Roman"/>
                      <w:color w:val="auto"/>
                    </w:rPr>
                    <w:t>项目不属于限制的行业，所在区域不涉及划定的保护区。</w:t>
                  </w:r>
                </w:p>
              </w:tc>
              <w:tc>
                <w:tcPr>
                  <w:tcW w:w="401" w:type="pct"/>
                  <w:tcBorders>
                    <w:tl2br w:val="nil"/>
                    <w:tr2bl w:val="nil"/>
                  </w:tcBorders>
                  <w:noWrap w:val="0"/>
                  <w:vAlign w:val="center"/>
                </w:tcPr>
                <w:p w14:paraId="594C93A9">
                  <w:pPr>
                    <w:pStyle w:val="14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szCs w:val="21"/>
                      <w:highlight w:val="none"/>
                    </w:rPr>
                    <w:t>符合</w:t>
                  </w:r>
                </w:p>
              </w:tc>
            </w:tr>
            <w:tr w14:paraId="526EA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24" w:type="pct"/>
                  <w:tcBorders>
                    <w:tl2br w:val="nil"/>
                    <w:tr2bl w:val="nil"/>
                  </w:tcBorders>
                  <w:noWrap w:val="0"/>
                  <w:vAlign w:val="center"/>
                </w:tcPr>
                <w:p w14:paraId="79C3C414">
                  <w:pPr>
                    <w:pStyle w:val="14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5</w:t>
                  </w:r>
                </w:p>
              </w:tc>
              <w:tc>
                <w:tcPr>
                  <w:tcW w:w="3352" w:type="pct"/>
                  <w:tcBorders>
                    <w:tl2br w:val="nil"/>
                    <w:tr2bl w:val="nil"/>
                  </w:tcBorders>
                  <w:noWrap w:val="0"/>
                  <w:vAlign w:val="center"/>
                </w:tcPr>
                <w:p w14:paraId="7D9D7146">
                  <w:pPr>
                    <w:pStyle w:val="144"/>
                    <w:keepNext w:val="0"/>
                    <w:keepLines w:val="0"/>
                    <w:pageBreakBefore w:val="0"/>
                    <w:widowControl w:val="0"/>
                    <w:kinsoku/>
                    <w:wordWrap/>
                    <w:overflowPunct/>
                    <w:topLinePunct w:val="0"/>
                    <w:autoSpaceDE/>
                    <w:autoSpaceDN/>
                    <w:bidi w:val="0"/>
                    <w:adjustRightInd w:val="0"/>
                    <w:snapToGrid w:val="0"/>
                    <w:spacing w:line="240" w:lineRule="auto"/>
                    <w:ind w:left="105" w:leftChars="50"/>
                    <w:jc w:val="left"/>
                    <w:textAlignment w:val="auto"/>
                    <w:rPr>
                      <w:rFonts w:hint="default" w:ascii="Times New Roman" w:hAnsi="Times New Roman" w:cs="Times New Roman"/>
                      <w:color w:val="auto"/>
                    </w:rPr>
                  </w:pPr>
                  <w:r>
                    <w:rPr>
                      <w:rFonts w:hint="default" w:ascii="Times New Roman" w:hAnsi="Times New Roman" w:cs="Times New Roman"/>
                      <w:color w:val="auto"/>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921" w:type="pct"/>
                  <w:tcBorders>
                    <w:tl2br w:val="nil"/>
                    <w:tr2bl w:val="nil"/>
                  </w:tcBorders>
                  <w:noWrap w:val="0"/>
                  <w:vAlign w:val="center"/>
                </w:tcPr>
                <w:p w14:paraId="78357141">
                  <w:pPr>
                    <w:pStyle w:val="14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rPr>
                    <w:t>项目不在禁建区内，</w:t>
                  </w:r>
                  <w:r>
                    <w:rPr>
                      <w:rFonts w:hint="default" w:ascii="Times New Roman" w:hAnsi="Times New Roman" w:cs="Times New Roman"/>
                      <w:color w:val="auto"/>
                    </w:rPr>
                    <w:cr/>
                  </w:r>
                  <w:r>
                    <w:rPr>
                      <w:rFonts w:hint="default" w:ascii="Times New Roman" w:hAnsi="Times New Roman" w:cs="Times New Roman"/>
                      <w:color w:val="auto"/>
                    </w:rPr>
                    <w:t>不属于禁止建设的项目</w:t>
                  </w:r>
                  <w:r>
                    <w:rPr>
                      <w:rFonts w:hint="default" w:ascii="Times New Roman" w:hAnsi="Times New Roman" w:cs="Times New Roman"/>
                      <w:color w:val="auto"/>
                      <w:lang w:eastAsia="zh-CN"/>
                    </w:rPr>
                    <w:t>。</w:t>
                  </w:r>
                </w:p>
              </w:tc>
              <w:tc>
                <w:tcPr>
                  <w:tcW w:w="401" w:type="pct"/>
                  <w:tcBorders>
                    <w:tl2br w:val="nil"/>
                    <w:tr2bl w:val="nil"/>
                  </w:tcBorders>
                  <w:noWrap w:val="0"/>
                  <w:vAlign w:val="center"/>
                </w:tcPr>
                <w:p w14:paraId="4B516E02">
                  <w:pPr>
                    <w:pStyle w:val="14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szCs w:val="21"/>
                      <w:highlight w:val="none"/>
                    </w:rPr>
                    <w:t>符合</w:t>
                  </w:r>
                </w:p>
              </w:tc>
            </w:tr>
            <w:tr w14:paraId="63AF9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24" w:type="pct"/>
                  <w:tcBorders>
                    <w:tl2br w:val="nil"/>
                    <w:tr2bl w:val="nil"/>
                  </w:tcBorders>
                  <w:noWrap w:val="0"/>
                  <w:vAlign w:val="center"/>
                </w:tcPr>
                <w:p w14:paraId="3BF5A0E5">
                  <w:pPr>
                    <w:pStyle w:val="14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6</w:t>
                  </w:r>
                </w:p>
              </w:tc>
              <w:tc>
                <w:tcPr>
                  <w:tcW w:w="3352" w:type="pct"/>
                  <w:tcBorders>
                    <w:tl2br w:val="nil"/>
                    <w:tr2bl w:val="nil"/>
                  </w:tcBorders>
                  <w:noWrap w:val="0"/>
                  <w:vAlign w:val="center"/>
                </w:tcPr>
                <w:p w14:paraId="4D83B0BD">
                  <w:pPr>
                    <w:pStyle w:val="144"/>
                    <w:keepNext w:val="0"/>
                    <w:keepLines w:val="0"/>
                    <w:pageBreakBefore w:val="0"/>
                    <w:widowControl w:val="0"/>
                    <w:kinsoku/>
                    <w:wordWrap/>
                    <w:overflowPunct/>
                    <w:topLinePunct w:val="0"/>
                    <w:autoSpaceDE/>
                    <w:autoSpaceDN/>
                    <w:bidi w:val="0"/>
                    <w:adjustRightInd w:val="0"/>
                    <w:snapToGrid w:val="0"/>
                    <w:spacing w:line="240" w:lineRule="auto"/>
                    <w:ind w:left="105" w:leftChars="50"/>
                    <w:jc w:val="left"/>
                    <w:textAlignment w:val="auto"/>
                    <w:rPr>
                      <w:rFonts w:hint="default" w:ascii="Times New Roman" w:hAnsi="Times New Roman" w:cs="Times New Roman"/>
                      <w:color w:val="auto"/>
                    </w:rPr>
                  </w:pPr>
                  <w:r>
                    <w:rPr>
                      <w:rFonts w:hint="default" w:ascii="Times New Roman" w:hAnsi="Times New Roman" w:cs="Times New Roman"/>
                      <w:color w:val="auto"/>
                    </w:rPr>
                    <w:t>禁止在长江流域江河、湖泊新设、改设或者扩大排污口，经有管辖权的生态环境主管部门或者长江流域生态环境监督管理机构同意的除外。</w:t>
                  </w:r>
                </w:p>
              </w:tc>
              <w:tc>
                <w:tcPr>
                  <w:tcW w:w="921" w:type="pct"/>
                  <w:tcBorders>
                    <w:tl2br w:val="nil"/>
                    <w:tr2bl w:val="nil"/>
                  </w:tcBorders>
                  <w:noWrap w:val="0"/>
                  <w:vAlign w:val="center"/>
                </w:tcPr>
                <w:p w14:paraId="01078471">
                  <w:pPr>
                    <w:pStyle w:val="144"/>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rPr>
                  </w:pPr>
                  <w:r>
                    <w:rPr>
                      <w:rFonts w:hint="default" w:ascii="Times New Roman" w:hAnsi="Times New Roman" w:cs="Times New Roman"/>
                      <w:color w:val="auto"/>
                    </w:rPr>
                    <w:t>项目</w:t>
                  </w:r>
                  <w:r>
                    <w:rPr>
                      <w:rFonts w:hint="default" w:ascii="Times New Roman" w:hAnsi="Times New Roman" w:cs="Times New Roman"/>
                      <w:color w:val="auto"/>
                      <w:lang w:val="en-US" w:eastAsia="zh-CN"/>
                    </w:rPr>
                    <w:t>不涉及排污口</w:t>
                  </w:r>
                  <w:r>
                    <w:rPr>
                      <w:rFonts w:hint="default" w:ascii="Times New Roman" w:hAnsi="Times New Roman" w:cs="Times New Roman"/>
                      <w:color w:val="auto"/>
                    </w:rPr>
                    <w:t>。</w:t>
                  </w:r>
                </w:p>
              </w:tc>
              <w:tc>
                <w:tcPr>
                  <w:tcW w:w="401" w:type="pct"/>
                  <w:tcBorders>
                    <w:tl2br w:val="nil"/>
                    <w:tr2bl w:val="nil"/>
                  </w:tcBorders>
                  <w:noWrap w:val="0"/>
                  <w:vAlign w:val="center"/>
                </w:tcPr>
                <w:p w14:paraId="6A81E8B6">
                  <w:pPr>
                    <w:pStyle w:val="14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szCs w:val="21"/>
                      <w:highlight w:val="none"/>
                    </w:rPr>
                    <w:t>符合</w:t>
                  </w:r>
                </w:p>
              </w:tc>
            </w:tr>
            <w:tr w14:paraId="1E828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24" w:type="pct"/>
                  <w:tcBorders>
                    <w:tl2br w:val="nil"/>
                    <w:tr2bl w:val="nil"/>
                  </w:tcBorders>
                  <w:noWrap w:val="0"/>
                  <w:vAlign w:val="center"/>
                </w:tcPr>
                <w:p w14:paraId="627268FC">
                  <w:pPr>
                    <w:pStyle w:val="14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7</w:t>
                  </w:r>
                </w:p>
              </w:tc>
              <w:tc>
                <w:tcPr>
                  <w:tcW w:w="3352" w:type="pct"/>
                  <w:tcBorders>
                    <w:tl2br w:val="nil"/>
                    <w:tr2bl w:val="nil"/>
                  </w:tcBorders>
                  <w:noWrap w:val="0"/>
                  <w:vAlign w:val="center"/>
                </w:tcPr>
                <w:p w14:paraId="377645B9">
                  <w:pPr>
                    <w:pStyle w:val="144"/>
                    <w:keepNext w:val="0"/>
                    <w:keepLines w:val="0"/>
                    <w:pageBreakBefore w:val="0"/>
                    <w:widowControl w:val="0"/>
                    <w:kinsoku/>
                    <w:wordWrap/>
                    <w:overflowPunct/>
                    <w:topLinePunct w:val="0"/>
                    <w:autoSpaceDE/>
                    <w:autoSpaceDN/>
                    <w:bidi w:val="0"/>
                    <w:adjustRightInd w:val="0"/>
                    <w:snapToGrid w:val="0"/>
                    <w:spacing w:line="240" w:lineRule="auto"/>
                    <w:ind w:left="105" w:leftChars="50"/>
                    <w:jc w:val="left"/>
                    <w:textAlignment w:val="auto"/>
                    <w:rPr>
                      <w:rFonts w:hint="default" w:ascii="Times New Roman" w:hAnsi="Times New Roman" w:cs="Times New Roman"/>
                      <w:color w:val="auto"/>
                    </w:rPr>
                  </w:pPr>
                  <w:r>
                    <w:rPr>
                      <w:rFonts w:hint="default" w:ascii="Times New Roman" w:hAnsi="Times New Roman" w:cs="Times New Roman"/>
                      <w:color w:val="auto"/>
                    </w:rPr>
                    <w:t>禁止在长江干流、大渡河、岷江、赤水河、沱江、嘉陵江、乌江、汉江和51个（四川省45个、重庆市6个）水生生物保护区开展生产性捕捞。</w:t>
                  </w:r>
                </w:p>
              </w:tc>
              <w:tc>
                <w:tcPr>
                  <w:tcW w:w="921" w:type="pct"/>
                  <w:tcBorders>
                    <w:tl2br w:val="nil"/>
                    <w:tr2bl w:val="nil"/>
                  </w:tcBorders>
                  <w:noWrap w:val="0"/>
                  <w:vAlign w:val="center"/>
                </w:tcPr>
                <w:p w14:paraId="0BA8044B">
                  <w:pPr>
                    <w:pStyle w:val="14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w:t>
                  </w:r>
                </w:p>
              </w:tc>
              <w:tc>
                <w:tcPr>
                  <w:tcW w:w="401" w:type="pct"/>
                  <w:tcBorders>
                    <w:tl2br w:val="nil"/>
                    <w:tr2bl w:val="nil"/>
                  </w:tcBorders>
                  <w:noWrap w:val="0"/>
                  <w:vAlign w:val="center"/>
                </w:tcPr>
                <w:p w14:paraId="53BC87A3">
                  <w:pPr>
                    <w:pStyle w:val="14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r>
            <w:tr w14:paraId="718DB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24" w:type="pct"/>
                  <w:tcBorders>
                    <w:tl2br w:val="nil"/>
                    <w:tr2bl w:val="nil"/>
                  </w:tcBorders>
                  <w:noWrap w:val="0"/>
                  <w:vAlign w:val="center"/>
                </w:tcPr>
                <w:p w14:paraId="5FC40FB7">
                  <w:pPr>
                    <w:pStyle w:val="14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8</w:t>
                  </w:r>
                </w:p>
              </w:tc>
              <w:tc>
                <w:tcPr>
                  <w:tcW w:w="3352" w:type="pct"/>
                  <w:tcBorders>
                    <w:tl2br w:val="nil"/>
                    <w:tr2bl w:val="nil"/>
                  </w:tcBorders>
                  <w:noWrap w:val="0"/>
                  <w:vAlign w:val="center"/>
                </w:tcPr>
                <w:p w14:paraId="1926ED83">
                  <w:pPr>
                    <w:pStyle w:val="144"/>
                    <w:keepNext w:val="0"/>
                    <w:keepLines w:val="0"/>
                    <w:pageBreakBefore w:val="0"/>
                    <w:widowControl w:val="0"/>
                    <w:kinsoku/>
                    <w:wordWrap/>
                    <w:overflowPunct/>
                    <w:topLinePunct w:val="0"/>
                    <w:autoSpaceDE/>
                    <w:autoSpaceDN/>
                    <w:bidi w:val="0"/>
                    <w:adjustRightInd w:val="0"/>
                    <w:snapToGrid w:val="0"/>
                    <w:spacing w:line="240" w:lineRule="auto"/>
                    <w:ind w:left="105" w:leftChars="50"/>
                    <w:jc w:val="left"/>
                    <w:textAlignment w:val="auto"/>
                    <w:rPr>
                      <w:rFonts w:hint="default" w:ascii="Times New Roman" w:hAnsi="Times New Roman" w:cs="Times New Roman"/>
                      <w:color w:val="auto"/>
                    </w:rPr>
                  </w:pPr>
                  <w:r>
                    <w:rPr>
                      <w:rFonts w:hint="default" w:ascii="Times New Roman" w:hAnsi="Times New Roman" w:cs="Times New Roman"/>
                      <w:color w:val="auto"/>
                    </w:rPr>
                    <w:t>禁止在长江支干流、重要湖泊岸线一公里范围内新建、扩建化工园区和化工项目。禁止在长江干流岸线三公里范围内和重要支流岸线一公里范围内新建</w:t>
                  </w:r>
                  <w:r>
                    <w:rPr>
                      <w:rFonts w:hint="default" w:ascii="Times New Roman" w:hAnsi="Times New Roman" w:cs="Times New Roman"/>
                      <w:color w:val="auto"/>
                    </w:rPr>
                    <w:cr/>
                  </w:r>
                  <w:r>
                    <w:rPr>
                      <w:rFonts w:hint="default" w:ascii="Times New Roman" w:hAnsi="Times New Roman" w:cs="Times New Roman"/>
                      <w:color w:val="auto"/>
                    </w:rPr>
                    <w:t>改建、扩建尾矿库、冶炼渣库和磷石膏库，以提升安全、生态环境保护水平为目的的改建除外。</w:t>
                  </w:r>
                </w:p>
              </w:tc>
              <w:tc>
                <w:tcPr>
                  <w:tcW w:w="921" w:type="pct"/>
                  <w:tcBorders>
                    <w:tl2br w:val="nil"/>
                    <w:tr2bl w:val="nil"/>
                  </w:tcBorders>
                  <w:noWrap w:val="0"/>
                  <w:vAlign w:val="center"/>
                </w:tcPr>
                <w:p w14:paraId="35F5713F">
                  <w:pPr>
                    <w:pStyle w:val="144"/>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rPr>
                  </w:pPr>
                  <w:r>
                    <w:rPr>
                      <w:rFonts w:hint="default" w:ascii="Times New Roman" w:hAnsi="Times New Roman" w:cs="Times New Roman"/>
                      <w:color w:val="auto"/>
                    </w:rPr>
                    <w:t>项目不属于限制的行业。</w:t>
                  </w:r>
                </w:p>
              </w:tc>
              <w:tc>
                <w:tcPr>
                  <w:tcW w:w="401" w:type="pct"/>
                  <w:tcBorders>
                    <w:tl2br w:val="nil"/>
                    <w:tr2bl w:val="nil"/>
                  </w:tcBorders>
                  <w:noWrap w:val="0"/>
                  <w:vAlign w:val="center"/>
                </w:tcPr>
                <w:p w14:paraId="02F915DB">
                  <w:pPr>
                    <w:pStyle w:val="14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szCs w:val="21"/>
                      <w:highlight w:val="none"/>
                    </w:rPr>
                    <w:t>符合</w:t>
                  </w:r>
                </w:p>
              </w:tc>
            </w:tr>
            <w:tr w14:paraId="74F5F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79" w:hRule="atLeast"/>
                <w:jc w:val="center"/>
              </w:trPr>
              <w:tc>
                <w:tcPr>
                  <w:tcW w:w="324" w:type="pct"/>
                  <w:tcBorders>
                    <w:tl2br w:val="nil"/>
                    <w:tr2bl w:val="nil"/>
                  </w:tcBorders>
                  <w:noWrap w:val="0"/>
                  <w:vAlign w:val="center"/>
                </w:tcPr>
                <w:p w14:paraId="77C078B2">
                  <w:pPr>
                    <w:pStyle w:val="14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9</w:t>
                  </w:r>
                </w:p>
              </w:tc>
              <w:tc>
                <w:tcPr>
                  <w:tcW w:w="3352" w:type="pct"/>
                  <w:tcBorders>
                    <w:tl2br w:val="nil"/>
                    <w:tr2bl w:val="nil"/>
                  </w:tcBorders>
                  <w:noWrap w:val="0"/>
                  <w:vAlign w:val="center"/>
                </w:tcPr>
                <w:p w14:paraId="28693562">
                  <w:pPr>
                    <w:pStyle w:val="144"/>
                    <w:keepNext w:val="0"/>
                    <w:keepLines w:val="0"/>
                    <w:pageBreakBefore w:val="0"/>
                    <w:widowControl w:val="0"/>
                    <w:kinsoku/>
                    <w:wordWrap/>
                    <w:overflowPunct/>
                    <w:topLinePunct w:val="0"/>
                    <w:autoSpaceDE/>
                    <w:autoSpaceDN/>
                    <w:bidi w:val="0"/>
                    <w:adjustRightInd w:val="0"/>
                    <w:snapToGrid w:val="0"/>
                    <w:spacing w:line="240" w:lineRule="auto"/>
                    <w:ind w:left="105" w:leftChars="50"/>
                    <w:jc w:val="left"/>
                    <w:textAlignment w:val="auto"/>
                    <w:rPr>
                      <w:rFonts w:hint="default" w:ascii="Times New Roman" w:hAnsi="Times New Roman" w:cs="Times New Roman"/>
                      <w:color w:val="auto"/>
                    </w:rPr>
                  </w:pPr>
                  <w:r>
                    <w:rPr>
                      <w:rFonts w:hint="default" w:ascii="Times New Roman" w:hAnsi="Times New Roman" w:cs="Times New Roman"/>
                      <w:color w:val="auto"/>
                    </w:rPr>
                    <w:t>禁止在生态保护红线区域、永久基本农田集中区域和其他需要特别保护的区域内选址建设尾矿库、冶炼渣</w:t>
                  </w:r>
                  <w:r>
                    <w:rPr>
                      <w:rFonts w:hint="eastAsia" w:ascii="Times New Roman" w:hAnsi="Times New Roman" w:cs="Times New Roman"/>
                      <w:color w:val="auto"/>
                      <w:lang w:val="en-US" w:eastAsia="zh-CN"/>
                    </w:rPr>
                    <w:t>库</w:t>
                  </w:r>
                  <w:r>
                    <w:rPr>
                      <w:rFonts w:hint="default" w:ascii="Times New Roman" w:hAnsi="Times New Roman" w:cs="Times New Roman"/>
                      <w:color w:val="auto"/>
                    </w:rPr>
                    <w:t>、磷石膏库</w:t>
                  </w:r>
                  <w:r>
                    <w:rPr>
                      <w:rFonts w:hint="default" w:ascii="Times New Roman" w:hAnsi="Times New Roman" w:cs="Times New Roman"/>
                      <w:color w:val="auto"/>
                    </w:rPr>
                    <w:cr/>
                  </w:r>
                </w:p>
              </w:tc>
              <w:tc>
                <w:tcPr>
                  <w:tcW w:w="921" w:type="pct"/>
                  <w:tcBorders>
                    <w:tl2br w:val="nil"/>
                    <w:tr2bl w:val="nil"/>
                  </w:tcBorders>
                  <w:noWrap w:val="0"/>
                  <w:vAlign w:val="center"/>
                </w:tcPr>
                <w:p w14:paraId="70A26FB5">
                  <w:pPr>
                    <w:pStyle w:val="144"/>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rPr>
                  </w:pPr>
                  <w:r>
                    <w:rPr>
                      <w:rFonts w:hint="default" w:ascii="Times New Roman" w:hAnsi="Times New Roman" w:cs="Times New Roman"/>
                      <w:color w:val="auto"/>
                    </w:rPr>
                    <w:t>项目不属于限制的行业。</w:t>
                  </w:r>
                </w:p>
              </w:tc>
              <w:tc>
                <w:tcPr>
                  <w:tcW w:w="401" w:type="pct"/>
                  <w:tcBorders>
                    <w:tl2br w:val="nil"/>
                    <w:tr2bl w:val="nil"/>
                  </w:tcBorders>
                  <w:noWrap w:val="0"/>
                  <w:vAlign w:val="center"/>
                </w:tcPr>
                <w:p w14:paraId="5500F65F">
                  <w:pPr>
                    <w:pStyle w:val="14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szCs w:val="21"/>
                      <w:highlight w:val="none"/>
                    </w:rPr>
                    <w:t>符合</w:t>
                  </w:r>
                </w:p>
              </w:tc>
            </w:tr>
            <w:tr w14:paraId="3CBE6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0" w:hRule="atLeast"/>
                <w:jc w:val="center"/>
              </w:trPr>
              <w:tc>
                <w:tcPr>
                  <w:tcW w:w="324" w:type="pct"/>
                  <w:tcBorders>
                    <w:tl2br w:val="nil"/>
                    <w:tr2bl w:val="nil"/>
                  </w:tcBorders>
                  <w:noWrap w:val="0"/>
                  <w:vAlign w:val="center"/>
                </w:tcPr>
                <w:p w14:paraId="6C04F8CC">
                  <w:pPr>
                    <w:pStyle w:val="14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10</w:t>
                  </w:r>
                </w:p>
              </w:tc>
              <w:tc>
                <w:tcPr>
                  <w:tcW w:w="3352" w:type="pct"/>
                  <w:tcBorders>
                    <w:tl2br w:val="nil"/>
                    <w:tr2bl w:val="nil"/>
                  </w:tcBorders>
                  <w:noWrap w:val="0"/>
                  <w:vAlign w:val="center"/>
                </w:tcPr>
                <w:p w14:paraId="42E5BCB1">
                  <w:pPr>
                    <w:pStyle w:val="144"/>
                    <w:keepNext w:val="0"/>
                    <w:keepLines w:val="0"/>
                    <w:pageBreakBefore w:val="0"/>
                    <w:widowControl w:val="0"/>
                    <w:kinsoku/>
                    <w:wordWrap/>
                    <w:overflowPunct/>
                    <w:topLinePunct w:val="0"/>
                    <w:autoSpaceDE/>
                    <w:autoSpaceDN/>
                    <w:bidi w:val="0"/>
                    <w:adjustRightInd w:val="0"/>
                    <w:snapToGrid w:val="0"/>
                    <w:spacing w:line="240" w:lineRule="auto"/>
                    <w:ind w:left="105" w:leftChars="50"/>
                    <w:jc w:val="left"/>
                    <w:textAlignment w:val="auto"/>
                    <w:rPr>
                      <w:rFonts w:hint="default" w:ascii="Times New Roman" w:hAnsi="Times New Roman" w:cs="Times New Roman"/>
                      <w:color w:val="auto"/>
                    </w:rPr>
                  </w:pPr>
                  <w:r>
                    <w:rPr>
                      <w:rFonts w:hint="default" w:ascii="Times New Roman" w:hAnsi="Times New Roman" w:cs="Times New Roman"/>
                      <w:color w:val="auto"/>
                    </w:rPr>
                    <w:t>禁止在合规园区外新建、扩建钢铁、石化、化工、焦化、建材</w:t>
                  </w:r>
                  <w:r>
                    <w:rPr>
                      <w:rFonts w:hint="default" w:ascii="Times New Roman" w:hAnsi="Times New Roman" w:cs="Times New Roman"/>
                      <w:color w:val="auto"/>
                      <w:lang w:eastAsia="zh-CN"/>
                    </w:rPr>
                    <w:t>、</w:t>
                  </w:r>
                  <w:r>
                    <w:rPr>
                      <w:rFonts w:hint="default" w:ascii="Times New Roman" w:hAnsi="Times New Roman" w:cs="Times New Roman"/>
                      <w:color w:val="auto"/>
                    </w:rPr>
                    <w:cr/>
                  </w:r>
                  <w:r>
                    <w:rPr>
                      <w:rFonts w:hint="default" w:ascii="Times New Roman" w:hAnsi="Times New Roman" w:cs="Times New Roman"/>
                      <w:color w:val="auto"/>
                    </w:rPr>
                    <w:t>有色、制浆造纸等高污染项目。</w:t>
                  </w:r>
                </w:p>
              </w:tc>
              <w:tc>
                <w:tcPr>
                  <w:tcW w:w="921" w:type="pct"/>
                  <w:tcBorders>
                    <w:tl2br w:val="nil"/>
                    <w:tr2bl w:val="nil"/>
                  </w:tcBorders>
                  <w:noWrap w:val="0"/>
                  <w:vAlign w:val="center"/>
                </w:tcPr>
                <w:p w14:paraId="00268DB7">
                  <w:pPr>
                    <w:pStyle w:val="144"/>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rPr>
                  </w:pPr>
                  <w:r>
                    <w:rPr>
                      <w:rFonts w:hint="default" w:ascii="Times New Roman" w:hAnsi="Times New Roman" w:cs="Times New Roman"/>
                      <w:color w:val="auto"/>
                    </w:rPr>
                    <w:t>本项目不属于高污染项目。</w:t>
                  </w:r>
                </w:p>
              </w:tc>
              <w:tc>
                <w:tcPr>
                  <w:tcW w:w="401" w:type="pct"/>
                  <w:tcBorders>
                    <w:tl2br w:val="nil"/>
                    <w:tr2bl w:val="nil"/>
                  </w:tcBorders>
                  <w:noWrap w:val="0"/>
                  <w:vAlign w:val="center"/>
                </w:tcPr>
                <w:p w14:paraId="26A73C81">
                  <w:pPr>
                    <w:pStyle w:val="14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szCs w:val="21"/>
                      <w:highlight w:val="none"/>
                    </w:rPr>
                    <w:t>符合</w:t>
                  </w:r>
                </w:p>
              </w:tc>
            </w:tr>
            <w:tr w14:paraId="2D180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 w:hRule="atLeast"/>
                <w:jc w:val="center"/>
              </w:trPr>
              <w:tc>
                <w:tcPr>
                  <w:tcW w:w="324" w:type="pct"/>
                  <w:tcBorders>
                    <w:tl2br w:val="nil"/>
                    <w:tr2bl w:val="nil"/>
                  </w:tcBorders>
                  <w:noWrap w:val="0"/>
                  <w:vAlign w:val="center"/>
                </w:tcPr>
                <w:p w14:paraId="62F954E8">
                  <w:pPr>
                    <w:pStyle w:val="14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11</w:t>
                  </w:r>
                </w:p>
              </w:tc>
              <w:tc>
                <w:tcPr>
                  <w:tcW w:w="3352" w:type="pct"/>
                  <w:tcBorders>
                    <w:tl2br w:val="nil"/>
                    <w:tr2bl w:val="nil"/>
                  </w:tcBorders>
                  <w:noWrap w:val="0"/>
                  <w:vAlign w:val="center"/>
                </w:tcPr>
                <w:p w14:paraId="48762324">
                  <w:pPr>
                    <w:pStyle w:val="144"/>
                    <w:keepNext w:val="0"/>
                    <w:keepLines w:val="0"/>
                    <w:pageBreakBefore w:val="0"/>
                    <w:widowControl w:val="0"/>
                    <w:kinsoku/>
                    <w:wordWrap/>
                    <w:overflowPunct/>
                    <w:topLinePunct w:val="0"/>
                    <w:autoSpaceDE/>
                    <w:autoSpaceDN/>
                    <w:bidi w:val="0"/>
                    <w:adjustRightInd w:val="0"/>
                    <w:snapToGrid w:val="0"/>
                    <w:spacing w:line="240" w:lineRule="auto"/>
                    <w:ind w:left="105" w:leftChars="50"/>
                    <w:jc w:val="left"/>
                    <w:textAlignment w:val="auto"/>
                    <w:rPr>
                      <w:rFonts w:hint="default" w:ascii="Times New Roman" w:hAnsi="Times New Roman" w:cs="Times New Roman"/>
                      <w:color w:val="auto"/>
                    </w:rPr>
                  </w:pPr>
                  <w:r>
                    <w:rPr>
                      <w:rFonts w:hint="default" w:ascii="Times New Roman" w:hAnsi="Times New Roman" w:cs="Times New Roman"/>
                      <w:color w:val="auto"/>
                    </w:rPr>
                    <w:t>禁止新建、扩建不符合国家石化、现代煤化工等产业布局规划的项目。</w:t>
                  </w:r>
                </w:p>
              </w:tc>
              <w:tc>
                <w:tcPr>
                  <w:tcW w:w="921" w:type="pct"/>
                  <w:tcBorders>
                    <w:tl2br w:val="nil"/>
                    <w:tr2bl w:val="nil"/>
                  </w:tcBorders>
                  <w:noWrap w:val="0"/>
                  <w:vAlign w:val="center"/>
                </w:tcPr>
                <w:p w14:paraId="4A40A98C">
                  <w:pPr>
                    <w:pStyle w:val="144"/>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rPr>
                  </w:pPr>
                  <w:r>
                    <w:rPr>
                      <w:rFonts w:hint="default" w:ascii="Times New Roman" w:hAnsi="Times New Roman" w:cs="Times New Roman"/>
                      <w:color w:val="auto"/>
                    </w:rPr>
                    <w:t>项目不属于限制的行业。</w:t>
                  </w:r>
                </w:p>
              </w:tc>
              <w:tc>
                <w:tcPr>
                  <w:tcW w:w="401" w:type="pct"/>
                  <w:tcBorders>
                    <w:tl2br w:val="nil"/>
                    <w:tr2bl w:val="nil"/>
                  </w:tcBorders>
                  <w:noWrap w:val="0"/>
                  <w:vAlign w:val="center"/>
                </w:tcPr>
                <w:p w14:paraId="7627D822">
                  <w:pPr>
                    <w:pStyle w:val="14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符合</w:t>
                  </w:r>
                </w:p>
              </w:tc>
            </w:tr>
            <w:tr w14:paraId="54042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32" w:hRule="atLeast"/>
                <w:jc w:val="center"/>
              </w:trPr>
              <w:tc>
                <w:tcPr>
                  <w:tcW w:w="324" w:type="pct"/>
                  <w:tcBorders>
                    <w:tl2br w:val="nil"/>
                    <w:tr2bl w:val="nil"/>
                  </w:tcBorders>
                  <w:noWrap w:val="0"/>
                  <w:vAlign w:val="center"/>
                </w:tcPr>
                <w:p w14:paraId="0531EB5A">
                  <w:pPr>
                    <w:pStyle w:val="14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12</w:t>
                  </w:r>
                </w:p>
              </w:tc>
              <w:tc>
                <w:tcPr>
                  <w:tcW w:w="3352" w:type="pct"/>
                  <w:tcBorders>
                    <w:tl2br w:val="nil"/>
                    <w:tr2bl w:val="nil"/>
                  </w:tcBorders>
                  <w:noWrap w:val="0"/>
                  <w:vAlign w:val="center"/>
                </w:tcPr>
                <w:p w14:paraId="4F344CF7">
                  <w:pPr>
                    <w:pStyle w:val="144"/>
                    <w:keepNext w:val="0"/>
                    <w:keepLines w:val="0"/>
                    <w:pageBreakBefore w:val="0"/>
                    <w:widowControl w:val="0"/>
                    <w:kinsoku/>
                    <w:wordWrap/>
                    <w:overflowPunct/>
                    <w:topLinePunct w:val="0"/>
                    <w:autoSpaceDE/>
                    <w:autoSpaceDN/>
                    <w:bidi w:val="0"/>
                    <w:adjustRightInd w:val="0"/>
                    <w:snapToGrid w:val="0"/>
                    <w:spacing w:line="240" w:lineRule="auto"/>
                    <w:ind w:left="105" w:leftChars="50"/>
                    <w:jc w:val="left"/>
                    <w:textAlignment w:val="auto"/>
                    <w:rPr>
                      <w:rFonts w:hint="default" w:ascii="Times New Roman" w:hAnsi="Times New Roman" w:cs="Times New Roman"/>
                      <w:color w:val="auto"/>
                    </w:rPr>
                  </w:pPr>
                  <w:r>
                    <w:rPr>
                      <w:rFonts w:hint="default" w:ascii="Times New Roman" w:hAnsi="Times New Roman" w:cs="Times New Roman"/>
                      <w:color w:val="auto"/>
                    </w:rPr>
                    <w:t>禁止新建、扩建法律法规和相关政策明令禁止的落后产能项目。对《产业结构调整指导目录》中淘汰类项目，禁止投资；限制类的新建项目，禁止投资，对属于限制类的现有生产能力，允许企业在一定期限内采取措施改造升级。禁止新建、扩</w:t>
                  </w:r>
                  <w:r>
                    <w:rPr>
                      <w:rFonts w:hint="default" w:ascii="Times New Roman" w:hAnsi="Times New Roman" w:cs="Times New Roman"/>
                      <w:color w:val="auto"/>
                      <w:lang w:val="en-US" w:eastAsia="zh-CN"/>
                    </w:rPr>
                    <w:t>建</w:t>
                  </w:r>
                  <w:r>
                    <w:rPr>
                      <w:rFonts w:hint="default" w:ascii="Times New Roman" w:hAnsi="Times New Roman" w:cs="Times New Roman"/>
                      <w:color w:val="auto"/>
                    </w:rPr>
                    <w:cr/>
                  </w:r>
                  <w:r>
                    <w:rPr>
                      <w:rFonts w:hint="default" w:ascii="Times New Roman" w:hAnsi="Times New Roman" w:cs="Times New Roman"/>
                      <w:color w:val="auto"/>
                    </w:rPr>
                    <w:t>不符合国家产能置换要求的严重过剩产能行业的项目。对于不符合国家产能置换要求的严重过剩产能行业，不得以其他任何名义、任何方式备案新增产能项目。</w:t>
                  </w:r>
                </w:p>
              </w:tc>
              <w:tc>
                <w:tcPr>
                  <w:tcW w:w="921" w:type="pct"/>
                  <w:tcBorders>
                    <w:tl2br w:val="nil"/>
                    <w:tr2bl w:val="nil"/>
                  </w:tcBorders>
                  <w:noWrap w:val="0"/>
                  <w:vAlign w:val="center"/>
                </w:tcPr>
                <w:p w14:paraId="1C18DEB3">
                  <w:pPr>
                    <w:pStyle w:val="144"/>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rPr>
                  </w:pPr>
                  <w:r>
                    <w:rPr>
                      <w:rFonts w:hint="default" w:ascii="Times New Roman" w:hAnsi="Times New Roman" w:cs="Times New Roman"/>
                      <w:color w:val="auto"/>
                    </w:rPr>
                    <w:t>项目不属于落后产能项目、严重过剩产能项目</w:t>
                  </w:r>
                  <w:r>
                    <w:rPr>
                      <w:rFonts w:hint="default" w:ascii="Times New Roman" w:hAnsi="Times New Roman" w:cs="Times New Roman"/>
                      <w:color w:val="auto"/>
                      <w:lang w:val="en-US" w:eastAsia="zh-CN"/>
                    </w:rPr>
                    <w:t>及</w:t>
                  </w:r>
                  <w:r>
                    <w:rPr>
                      <w:rFonts w:hint="default" w:ascii="Times New Roman" w:hAnsi="Times New Roman" w:cs="Times New Roman"/>
                      <w:color w:val="auto"/>
                    </w:rPr>
                    <w:t>高耗能高排放项目。</w:t>
                  </w:r>
                </w:p>
              </w:tc>
              <w:tc>
                <w:tcPr>
                  <w:tcW w:w="401" w:type="pct"/>
                  <w:tcBorders>
                    <w:tl2br w:val="nil"/>
                    <w:tr2bl w:val="nil"/>
                  </w:tcBorders>
                  <w:noWrap w:val="0"/>
                  <w:vAlign w:val="center"/>
                </w:tcPr>
                <w:p w14:paraId="06C2AC18">
                  <w:pPr>
                    <w:pStyle w:val="14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szCs w:val="21"/>
                      <w:highlight w:val="none"/>
                    </w:rPr>
                    <w:t>符合</w:t>
                  </w:r>
                </w:p>
              </w:tc>
            </w:tr>
            <w:tr w14:paraId="14F3A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24" w:type="pct"/>
                  <w:tcBorders>
                    <w:tl2br w:val="nil"/>
                    <w:tr2bl w:val="nil"/>
                  </w:tcBorders>
                  <w:noWrap w:val="0"/>
                  <w:vAlign w:val="center"/>
                </w:tcPr>
                <w:p w14:paraId="7CA2202A">
                  <w:pPr>
                    <w:pStyle w:val="14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13</w:t>
                  </w:r>
                </w:p>
              </w:tc>
              <w:tc>
                <w:tcPr>
                  <w:tcW w:w="3352" w:type="pct"/>
                  <w:tcBorders>
                    <w:tl2br w:val="nil"/>
                    <w:tr2bl w:val="nil"/>
                  </w:tcBorders>
                  <w:noWrap w:val="0"/>
                  <w:vAlign w:val="center"/>
                </w:tcPr>
                <w:p w14:paraId="66307E46">
                  <w:pPr>
                    <w:pStyle w:val="144"/>
                    <w:keepNext w:val="0"/>
                    <w:keepLines w:val="0"/>
                    <w:pageBreakBefore w:val="0"/>
                    <w:widowControl w:val="0"/>
                    <w:kinsoku/>
                    <w:wordWrap/>
                    <w:overflowPunct/>
                    <w:topLinePunct w:val="0"/>
                    <w:autoSpaceDE/>
                    <w:autoSpaceDN/>
                    <w:bidi w:val="0"/>
                    <w:adjustRightInd w:val="0"/>
                    <w:snapToGrid w:val="0"/>
                    <w:spacing w:line="240" w:lineRule="auto"/>
                    <w:ind w:left="105" w:leftChars="50"/>
                    <w:jc w:val="both"/>
                    <w:textAlignment w:val="auto"/>
                    <w:rPr>
                      <w:rFonts w:hint="default" w:ascii="Times New Roman" w:hAnsi="Times New Roman" w:cs="Times New Roman"/>
                      <w:color w:val="auto"/>
                    </w:rPr>
                  </w:pPr>
                  <w:r>
                    <w:rPr>
                      <w:rFonts w:hint="default" w:ascii="Times New Roman" w:hAnsi="Times New Roman" w:cs="Times New Roman"/>
                      <w:color w:val="auto"/>
                    </w:rPr>
                    <w:t>禁止建设以下燃油汽车投资项目（不在中国境内销售产品的投资项目除外）：（一）新建独立燃油汽车企业；（二）现有汽车企业跨乘用车、商用车类别</w:t>
                  </w:r>
                  <w:r>
                    <w:rPr>
                      <w:rFonts w:hint="default" w:ascii="Times New Roman" w:hAnsi="Times New Roman" w:cs="Times New Roman"/>
                      <w:color w:val="auto"/>
                    </w:rPr>
                    <w:cr/>
                  </w:r>
                  <w:r>
                    <w:rPr>
                      <w:rFonts w:hint="default" w:ascii="Times New Roman" w:hAnsi="Times New Roman" w:cs="Times New Roman"/>
                      <w:color w:val="auto"/>
                    </w:rPr>
                    <w:t>设燃油汽车生产能力；（三）外省现有燃油汽车企业整体搬迁至本省（列入国家级区域发展规划或不改变企业股权结构的项目除外）；（四）对行业管理部门特别公示的</w:t>
                  </w:r>
                  <w:r>
                    <w:rPr>
                      <w:rFonts w:hint="default" w:ascii="Times New Roman" w:hAnsi="Times New Roman" w:cs="Times New Roman"/>
                      <w:color w:val="auto"/>
                    </w:rPr>
                    <w:cr/>
                  </w:r>
                  <w:r>
                    <w:rPr>
                      <w:rFonts w:hint="default" w:ascii="Times New Roman" w:hAnsi="Times New Roman" w:cs="Times New Roman"/>
                      <w:color w:val="auto"/>
                    </w:rPr>
                    <w:t>、燃油汽车企业进行投资（企业原有股东投资或将该企业转为非独立法人的投资项目除外）。</w:t>
                  </w:r>
                </w:p>
              </w:tc>
              <w:tc>
                <w:tcPr>
                  <w:tcW w:w="921" w:type="pct"/>
                  <w:tcBorders>
                    <w:tl2br w:val="nil"/>
                    <w:tr2bl w:val="nil"/>
                  </w:tcBorders>
                  <w:noWrap w:val="0"/>
                  <w:vAlign w:val="center"/>
                </w:tcPr>
                <w:p w14:paraId="2564B654">
                  <w:pPr>
                    <w:pStyle w:val="14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rPr>
                  </w:pPr>
                  <w:r>
                    <w:rPr>
                      <w:rFonts w:hint="default" w:ascii="Times New Roman" w:hAnsi="Times New Roman" w:cs="Times New Roman"/>
                      <w:color w:val="auto"/>
                    </w:rPr>
                    <w:t>项目不属于限制的行业。</w:t>
                  </w:r>
                </w:p>
              </w:tc>
              <w:tc>
                <w:tcPr>
                  <w:tcW w:w="401" w:type="pct"/>
                  <w:tcBorders>
                    <w:tl2br w:val="nil"/>
                    <w:tr2bl w:val="nil"/>
                  </w:tcBorders>
                  <w:noWrap w:val="0"/>
                  <w:vAlign w:val="center"/>
                </w:tcPr>
                <w:p w14:paraId="045C899A">
                  <w:pPr>
                    <w:pStyle w:val="14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szCs w:val="21"/>
                      <w:highlight w:val="none"/>
                    </w:rPr>
                    <w:t>符合</w:t>
                  </w:r>
                </w:p>
              </w:tc>
            </w:tr>
            <w:tr w14:paraId="36CCC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324" w:type="pct"/>
                  <w:tcBorders>
                    <w:tl2br w:val="nil"/>
                    <w:tr2bl w:val="nil"/>
                  </w:tcBorders>
                  <w:noWrap w:val="0"/>
                  <w:vAlign w:val="center"/>
                </w:tcPr>
                <w:p w14:paraId="3832DAFB">
                  <w:pPr>
                    <w:pStyle w:val="14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14</w:t>
                  </w:r>
                </w:p>
              </w:tc>
              <w:tc>
                <w:tcPr>
                  <w:tcW w:w="3352" w:type="pct"/>
                  <w:tcBorders>
                    <w:tl2br w:val="nil"/>
                    <w:tr2bl w:val="nil"/>
                  </w:tcBorders>
                  <w:noWrap w:val="0"/>
                  <w:vAlign w:val="center"/>
                </w:tcPr>
                <w:p w14:paraId="7C908965">
                  <w:pPr>
                    <w:pStyle w:val="14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禁止新建、扩建</w:t>
                  </w:r>
                  <w:r>
                    <w:rPr>
                      <w:rFonts w:hint="default" w:ascii="Times New Roman" w:hAnsi="Times New Roman" w:cs="Times New Roman"/>
                      <w:color w:val="auto"/>
                      <w:lang w:val="en-US" w:eastAsia="zh-CN"/>
                    </w:rPr>
                    <w:t>不</w:t>
                  </w:r>
                  <w:r>
                    <w:rPr>
                      <w:rFonts w:hint="default" w:ascii="Times New Roman" w:hAnsi="Times New Roman" w:cs="Times New Roman"/>
                      <w:color w:val="auto"/>
                    </w:rPr>
                    <w:cr/>
                  </w:r>
                  <w:r>
                    <w:rPr>
                      <w:rFonts w:hint="default" w:ascii="Times New Roman" w:hAnsi="Times New Roman" w:cs="Times New Roman"/>
                      <w:color w:val="auto"/>
                    </w:rPr>
                    <w:t>符合要求的高耗能、高排放、低水平项目。</w:t>
                  </w:r>
                </w:p>
              </w:tc>
              <w:tc>
                <w:tcPr>
                  <w:tcW w:w="921" w:type="pct"/>
                  <w:tcBorders>
                    <w:tl2br w:val="nil"/>
                    <w:tr2bl w:val="nil"/>
                  </w:tcBorders>
                  <w:noWrap w:val="0"/>
                  <w:vAlign w:val="center"/>
                </w:tcPr>
                <w:p w14:paraId="464C734B">
                  <w:pPr>
                    <w:pStyle w:val="144"/>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rPr>
                  </w:pPr>
                  <w:r>
                    <w:rPr>
                      <w:rFonts w:hint="default" w:ascii="Times New Roman" w:hAnsi="Times New Roman" w:cs="Times New Roman"/>
                      <w:color w:val="auto"/>
                    </w:rPr>
                    <w:t>项目不属于限制的行业。</w:t>
                  </w:r>
                </w:p>
              </w:tc>
              <w:tc>
                <w:tcPr>
                  <w:tcW w:w="401" w:type="pct"/>
                  <w:tcBorders>
                    <w:tl2br w:val="nil"/>
                    <w:tr2bl w:val="nil"/>
                  </w:tcBorders>
                  <w:noWrap w:val="0"/>
                  <w:vAlign w:val="center"/>
                </w:tcPr>
                <w:p w14:paraId="025E2BC9">
                  <w:pPr>
                    <w:pStyle w:val="14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szCs w:val="21"/>
                      <w:highlight w:val="none"/>
                    </w:rPr>
                    <w:t>符合</w:t>
                  </w:r>
                </w:p>
              </w:tc>
            </w:tr>
            <w:tr w14:paraId="316F9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324" w:type="pct"/>
                  <w:tcBorders>
                    <w:tl2br w:val="nil"/>
                    <w:tr2bl w:val="nil"/>
                  </w:tcBorders>
                  <w:noWrap w:val="0"/>
                  <w:vAlign w:val="center"/>
                </w:tcPr>
                <w:p w14:paraId="372A36E3">
                  <w:pPr>
                    <w:pStyle w:val="14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15</w:t>
                  </w:r>
                </w:p>
              </w:tc>
              <w:tc>
                <w:tcPr>
                  <w:tcW w:w="3352" w:type="pct"/>
                  <w:tcBorders>
                    <w:tl2br w:val="nil"/>
                    <w:tr2bl w:val="nil"/>
                  </w:tcBorders>
                  <w:noWrap w:val="0"/>
                  <w:vAlign w:val="center"/>
                </w:tcPr>
                <w:p w14:paraId="2F985820">
                  <w:pPr>
                    <w:pStyle w:val="14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法律法规及相关政策文件有更加严格规定的从其规定。</w:t>
                  </w:r>
                </w:p>
              </w:tc>
              <w:tc>
                <w:tcPr>
                  <w:tcW w:w="921" w:type="pct"/>
                  <w:tcBorders>
                    <w:tl2br w:val="nil"/>
                    <w:tr2bl w:val="nil"/>
                  </w:tcBorders>
                  <w:noWrap w:val="0"/>
                  <w:vAlign w:val="center"/>
                </w:tcPr>
                <w:p w14:paraId="30A2B64B">
                  <w:pPr>
                    <w:pStyle w:val="144"/>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w:t>
                  </w:r>
                </w:p>
              </w:tc>
              <w:tc>
                <w:tcPr>
                  <w:tcW w:w="401" w:type="pct"/>
                  <w:tcBorders>
                    <w:tl2br w:val="nil"/>
                    <w:tr2bl w:val="nil"/>
                  </w:tcBorders>
                  <w:noWrap w:val="0"/>
                  <w:vAlign w:val="center"/>
                </w:tcPr>
                <w:p w14:paraId="770B0887">
                  <w:pPr>
                    <w:pStyle w:val="144"/>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符合</w:t>
                  </w:r>
                </w:p>
              </w:tc>
            </w:tr>
          </w:tbl>
          <w:p w14:paraId="296453C6">
            <w:pPr>
              <w:pStyle w:val="53"/>
              <w:tabs>
                <w:tab w:val="left" w:pos="540"/>
                <w:tab w:val="left" w:pos="1080"/>
                <w:tab w:val="left" w:pos="1800"/>
              </w:tabs>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由上表可知，项目不属于《四川省、重庆市长江经济带发展负面清单实施细则（试行，2022年版）》负面清单中的项目。</w:t>
            </w:r>
          </w:p>
          <w:p w14:paraId="7E7E0B8B">
            <w:pPr>
              <w:pStyle w:val="53"/>
              <w:tabs>
                <w:tab w:val="left" w:pos="540"/>
                <w:tab w:val="left" w:pos="1080"/>
                <w:tab w:val="left" w:pos="1800"/>
              </w:tabs>
              <w:spacing w:line="360" w:lineRule="auto"/>
              <w:ind w:left="0" w:leftChars="0" w:firstLine="0" w:firstLineChars="0"/>
              <w:rPr>
                <w:rFonts w:hint="default" w:ascii="Times New Roman" w:hAnsi="Times New Roman" w:cs="Times New Roman"/>
                <w:color w:val="auto"/>
                <w:sz w:val="24"/>
              </w:rPr>
            </w:pPr>
            <w:r>
              <w:rPr>
                <w:rFonts w:hint="default" w:ascii="Times New Roman" w:hAnsi="Times New Roman" w:eastAsia="宋体" w:cs="Times New Roman"/>
                <w:b/>
                <w:bCs/>
                <w:color w:val="auto"/>
                <w:sz w:val="24"/>
                <w:szCs w:val="24"/>
                <w:highlight w:val="none"/>
              </w:rPr>
              <w:t>1.</w:t>
            </w:r>
            <w:r>
              <w:rPr>
                <w:rFonts w:hint="default" w:ascii="Times New Roman" w:hAnsi="Times New Roman" w:eastAsia="宋体" w:cs="Times New Roman"/>
                <w:b/>
                <w:bCs/>
                <w:color w:val="auto"/>
                <w:sz w:val="24"/>
                <w:szCs w:val="24"/>
                <w:highlight w:val="none"/>
                <w:lang w:val="en-US" w:eastAsia="zh-CN"/>
              </w:rPr>
              <w:t>2.5与《四川省嘉陵江流域生态环境保护条例》的符合性分析</w:t>
            </w:r>
          </w:p>
          <w:p w14:paraId="0E177579">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本项目与《四川省嘉陵江流域生态环境保护条例》中相关要求的符合性分析，详见表1.2-</w:t>
            </w: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rPr>
              <w:t>。</w:t>
            </w:r>
          </w:p>
          <w:p w14:paraId="01E92752">
            <w:pPr>
              <w:jc w:val="center"/>
              <w:rPr>
                <w:rFonts w:hint="default" w:ascii="Times New Roman" w:hAnsi="Times New Roman" w:cs="Times New Roman"/>
                <w:b/>
                <w:color w:val="auto"/>
                <w:sz w:val="24"/>
              </w:rPr>
            </w:pPr>
            <w:r>
              <w:rPr>
                <w:rFonts w:hint="default" w:ascii="Times New Roman" w:hAnsi="Times New Roman" w:cs="Times New Roman"/>
                <w:b/>
                <w:color w:val="auto"/>
                <w:sz w:val="24"/>
              </w:rPr>
              <w:t>表1.2-</w:t>
            </w:r>
            <w:r>
              <w:rPr>
                <w:rFonts w:hint="default" w:ascii="Times New Roman" w:hAnsi="Times New Roman" w:cs="Times New Roman"/>
                <w:b/>
                <w:color w:val="auto"/>
                <w:sz w:val="24"/>
                <w:lang w:val="en-US" w:eastAsia="zh-CN"/>
              </w:rPr>
              <w:t>6</w:t>
            </w:r>
            <w:r>
              <w:rPr>
                <w:rFonts w:hint="default" w:ascii="Times New Roman" w:hAnsi="Times New Roman" w:cs="Times New Roman"/>
                <w:b/>
                <w:color w:val="auto"/>
                <w:sz w:val="24"/>
              </w:rPr>
              <w:t xml:space="preserve">  与《四川省嘉陵江流域生态环境保护条例》符合性分析</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59"/>
              <w:gridCol w:w="2041"/>
              <w:gridCol w:w="903"/>
            </w:tblGrid>
            <w:tr w14:paraId="73979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8" w:type="pct"/>
                  <w:noWrap w:val="0"/>
                  <w:vAlign w:val="center"/>
                </w:tcPr>
                <w:p w14:paraId="072426C8">
                  <w:pPr>
                    <w:spacing w:line="24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条例中相关要求</w:t>
                  </w:r>
                </w:p>
              </w:tc>
              <w:tc>
                <w:tcPr>
                  <w:tcW w:w="1186" w:type="pct"/>
                  <w:noWrap w:val="0"/>
                  <w:vAlign w:val="center"/>
                </w:tcPr>
                <w:p w14:paraId="5285DB2B">
                  <w:pPr>
                    <w:spacing w:line="24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项目情况</w:t>
                  </w:r>
                </w:p>
              </w:tc>
              <w:tc>
                <w:tcPr>
                  <w:tcW w:w="524" w:type="pct"/>
                  <w:noWrap w:val="0"/>
                  <w:vAlign w:val="center"/>
                </w:tcPr>
                <w:p w14:paraId="2EDBCE5F">
                  <w:pPr>
                    <w:spacing w:line="24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符合性</w:t>
                  </w:r>
                </w:p>
              </w:tc>
            </w:tr>
            <w:tr w14:paraId="3F8B0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8" w:type="pct"/>
                  <w:noWrap w:val="0"/>
                  <w:vAlign w:val="center"/>
                </w:tcPr>
                <w:p w14:paraId="007E294F">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第二十二条、嘉陵江流域县级以上地方人民政府生态环境主管部门应当依法加强流域入河排污口的监督管理。企业</w:t>
                  </w:r>
                  <w:r>
                    <w:rPr>
                      <w:rFonts w:hint="default" w:ascii="Times New Roman" w:hAnsi="Times New Roman" w:cs="Times New Roman"/>
                      <w:color w:val="auto"/>
                      <w:szCs w:val="21"/>
                      <w:lang w:val="en-US" w:eastAsia="zh-CN"/>
                    </w:rPr>
                    <w:t>事业</w:t>
                  </w:r>
                  <w:r>
                    <w:rPr>
                      <w:rFonts w:hint="default" w:ascii="Times New Roman" w:hAnsi="Times New Roman" w:cs="Times New Roman"/>
                      <w:color w:val="auto"/>
                      <w:szCs w:val="21"/>
                    </w:rPr>
                    <w:t>单位和其他生产经营者向嘉陵江流域排放污水的，应当按照生态环境主管部门的规定建设规范化污染物排放口，并设置标志牌。</w:t>
                  </w:r>
                </w:p>
              </w:tc>
              <w:tc>
                <w:tcPr>
                  <w:tcW w:w="1186" w:type="pct"/>
                  <w:noWrap w:val="0"/>
                  <w:vAlign w:val="center"/>
                </w:tcPr>
                <w:p w14:paraId="4B652346">
                  <w:pPr>
                    <w:spacing w:line="240" w:lineRule="auto"/>
                    <w:rPr>
                      <w:rFonts w:hint="default" w:ascii="Times New Roman" w:hAnsi="Times New Roman" w:cs="Times New Roman"/>
                      <w:color w:val="auto"/>
                      <w:szCs w:val="21"/>
                    </w:rPr>
                  </w:pPr>
                  <w:r>
                    <w:rPr>
                      <w:rFonts w:hint="default" w:ascii="Times New Roman" w:hAnsi="Times New Roman" w:cs="Times New Roman"/>
                      <w:color w:val="auto"/>
                      <w:kern w:val="0"/>
                      <w:szCs w:val="21"/>
                      <w:highlight w:val="none"/>
                      <w:lang w:bidi="ar"/>
                    </w:rPr>
                    <w:t>本项目</w:t>
                  </w:r>
                  <w:r>
                    <w:rPr>
                      <w:rFonts w:hint="default" w:ascii="Times New Roman" w:hAnsi="Times New Roman" w:cs="Times New Roman"/>
                      <w:color w:val="auto"/>
                      <w:kern w:val="0"/>
                      <w:szCs w:val="21"/>
                      <w:highlight w:val="none"/>
                      <w:lang w:val="en-US" w:eastAsia="zh-CN" w:bidi="ar"/>
                    </w:rPr>
                    <w:t>废水</w:t>
                  </w:r>
                  <w:r>
                    <w:rPr>
                      <w:rFonts w:hint="default" w:ascii="Times New Roman" w:hAnsi="Times New Roman" w:cs="Times New Roman"/>
                      <w:color w:val="auto"/>
                      <w:kern w:val="0"/>
                      <w:szCs w:val="21"/>
                      <w:highlight w:val="none"/>
                      <w:lang w:bidi="ar"/>
                    </w:rPr>
                    <w:t>经</w:t>
                  </w:r>
                  <w:r>
                    <w:rPr>
                      <w:rFonts w:hint="default" w:ascii="Times New Roman" w:hAnsi="Times New Roman" w:cs="Times New Roman"/>
                      <w:color w:val="auto"/>
                      <w:kern w:val="0"/>
                      <w:szCs w:val="21"/>
                      <w:highlight w:val="none"/>
                      <w:lang w:val="en-US" w:eastAsia="zh-CN" w:bidi="ar"/>
                    </w:rPr>
                    <w:t>生化池</w:t>
                  </w:r>
                  <w:r>
                    <w:rPr>
                      <w:rFonts w:hint="default" w:ascii="Times New Roman" w:hAnsi="Times New Roman" w:cs="Times New Roman"/>
                      <w:color w:val="auto"/>
                      <w:kern w:val="0"/>
                      <w:szCs w:val="21"/>
                      <w:highlight w:val="none"/>
                      <w:lang w:bidi="ar"/>
                    </w:rPr>
                    <w:t>处理达标后排入市政污水管网，</w:t>
                  </w:r>
                  <w:r>
                    <w:rPr>
                      <w:rFonts w:hint="default" w:ascii="Times New Roman" w:hAnsi="Times New Roman" w:cs="Times New Roman"/>
                      <w:color w:val="auto"/>
                      <w:szCs w:val="21"/>
                    </w:rPr>
                    <w:t>属于间接排放。</w:t>
                  </w:r>
                </w:p>
              </w:tc>
              <w:tc>
                <w:tcPr>
                  <w:tcW w:w="524" w:type="pct"/>
                  <w:noWrap w:val="0"/>
                  <w:vAlign w:val="center"/>
                </w:tcPr>
                <w:p w14:paraId="50B73158">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04E79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8" w:type="pct"/>
                  <w:noWrap w:val="0"/>
                  <w:vAlign w:val="center"/>
                </w:tcPr>
                <w:p w14:paraId="73731353">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第六十七条、嘉陵江流域县级以上地方人民政府应当根据国土空间规划和本行政区域的资源环境承载能力与水环境质量改善目标等要求，合理规划工业布局，引导现有工业企业入驻工业集聚区。新建排放重点污染物的工业项目原则上进入符合相关规划的工业集聚区。逐步减少在工业集聚区以外排放工业废水的工业企业，并将有关工作情况纳入环境保护目标责任制范围。禁止在合规园区外新建、扩建钢铁、石化化工、焦化、建材、有色金属等高污染项目。排污单位对污水进行预处理后向污水集中处理设施排放的，应当符合污水集中处理设施的接纳标准。</w:t>
                  </w:r>
                </w:p>
              </w:tc>
              <w:tc>
                <w:tcPr>
                  <w:tcW w:w="1186" w:type="pct"/>
                  <w:noWrap w:val="0"/>
                  <w:vAlign w:val="center"/>
                </w:tcPr>
                <w:p w14:paraId="3AD03457">
                  <w:pPr>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本项目位于大竹县工业园区。</w:t>
                  </w:r>
                </w:p>
              </w:tc>
              <w:tc>
                <w:tcPr>
                  <w:tcW w:w="524" w:type="pct"/>
                  <w:noWrap w:val="0"/>
                  <w:vAlign w:val="center"/>
                </w:tcPr>
                <w:p w14:paraId="11402BF7">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2DBCD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8" w:type="pct"/>
                  <w:noWrap w:val="0"/>
                  <w:vAlign w:val="center"/>
                </w:tcPr>
                <w:p w14:paraId="4F2E17ED">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第七十三条、嘉陵江流域县级以上地方人民政府应当加强对固体废物非法转移和倾倒的管控。禁止在嘉陵江流域河湖管理范围内倾倒、填埋、堆放、弃置、处理固体废物。</w:t>
                  </w:r>
                </w:p>
              </w:tc>
              <w:tc>
                <w:tcPr>
                  <w:tcW w:w="1186" w:type="pct"/>
                  <w:noWrap w:val="0"/>
                  <w:vAlign w:val="center"/>
                </w:tcPr>
                <w:p w14:paraId="68198C19">
                  <w:pPr>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本项目固体废物处置方式合理，去向明确。</w:t>
                  </w:r>
                </w:p>
              </w:tc>
              <w:tc>
                <w:tcPr>
                  <w:tcW w:w="524" w:type="pct"/>
                  <w:noWrap w:val="0"/>
                  <w:vAlign w:val="center"/>
                </w:tcPr>
                <w:p w14:paraId="4D8FD76C">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10E1F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88" w:type="pct"/>
                  <w:noWrap w:val="0"/>
                  <w:vAlign w:val="center"/>
                </w:tcPr>
                <w:p w14:paraId="32B1CD3B">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第八十条、嘉陵江流域县级以上地方人民政府应当依法依规限期淘汰严重污染水环境的落后工艺和设备。限期禁止生产、销售、进口、使用、转让严重污染水环境的工艺和设备。</w:t>
                  </w:r>
                </w:p>
              </w:tc>
              <w:tc>
                <w:tcPr>
                  <w:tcW w:w="1186" w:type="pct"/>
                  <w:noWrap w:val="0"/>
                  <w:vAlign w:val="center"/>
                </w:tcPr>
                <w:p w14:paraId="247D5467">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本项目不涉及。</w:t>
                  </w:r>
                </w:p>
              </w:tc>
              <w:tc>
                <w:tcPr>
                  <w:tcW w:w="524" w:type="pct"/>
                  <w:noWrap w:val="0"/>
                  <w:vAlign w:val="center"/>
                </w:tcPr>
                <w:p w14:paraId="474403DE">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4B73E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3288" w:type="pct"/>
                  <w:noWrap w:val="0"/>
                  <w:vAlign w:val="center"/>
                </w:tcPr>
                <w:p w14:paraId="7C411678">
                  <w:pPr>
                    <w:spacing w:line="240" w:lineRule="auto"/>
                    <w:jc w:val="left"/>
                    <w:rPr>
                      <w:rFonts w:hint="default" w:ascii="Times New Roman" w:hAnsi="Times New Roman" w:cs="Times New Roman"/>
                      <w:color w:val="auto"/>
                      <w:szCs w:val="21"/>
                    </w:rPr>
                  </w:pPr>
                  <w:r>
                    <w:rPr>
                      <w:rFonts w:hint="default" w:ascii="Times New Roman" w:hAnsi="Times New Roman" w:cs="Times New Roman"/>
                      <w:color w:val="auto"/>
                      <w:szCs w:val="21"/>
                    </w:rPr>
                    <w:t>第八十一条、嘉陵江流域县级以上地方人民政府应当加强节水型城市和节水型园区建设，促进节水型行业产业和企业发展，并加快建设雨水自然积存、自然渗透、自然净化的海绵城市。鼓励企业事业单位和其他生产经营者配套建设工业用水回收利用设施和中水回用管网设施，采取循环用水、综合利用以及废水处理回用等措施，提高水的重复利用率。</w:t>
                  </w:r>
                </w:p>
              </w:tc>
              <w:tc>
                <w:tcPr>
                  <w:tcW w:w="1186" w:type="pct"/>
                  <w:noWrap w:val="0"/>
                  <w:vAlign w:val="center"/>
                </w:tcPr>
                <w:p w14:paraId="79B81DC2">
                  <w:pPr>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本项目生活废水进入生化池处理达标后排入市政污水管网；冷却塔废水经厂区总排口排入市政污水管网。</w:t>
                  </w:r>
                </w:p>
              </w:tc>
              <w:tc>
                <w:tcPr>
                  <w:tcW w:w="524" w:type="pct"/>
                  <w:noWrap w:val="0"/>
                  <w:vAlign w:val="center"/>
                </w:tcPr>
                <w:p w14:paraId="5B7D77E4">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bl>
          <w:p w14:paraId="40D20BF9">
            <w:pPr>
              <w:tabs>
                <w:tab w:val="left" w:pos="1425"/>
              </w:tabs>
              <w:spacing w:line="360" w:lineRule="auto"/>
              <w:ind w:firstLine="480" w:firstLineChars="200"/>
              <w:rPr>
                <w:rFonts w:hint="default" w:ascii="Times New Roman" w:hAnsi="Times New Roman" w:cs="Times New Roman"/>
                <w:b/>
                <w:color w:val="auto"/>
                <w:sz w:val="24"/>
              </w:rPr>
            </w:pPr>
            <w:r>
              <w:rPr>
                <w:rFonts w:hint="default" w:ascii="Times New Roman" w:hAnsi="Times New Roman" w:cs="Times New Roman"/>
                <w:color w:val="auto"/>
                <w:sz w:val="24"/>
              </w:rPr>
              <w:t>由上表可知，本项目符合《四川省嘉陵江流域生态环境保护条例》中的要求。</w:t>
            </w:r>
          </w:p>
          <w:p w14:paraId="75DF16E3">
            <w:pPr>
              <w:pStyle w:val="53"/>
              <w:tabs>
                <w:tab w:val="left" w:pos="540"/>
                <w:tab w:val="left" w:pos="1080"/>
                <w:tab w:val="left" w:pos="1800"/>
              </w:tabs>
              <w:spacing w:line="360" w:lineRule="auto"/>
              <w:ind w:left="0" w:leftChars="0" w:firstLine="0" w:firstLineChars="0"/>
              <w:rPr>
                <w:rFonts w:hint="default" w:ascii="Times New Roman" w:hAnsi="Times New Roman" w:cs="Times New Roman"/>
                <w:color w:val="auto"/>
                <w:sz w:val="24"/>
              </w:rPr>
            </w:pPr>
            <w:r>
              <w:rPr>
                <w:rFonts w:hint="default" w:ascii="Times New Roman" w:hAnsi="Times New Roman" w:eastAsia="宋体" w:cs="Times New Roman"/>
                <w:b/>
                <w:bCs/>
                <w:color w:val="auto"/>
                <w:sz w:val="24"/>
                <w:szCs w:val="24"/>
                <w:highlight w:val="none"/>
              </w:rPr>
              <w:t>1.</w:t>
            </w:r>
            <w:r>
              <w:rPr>
                <w:rFonts w:hint="default" w:ascii="Times New Roman" w:hAnsi="Times New Roman" w:eastAsia="宋体" w:cs="Times New Roman"/>
                <w:b/>
                <w:bCs/>
                <w:color w:val="auto"/>
                <w:sz w:val="24"/>
                <w:szCs w:val="24"/>
                <w:highlight w:val="none"/>
                <w:lang w:val="en-US" w:eastAsia="zh-CN"/>
              </w:rPr>
              <w:t>2.6与《重点行业挥发性有机物综合治理方案》的符合性分析</w:t>
            </w:r>
          </w:p>
          <w:p w14:paraId="78EE4B5B">
            <w:pPr>
              <w:autoSpaceDE w:val="0"/>
              <w:autoSpaceDN w:val="0"/>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本项目与《重点行业挥发性有机物综合治理方案》的符合性分析见下表。</w:t>
            </w:r>
          </w:p>
          <w:p w14:paraId="26CECF2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表1</w:t>
            </w:r>
            <w:r>
              <w:rPr>
                <w:rFonts w:hint="default" w:ascii="Times New Roman" w:hAnsi="Times New Roman" w:eastAsia="宋体" w:cs="Times New Roman"/>
                <w:b/>
                <w:color w:val="auto"/>
                <w:kern w:val="0"/>
                <w:sz w:val="24"/>
                <w:szCs w:val="24"/>
                <w:lang w:val="en-US" w:eastAsia="zh-CN"/>
              </w:rPr>
              <w:t>.2</w:t>
            </w:r>
            <w:r>
              <w:rPr>
                <w:rFonts w:hint="default" w:ascii="Times New Roman" w:hAnsi="Times New Roman" w:eastAsia="宋体" w:cs="Times New Roman"/>
                <w:b/>
                <w:color w:val="auto"/>
                <w:kern w:val="0"/>
                <w:sz w:val="24"/>
                <w:szCs w:val="24"/>
              </w:rPr>
              <w:t>-</w:t>
            </w:r>
            <w:r>
              <w:rPr>
                <w:rFonts w:hint="default" w:ascii="Times New Roman" w:hAnsi="Times New Roman" w:eastAsia="宋体" w:cs="Times New Roman"/>
                <w:b/>
                <w:color w:val="auto"/>
                <w:kern w:val="0"/>
                <w:sz w:val="24"/>
                <w:szCs w:val="24"/>
                <w:lang w:val="en-US" w:eastAsia="zh-CN"/>
              </w:rPr>
              <w:t>7</w:t>
            </w:r>
            <w:r>
              <w:rPr>
                <w:rFonts w:hint="default" w:ascii="Times New Roman" w:hAnsi="Times New Roman" w:eastAsia="宋体" w:cs="Times New Roman"/>
                <w:b/>
                <w:color w:val="auto"/>
                <w:kern w:val="0"/>
                <w:sz w:val="24"/>
                <w:szCs w:val="24"/>
              </w:rPr>
              <w:t xml:space="preserve">  重点行业挥发性有机物综合治理方案符合性分析</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5663"/>
              <w:gridCol w:w="1358"/>
              <w:gridCol w:w="871"/>
            </w:tblGrid>
            <w:tr w14:paraId="05F66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l2br w:val="nil"/>
                    <w:tr2bl w:val="nil"/>
                  </w:tcBorders>
                  <w:noWrap w:val="0"/>
                  <w:vAlign w:val="center"/>
                </w:tcPr>
                <w:p w14:paraId="291E3F8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序号</w:t>
                  </w:r>
                </w:p>
              </w:tc>
              <w:tc>
                <w:tcPr>
                  <w:tcW w:w="3292" w:type="pct"/>
                  <w:tcBorders>
                    <w:tl2br w:val="nil"/>
                    <w:tr2bl w:val="nil"/>
                  </w:tcBorders>
                  <w:noWrap w:val="0"/>
                  <w:vAlign w:val="center"/>
                </w:tcPr>
                <w:p w14:paraId="6CA6254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准入条件内容</w:t>
                  </w:r>
                </w:p>
              </w:tc>
              <w:tc>
                <w:tcPr>
                  <w:tcW w:w="789" w:type="pct"/>
                  <w:tcBorders>
                    <w:tl2br w:val="nil"/>
                    <w:tr2bl w:val="nil"/>
                  </w:tcBorders>
                  <w:noWrap w:val="0"/>
                  <w:vAlign w:val="center"/>
                </w:tcPr>
                <w:p w14:paraId="548A508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本项目情况</w:t>
                  </w:r>
                </w:p>
              </w:tc>
              <w:tc>
                <w:tcPr>
                  <w:tcW w:w="506" w:type="pct"/>
                  <w:tcBorders>
                    <w:tl2br w:val="nil"/>
                    <w:tr2bl w:val="nil"/>
                  </w:tcBorders>
                  <w:noWrap w:val="0"/>
                  <w:vAlign w:val="center"/>
                </w:tcPr>
                <w:p w14:paraId="1DD4602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Cs w:val="21"/>
                      <w:lang w:val="en-US" w:eastAsia="zh-CN"/>
                    </w:rPr>
                  </w:pPr>
                  <w:r>
                    <w:rPr>
                      <w:rFonts w:hint="default" w:ascii="Times New Roman" w:hAnsi="Times New Roman" w:cs="Times New Roman"/>
                      <w:b/>
                      <w:bCs/>
                      <w:color w:val="auto"/>
                      <w:kern w:val="0"/>
                      <w:szCs w:val="21"/>
                      <w:lang w:val="en-US" w:eastAsia="zh-CN"/>
                    </w:rPr>
                    <w:t>符合性</w:t>
                  </w:r>
                </w:p>
              </w:tc>
            </w:tr>
            <w:tr w14:paraId="4E8CE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l2br w:val="nil"/>
                    <w:tr2bl w:val="nil"/>
                  </w:tcBorders>
                  <w:noWrap w:val="0"/>
                  <w:vAlign w:val="center"/>
                </w:tcPr>
                <w:p w14:paraId="3D4B30A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w:t>
                  </w:r>
                </w:p>
              </w:tc>
              <w:tc>
                <w:tcPr>
                  <w:tcW w:w="3292" w:type="pct"/>
                  <w:tcBorders>
                    <w:tl2br w:val="nil"/>
                    <w:tr2bl w:val="nil"/>
                  </w:tcBorders>
                  <w:noWrap w:val="0"/>
                  <w:vAlign w:val="top"/>
                </w:tcPr>
                <w:p w14:paraId="4D05397F">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全面加强无组织排放控制。重点对含</w:t>
                  </w:r>
                  <w:r>
                    <w:rPr>
                      <w:rFonts w:hint="eastAsia" w:ascii="Times New Roman" w:hAnsi="Times New Roman" w:cs="Times New Roman"/>
                      <w:color w:val="auto"/>
                      <w:kern w:val="0"/>
                      <w:szCs w:val="21"/>
                      <w:lang w:eastAsia="zh-CN"/>
                    </w:rPr>
                    <w:t>VOCs</w:t>
                  </w:r>
                  <w:r>
                    <w:rPr>
                      <w:rFonts w:hint="default" w:ascii="Times New Roman" w:hAnsi="Times New Roman" w:cs="Times New Roman"/>
                      <w:color w:val="auto"/>
                      <w:kern w:val="0"/>
                      <w:szCs w:val="21"/>
                    </w:rPr>
                    <w:t>物料（包括含</w:t>
                  </w:r>
                  <w:r>
                    <w:rPr>
                      <w:rFonts w:hint="eastAsia" w:ascii="Times New Roman" w:hAnsi="Times New Roman" w:cs="Times New Roman"/>
                      <w:color w:val="auto"/>
                      <w:kern w:val="0"/>
                      <w:szCs w:val="21"/>
                      <w:lang w:eastAsia="zh-CN"/>
                    </w:rPr>
                    <w:t>VOCs</w:t>
                  </w:r>
                  <w:r>
                    <w:rPr>
                      <w:rFonts w:hint="default" w:ascii="Times New Roman" w:hAnsi="Times New Roman" w:cs="Times New Roman"/>
                      <w:color w:val="auto"/>
                      <w:kern w:val="0"/>
                      <w:szCs w:val="21"/>
                    </w:rPr>
                    <w:t>原辅材料、含</w:t>
                  </w:r>
                  <w:r>
                    <w:rPr>
                      <w:rFonts w:hint="eastAsia" w:ascii="Times New Roman" w:hAnsi="Times New Roman" w:cs="Times New Roman"/>
                      <w:color w:val="auto"/>
                      <w:kern w:val="0"/>
                      <w:szCs w:val="21"/>
                      <w:lang w:eastAsia="zh-CN"/>
                    </w:rPr>
                    <w:t>VOCs</w:t>
                  </w:r>
                  <w:r>
                    <w:rPr>
                      <w:rFonts w:hint="default" w:ascii="Times New Roman" w:hAnsi="Times New Roman" w:cs="Times New Roman"/>
                      <w:color w:val="auto"/>
                      <w:kern w:val="0"/>
                      <w:szCs w:val="21"/>
                    </w:rPr>
                    <w:t>产品、含</w:t>
                  </w:r>
                  <w:r>
                    <w:rPr>
                      <w:rFonts w:hint="eastAsia" w:ascii="Times New Roman" w:hAnsi="Times New Roman" w:cs="Times New Roman"/>
                      <w:color w:val="auto"/>
                      <w:kern w:val="0"/>
                      <w:szCs w:val="21"/>
                      <w:lang w:eastAsia="zh-CN"/>
                    </w:rPr>
                    <w:t>VOCs</w:t>
                  </w:r>
                  <w:r>
                    <w:rPr>
                      <w:rFonts w:hint="default" w:ascii="Times New Roman" w:hAnsi="Times New Roman" w:cs="Times New Roman"/>
                      <w:color w:val="auto"/>
                      <w:kern w:val="0"/>
                      <w:szCs w:val="21"/>
                    </w:rPr>
                    <w:t>废料以及有机聚合物材料等）储存、转移和输送、设备与管线组件泄漏、敞开液面逸散以及工艺过程等五类排放源实施管控，通过采取设备与场所密闭、工艺改进、废气有效收集等措施，削减</w:t>
                  </w:r>
                  <w:r>
                    <w:rPr>
                      <w:rFonts w:hint="eastAsia" w:ascii="Times New Roman" w:hAnsi="Times New Roman" w:cs="Times New Roman"/>
                      <w:color w:val="auto"/>
                      <w:kern w:val="0"/>
                      <w:szCs w:val="21"/>
                      <w:lang w:eastAsia="zh-CN"/>
                    </w:rPr>
                    <w:t>VOCs</w:t>
                  </w:r>
                  <w:r>
                    <w:rPr>
                      <w:rFonts w:hint="default" w:ascii="Times New Roman" w:hAnsi="Times New Roman" w:cs="Times New Roman"/>
                      <w:color w:val="auto"/>
                      <w:kern w:val="0"/>
                      <w:szCs w:val="21"/>
                    </w:rPr>
                    <w:t>无组织排放。</w:t>
                  </w:r>
                </w:p>
                <w:p w14:paraId="64057ADF">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加强设备与场所密闭管理。含</w:t>
                  </w:r>
                  <w:r>
                    <w:rPr>
                      <w:rFonts w:hint="eastAsia" w:ascii="Times New Roman" w:hAnsi="Times New Roman" w:cs="Times New Roman"/>
                      <w:color w:val="auto"/>
                      <w:kern w:val="0"/>
                      <w:szCs w:val="21"/>
                      <w:lang w:eastAsia="zh-CN"/>
                    </w:rPr>
                    <w:t>VOCs</w:t>
                  </w:r>
                  <w:r>
                    <w:rPr>
                      <w:rFonts w:hint="default" w:ascii="Times New Roman" w:hAnsi="Times New Roman" w:cs="Times New Roman"/>
                      <w:color w:val="auto"/>
                      <w:kern w:val="0"/>
                      <w:szCs w:val="21"/>
                    </w:rPr>
                    <w:t>物料应储存于密闭容器、包装袋，高效密封储罐，封闭式储库、料仓等。含</w:t>
                  </w:r>
                  <w:r>
                    <w:rPr>
                      <w:rFonts w:hint="eastAsia" w:ascii="Times New Roman" w:hAnsi="Times New Roman" w:cs="Times New Roman"/>
                      <w:color w:val="auto"/>
                      <w:kern w:val="0"/>
                      <w:szCs w:val="21"/>
                      <w:lang w:eastAsia="zh-CN"/>
                    </w:rPr>
                    <w:t>VOCs</w:t>
                  </w:r>
                  <w:r>
                    <w:rPr>
                      <w:rFonts w:hint="default" w:ascii="Times New Roman" w:hAnsi="Times New Roman" w:cs="Times New Roman"/>
                      <w:color w:val="auto"/>
                      <w:kern w:val="0"/>
                      <w:szCs w:val="21"/>
                    </w:rPr>
                    <w:t>物料转移和输送，应采用密闭管道或密闭容器、罐车等。高</w:t>
                  </w:r>
                  <w:r>
                    <w:rPr>
                      <w:rFonts w:hint="eastAsia" w:ascii="Times New Roman" w:hAnsi="Times New Roman" w:cs="Times New Roman"/>
                      <w:color w:val="auto"/>
                      <w:kern w:val="0"/>
                      <w:szCs w:val="21"/>
                      <w:lang w:eastAsia="zh-CN"/>
                    </w:rPr>
                    <w:t>VOCs</w:t>
                  </w:r>
                  <w:r>
                    <w:rPr>
                      <w:rFonts w:hint="default" w:ascii="Times New Roman" w:hAnsi="Times New Roman" w:cs="Times New Roman"/>
                      <w:color w:val="auto"/>
                      <w:kern w:val="0"/>
                      <w:szCs w:val="21"/>
                    </w:rPr>
                    <w:t>含量废水（废水液面上方100毫米处</w:t>
                  </w:r>
                  <w:r>
                    <w:rPr>
                      <w:rFonts w:hint="eastAsia" w:ascii="Times New Roman" w:hAnsi="Times New Roman" w:cs="Times New Roman"/>
                      <w:color w:val="auto"/>
                      <w:kern w:val="0"/>
                      <w:szCs w:val="21"/>
                      <w:lang w:eastAsia="zh-CN"/>
                    </w:rPr>
                    <w:t>VOCs</w:t>
                  </w:r>
                  <w:r>
                    <w:rPr>
                      <w:rFonts w:hint="default" w:ascii="Times New Roman" w:hAnsi="Times New Roman" w:cs="Times New Roman"/>
                      <w:color w:val="auto"/>
                      <w:kern w:val="0"/>
                      <w:szCs w:val="21"/>
                    </w:rPr>
                    <w:t>检测浓度超过200ppm，其中，重点区域超过100ppm，以碳计）的集输、储存和处理过程，应加盖密闭。含</w:t>
                  </w:r>
                  <w:r>
                    <w:rPr>
                      <w:rFonts w:hint="eastAsia" w:ascii="Times New Roman" w:hAnsi="Times New Roman" w:cs="Times New Roman"/>
                      <w:color w:val="auto"/>
                      <w:kern w:val="0"/>
                      <w:szCs w:val="21"/>
                      <w:lang w:eastAsia="zh-CN"/>
                    </w:rPr>
                    <w:t>VOCs</w:t>
                  </w:r>
                  <w:r>
                    <w:rPr>
                      <w:rFonts w:hint="default" w:ascii="Times New Roman" w:hAnsi="Times New Roman" w:cs="Times New Roman"/>
                      <w:color w:val="auto"/>
                      <w:kern w:val="0"/>
                      <w:szCs w:val="21"/>
                    </w:rPr>
                    <w:t>物料生产和使用过程，应采取有效收集措施或在密闭空间中操作。</w:t>
                  </w:r>
                </w:p>
                <w:p w14:paraId="22D593A3">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推进使用先进生产工艺。通过采用全密闭、连续化、自动化等生产技术，以及高效工艺与设备等，减少工艺过程无组织排放。挥发性有机液体装载优先采用底部装载方式。工业涂装行业重点推进使用紧凑式涂装工艺，推广采用辊涂、静电喷涂、高压无气喷涂、空气辅助无气喷涂、热喷涂等涂装技术，鼓励企业采用自动化、智能化喷涂设备替代人工喷涂，减少使用空气喷涂技术。</w:t>
                  </w:r>
                </w:p>
                <w:p w14:paraId="04077886">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提高废气收集率。遵循“应收尽收、分质收集”的原则，科学设计废气收集系统，将无组织排放转变为有组织排放进行控制。采用全密闭集气罩或密闭空间的，除行业</w:t>
                  </w:r>
                  <w:r>
                    <w:rPr>
                      <w:rFonts w:hint="default" w:ascii="Times New Roman" w:hAnsi="Times New Roman" w:cs="Times New Roman"/>
                      <w:color w:val="auto"/>
                      <w:kern w:val="0"/>
                      <w:szCs w:val="21"/>
                    </w:rPr>
                    <w:cr/>
                  </w:r>
                  <w:r>
                    <w:rPr>
                      <w:rFonts w:hint="default" w:ascii="Times New Roman" w:hAnsi="Times New Roman" w:cs="Times New Roman"/>
                      <w:color w:val="auto"/>
                      <w:kern w:val="0"/>
                      <w:szCs w:val="21"/>
                    </w:rPr>
                    <w:t>特殊要求外，应保持微负压状态，并根据相关规范合理设置通风量。采用局部集气罩的，距集气罩开口面最远处的</w:t>
                  </w:r>
                  <w:r>
                    <w:rPr>
                      <w:rFonts w:hint="eastAsia" w:ascii="Times New Roman" w:hAnsi="Times New Roman" w:cs="Times New Roman"/>
                      <w:color w:val="auto"/>
                      <w:kern w:val="0"/>
                      <w:szCs w:val="21"/>
                      <w:lang w:eastAsia="zh-CN"/>
                    </w:rPr>
                    <w:t>VOCs</w:t>
                  </w:r>
                  <w:r>
                    <w:rPr>
                      <w:rFonts w:hint="default" w:ascii="Times New Roman" w:hAnsi="Times New Roman" w:cs="Times New Roman"/>
                      <w:color w:val="auto"/>
                      <w:kern w:val="0"/>
                      <w:szCs w:val="21"/>
                    </w:rPr>
                    <w:t>无组织排放位置，控制风速应不低于0.3米/秒，有行业要求的按相关规定执行。加强设备与管线组件泄漏控制。企业中载有气态、液态</w:t>
                  </w:r>
                  <w:r>
                    <w:rPr>
                      <w:rFonts w:hint="eastAsia" w:ascii="Times New Roman" w:hAnsi="Times New Roman" w:cs="Times New Roman"/>
                      <w:color w:val="auto"/>
                      <w:kern w:val="0"/>
                      <w:szCs w:val="21"/>
                      <w:lang w:eastAsia="zh-CN"/>
                    </w:rPr>
                    <w:t>VOCs</w:t>
                  </w:r>
                  <w:r>
                    <w:rPr>
                      <w:rFonts w:hint="default" w:ascii="Times New Roman" w:hAnsi="Times New Roman" w:cs="Times New Roman"/>
                      <w:color w:val="auto"/>
                      <w:kern w:val="0"/>
                      <w:szCs w:val="21"/>
                    </w:rPr>
                    <w:t>物料的设备与管线组件，密封点数量大于等于2000个的，应按要求开展LDAR工作。石化企业按行业排放标准规定执行。</w:t>
                  </w:r>
                </w:p>
              </w:tc>
              <w:tc>
                <w:tcPr>
                  <w:tcW w:w="789" w:type="pct"/>
                  <w:tcBorders>
                    <w:tl2br w:val="nil"/>
                    <w:tr2bl w:val="nil"/>
                  </w:tcBorders>
                  <w:noWrap w:val="0"/>
                  <w:vAlign w:val="center"/>
                </w:tcPr>
                <w:p w14:paraId="551FEB35">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eastAsia="宋体" w:cs="Times New Roman"/>
                      <w:color w:val="auto"/>
                      <w:kern w:val="0"/>
                      <w:szCs w:val="21"/>
                      <w:lang w:eastAsia="zh-CN"/>
                    </w:rPr>
                  </w:pPr>
                  <w:r>
                    <w:rPr>
                      <w:rFonts w:hint="default" w:ascii="Times New Roman" w:hAnsi="Times New Roman" w:cs="Times New Roman"/>
                      <w:color w:val="auto"/>
                    </w:rPr>
                    <w:t>本项目含</w:t>
                  </w:r>
                  <w:r>
                    <w:rPr>
                      <w:rFonts w:hint="eastAsia" w:ascii="Times New Roman" w:hAnsi="Times New Roman" w:cs="Times New Roman"/>
                      <w:color w:val="auto"/>
                      <w:lang w:eastAsia="zh-CN"/>
                    </w:rPr>
                    <w:t>VOCs</w:t>
                  </w:r>
                  <w:r>
                    <w:rPr>
                      <w:rFonts w:hint="default" w:ascii="Times New Roman" w:hAnsi="Times New Roman" w:cs="Times New Roman"/>
                      <w:color w:val="auto"/>
                    </w:rPr>
                    <w:t>物料采用密封桶装，转运环节采用密闭容器。</w:t>
                  </w:r>
                </w:p>
              </w:tc>
              <w:tc>
                <w:tcPr>
                  <w:tcW w:w="506" w:type="pct"/>
                  <w:tcBorders>
                    <w:tl2br w:val="nil"/>
                    <w:tr2bl w:val="nil"/>
                  </w:tcBorders>
                  <w:noWrap w:val="0"/>
                  <w:vAlign w:val="center"/>
                </w:tcPr>
                <w:p w14:paraId="531D2FC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szCs w:val="21"/>
                    </w:rPr>
                    <w:t>符合</w:t>
                  </w:r>
                </w:p>
              </w:tc>
            </w:tr>
            <w:tr w14:paraId="3A981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l2br w:val="nil"/>
                    <w:tr2bl w:val="nil"/>
                  </w:tcBorders>
                  <w:noWrap w:val="0"/>
                  <w:vAlign w:val="center"/>
                </w:tcPr>
                <w:p w14:paraId="73DD56D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w:t>
                  </w:r>
                </w:p>
              </w:tc>
              <w:tc>
                <w:tcPr>
                  <w:tcW w:w="3292" w:type="pct"/>
                  <w:tcBorders>
                    <w:tl2br w:val="nil"/>
                    <w:tr2bl w:val="nil"/>
                  </w:tcBorders>
                  <w:noWrap w:val="0"/>
                  <w:vAlign w:val="top"/>
                </w:tcPr>
                <w:p w14:paraId="14CBF92C">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工业涂装</w:t>
                  </w:r>
                  <w:r>
                    <w:rPr>
                      <w:rFonts w:hint="eastAsia" w:ascii="Times New Roman" w:hAnsi="Times New Roman" w:cs="Times New Roman"/>
                      <w:color w:val="auto"/>
                      <w:kern w:val="0"/>
                      <w:szCs w:val="21"/>
                      <w:lang w:eastAsia="zh-CN"/>
                    </w:rPr>
                    <w:t>VOCs</w:t>
                  </w:r>
                  <w:r>
                    <w:rPr>
                      <w:rFonts w:hint="default" w:ascii="Times New Roman" w:hAnsi="Times New Roman" w:cs="Times New Roman"/>
                      <w:color w:val="auto"/>
                      <w:kern w:val="0"/>
                      <w:szCs w:val="21"/>
                    </w:rPr>
                    <w:t>综合治理。加大汽车、家具、集装箱、电子产品、工程机械等行业</w:t>
                  </w:r>
                  <w:r>
                    <w:rPr>
                      <w:rFonts w:hint="eastAsia" w:ascii="Times New Roman" w:hAnsi="Times New Roman" w:cs="Times New Roman"/>
                      <w:color w:val="auto"/>
                      <w:kern w:val="0"/>
                      <w:szCs w:val="21"/>
                      <w:lang w:eastAsia="zh-CN"/>
                    </w:rPr>
                    <w:t>VOCs</w:t>
                  </w:r>
                  <w:r>
                    <w:rPr>
                      <w:rFonts w:hint="default" w:ascii="Times New Roman" w:hAnsi="Times New Roman" w:cs="Times New Roman"/>
                      <w:color w:val="auto"/>
                      <w:kern w:val="0"/>
                      <w:szCs w:val="21"/>
                    </w:rPr>
                    <w:t>治理力度，重点区域应结合本地产业特征，加快实施其他行业涂装</w:t>
                  </w:r>
                  <w:r>
                    <w:rPr>
                      <w:rFonts w:hint="eastAsia" w:ascii="Times New Roman" w:hAnsi="Times New Roman" w:cs="Times New Roman"/>
                      <w:color w:val="auto"/>
                      <w:kern w:val="0"/>
                      <w:szCs w:val="21"/>
                      <w:lang w:eastAsia="zh-CN"/>
                    </w:rPr>
                    <w:t>VOCs</w:t>
                  </w:r>
                  <w:r>
                    <w:rPr>
                      <w:rFonts w:hint="default" w:ascii="Times New Roman" w:hAnsi="Times New Roman" w:cs="Times New Roman"/>
                      <w:color w:val="auto"/>
                      <w:kern w:val="0"/>
                      <w:szCs w:val="21"/>
                    </w:rPr>
                    <w:t>综合治理。强化源头控制，加快使用粉末、水性、高固体分、辐射固化等低</w:t>
                  </w:r>
                  <w:r>
                    <w:rPr>
                      <w:rFonts w:hint="eastAsia" w:ascii="Times New Roman" w:hAnsi="Times New Roman" w:cs="Times New Roman"/>
                      <w:color w:val="auto"/>
                      <w:kern w:val="0"/>
                      <w:szCs w:val="21"/>
                      <w:lang w:eastAsia="zh-CN"/>
                    </w:rPr>
                    <w:t>VOCs</w:t>
                  </w:r>
                  <w:r>
                    <w:rPr>
                      <w:rFonts w:hint="default" w:ascii="Times New Roman" w:hAnsi="Times New Roman" w:cs="Times New Roman"/>
                      <w:color w:val="auto"/>
                      <w:kern w:val="0"/>
                      <w:szCs w:val="21"/>
                    </w:rPr>
                    <w:t>含量的涂料替代溶剂型涂料。工程机械制造大力推广使用水性、粉末和高固体分涂料。</w:t>
                  </w:r>
                </w:p>
              </w:tc>
              <w:tc>
                <w:tcPr>
                  <w:tcW w:w="789" w:type="pct"/>
                  <w:tcBorders>
                    <w:tl2br w:val="nil"/>
                    <w:tr2bl w:val="nil"/>
                  </w:tcBorders>
                  <w:noWrap w:val="0"/>
                  <w:vAlign w:val="center"/>
                </w:tcPr>
                <w:p w14:paraId="447E52E8">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项目废气经</w:t>
                  </w:r>
                  <w:r>
                    <w:rPr>
                      <w:rFonts w:hint="default" w:ascii="Times New Roman" w:hAnsi="Times New Roman" w:eastAsia="宋体" w:cs="Times New Roman"/>
                      <w:color w:val="auto"/>
                      <w:kern w:val="0"/>
                      <w:szCs w:val="21"/>
                      <w:lang w:eastAsia="zh-CN"/>
                    </w:rPr>
                    <w:t>“两级活性炭”</w:t>
                  </w:r>
                  <w:r>
                    <w:rPr>
                      <w:rFonts w:hint="default" w:ascii="Times New Roman" w:hAnsi="Times New Roman" w:cs="Times New Roman"/>
                      <w:color w:val="auto"/>
                      <w:kern w:val="0"/>
                      <w:szCs w:val="21"/>
                    </w:rPr>
                    <w:t>处理达标后排放。</w:t>
                  </w:r>
                </w:p>
              </w:tc>
              <w:tc>
                <w:tcPr>
                  <w:tcW w:w="506" w:type="pct"/>
                  <w:tcBorders>
                    <w:tl2br w:val="nil"/>
                    <w:tr2bl w:val="nil"/>
                  </w:tcBorders>
                  <w:noWrap w:val="0"/>
                  <w:vAlign w:val="center"/>
                </w:tcPr>
                <w:p w14:paraId="12F9D41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szCs w:val="21"/>
                    </w:rPr>
                    <w:t>符合</w:t>
                  </w:r>
                </w:p>
              </w:tc>
            </w:tr>
            <w:tr w14:paraId="17CB1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l2br w:val="nil"/>
                    <w:tr2bl w:val="nil"/>
                  </w:tcBorders>
                  <w:noWrap w:val="0"/>
                  <w:vAlign w:val="center"/>
                </w:tcPr>
                <w:p w14:paraId="51AA3D7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w:t>
                  </w:r>
                </w:p>
              </w:tc>
              <w:tc>
                <w:tcPr>
                  <w:tcW w:w="3292" w:type="pct"/>
                  <w:tcBorders>
                    <w:tl2br w:val="nil"/>
                    <w:tr2bl w:val="nil"/>
                  </w:tcBorders>
                  <w:noWrap w:val="0"/>
                  <w:vAlign w:val="top"/>
                </w:tcPr>
                <w:p w14:paraId="2E322FFD">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加快推广紧凑式涂装工艺、先进涂装技术和设备。汽车金属零配件企业鼓励采用粉末静电喷涂技术。</w:t>
                  </w:r>
                </w:p>
              </w:tc>
              <w:tc>
                <w:tcPr>
                  <w:tcW w:w="789" w:type="pct"/>
                  <w:tcBorders>
                    <w:tl2br w:val="nil"/>
                    <w:tr2bl w:val="nil"/>
                  </w:tcBorders>
                  <w:noWrap w:val="0"/>
                  <w:vAlign w:val="center"/>
                </w:tcPr>
                <w:p w14:paraId="44E07A18">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本项目不涉及喷涂。</w:t>
                  </w:r>
                </w:p>
              </w:tc>
              <w:tc>
                <w:tcPr>
                  <w:tcW w:w="506" w:type="pct"/>
                  <w:tcBorders>
                    <w:tl2br w:val="nil"/>
                    <w:tr2bl w:val="nil"/>
                  </w:tcBorders>
                  <w:noWrap w:val="0"/>
                  <w:vAlign w:val="center"/>
                </w:tcPr>
                <w:p w14:paraId="1C536AC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szCs w:val="21"/>
                    </w:rPr>
                    <w:t>符合</w:t>
                  </w:r>
                </w:p>
              </w:tc>
            </w:tr>
            <w:tr w14:paraId="61166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l2br w:val="nil"/>
                    <w:tr2bl w:val="nil"/>
                  </w:tcBorders>
                  <w:noWrap w:val="0"/>
                  <w:vAlign w:val="center"/>
                </w:tcPr>
                <w:p w14:paraId="1FD1A2C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w:t>
                  </w:r>
                </w:p>
              </w:tc>
              <w:tc>
                <w:tcPr>
                  <w:tcW w:w="3292" w:type="pct"/>
                  <w:tcBorders>
                    <w:tl2br w:val="nil"/>
                    <w:tr2bl w:val="nil"/>
                  </w:tcBorders>
                  <w:noWrap w:val="0"/>
                  <w:vAlign w:val="top"/>
                </w:tcPr>
                <w:p w14:paraId="3DA6F2EF">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有效控制无组织排放。涂料、稀释剂、清洗剂等原辅材料应密闭存储，调配、使用、回收等过程应采用</w:t>
                  </w:r>
                  <w:r>
                    <w:rPr>
                      <w:rFonts w:hint="default" w:ascii="Times New Roman" w:hAnsi="Times New Roman" w:cs="Times New Roman"/>
                      <w:color w:val="auto"/>
                      <w:kern w:val="0"/>
                      <w:szCs w:val="21"/>
                      <w:lang w:val="en-US" w:eastAsia="zh-CN"/>
                    </w:rPr>
                    <w:t>密</w:t>
                  </w:r>
                  <w:r>
                    <w:rPr>
                      <w:rFonts w:hint="default" w:ascii="Times New Roman" w:hAnsi="Times New Roman" w:cs="Times New Roman"/>
                      <w:color w:val="auto"/>
                      <w:kern w:val="0"/>
                      <w:szCs w:val="21"/>
                    </w:rPr>
                    <w:cr/>
                  </w:r>
                  <w:r>
                    <w:rPr>
                      <w:rFonts w:hint="default" w:ascii="Times New Roman" w:hAnsi="Times New Roman" w:cs="Times New Roman"/>
                      <w:color w:val="auto"/>
                      <w:kern w:val="0"/>
                      <w:szCs w:val="21"/>
                    </w:rPr>
                    <w:t>闭设备或在密闭空间内操作，采用密闭管道或密闭容器等输送。除大型工件外，禁止敞开式喷涂、晾（风）干作业。除工艺限制外，原则上实行集中调配。调配、喷涂和干燥等</w:t>
                  </w:r>
                  <w:r>
                    <w:rPr>
                      <w:rFonts w:hint="eastAsia" w:ascii="Times New Roman" w:hAnsi="Times New Roman" w:cs="Times New Roman"/>
                      <w:color w:val="auto"/>
                      <w:kern w:val="0"/>
                      <w:szCs w:val="21"/>
                      <w:lang w:eastAsia="zh-CN"/>
                    </w:rPr>
                    <w:t>VOCs</w:t>
                  </w:r>
                  <w:r>
                    <w:rPr>
                      <w:rFonts w:hint="default" w:ascii="Times New Roman" w:hAnsi="Times New Roman" w:cs="Times New Roman"/>
                      <w:color w:val="auto"/>
                      <w:kern w:val="0"/>
                      <w:szCs w:val="21"/>
                    </w:rPr>
                    <w:t>排放工序应配备有效的废气收集系统。</w:t>
                  </w:r>
                </w:p>
              </w:tc>
              <w:tc>
                <w:tcPr>
                  <w:tcW w:w="789" w:type="pct"/>
                  <w:tcBorders>
                    <w:tl2br w:val="nil"/>
                    <w:tr2bl w:val="nil"/>
                  </w:tcBorders>
                  <w:noWrap w:val="0"/>
                  <w:vAlign w:val="center"/>
                </w:tcPr>
                <w:p w14:paraId="06AC81B8">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w:t>
                  </w:r>
                  <w:r>
                    <w:rPr>
                      <w:rFonts w:hint="eastAsia" w:ascii="Times New Roman" w:hAnsi="Times New Roman" w:cs="Times New Roman"/>
                      <w:color w:val="auto"/>
                      <w:kern w:val="0"/>
                      <w:szCs w:val="21"/>
                      <w:lang w:eastAsia="zh-CN"/>
                    </w:rPr>
                    <w:t>VOCs</w:t>
                  </w:r>
                  <w:r>
                    <w:rPr>
                      <w:rFonts w:hint="default" w:ascii="Times New Roman" w:hAnsi="Times New Roman" w:cs="Times New Roman"/>
                      <w:color w:val="auto"/>
                      <w:kern w:val="0"/>
                      <w:szCs w:val="21"/>
                    </w:rPr>
                    <w:t>物料采用密封桶装，转运环节采用密闭容器。</w:t>
                  </w:r>
                </w:p>
              </w:tc>
              <w:tc>
                <w:tcPr>
                  <w:tcW w:w="506" w:type="pct"/>
                  <w:tcBorders>
                    <w:tl2br w:val="nil"/>
                    <w:tr2bl w:val="nil"/>
                  </w:tcBorders>
                  <w:noWrap w:val="0"/>
                  <w:vAlign w:val="center"/>
                </w:tcPr>
                <w:p w14:paraId="72AD8A3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szCs w:val="21"/>
                    </w:rPr>
                    <w:t>符合</w:t>
                  </w:r>
                </w:p>
              </w:tc>
            </w:tr>
            <w:tr w14:paraId="458A7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l2br w:val="nil"/>
                    <w:tr2bl w:val="nil"/>
                  </w:tcBorders>
                  <w:noWrap w:val="0"/>
                  <w:vAlign w:val="center"/>
                </w:tcPr>
                <w:p w14:paraId="3795FCF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w:t>
                  </w:r>
                </w:p>
              </w:tc>
              <w:tc>
                <w:tcPr>
                  <w:tcW w:w="3292" w:type="pct"/>
                  <w:tcBorders>
                    <w:tl2br w:val="nil"/>
                    <w:tr2bl w:val="nil"/>
                  </w:tcBorders>
                  <w:noWrap w:val="0"/>
                  <w:vAlign w:val="top"/>
                </w:tcPr>
                <w:p w14:paraId="01C8FA83">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工业园区和产业集群</w:t>
                  </w:r>
                  <w:r>
                    <w:rPr>
                      <w:rFonts w:hint="eastAsia" w:ascii="Times New Roman" w:hAnsi="Times New Roman" w:cs="Times New Roman"/>
                      <w:color w:val="auto"/>
                      <w:kern w:val="0"/>
                      <w:szCs w:val="21"/>
                      <w:lang w:eastAsia="zh-CN"/>
                    </w:rPr>
                    <w:t>VOCs</w:t>
                  </w:r>
                  <w:r>
                    <w:rPr>
                      <w:rFonts w:hint="default" w:ascii="Times New Roman" w:hAnsi="Times New Roman" w:cs="Times New Roman"/>
                      <w:color w:val="auto"/>
                      <w:kern w:val="0"/>
                      <w:szCs w:val="21"/>
                    </w:rPr>
                    <w:t>综合治理。各地应加大涉</w:t>
                  </w:r>
                  <w:r>
                    <w:rPr>
                      <w:rFonts w:hint="eastAsia" w:ascii="Times New Roman" w:hAnsi="Times New Roman" w:cs="Times New Roman"/>
                      <w:color w:val="auto"/>
                      <w:kern w:val="0"/>
                      <w:szCs w:val="21"/>
                      <w:lang w:eastAsia="zh-CN"/>
                    </w:rPr>
                    <w:t>VOCs</w:t>
                  </w:r>
                  <w:r>
                    <w:rPr>
                      <w:rFonts w:hint="default" w:ascii="Times New Roman" w:hAnsi="Times New Roman" w:cs="Times New Roman"/>
                      <w:color w:val="auto"/>
                      <w:kern w:val="0"/>
                      <w:szCs w:val="21"/>
                    </w:rPr>
                    <w:t>排放工业园区和产业集群综合整治力度，加强资源共享，实施集中治理，开展园区监测评估，建立环境信息共享平台。对涂装类企业集中的工业园区和产业集群，如家具、机械制造、电子产品、汽车维修等，鼓励建设集中涂装中心，配备</w:t>
                  </w:r>
                  <w:r>
                    <w:rPr>
                      <w:rFonts w:hint="default" w:ascii="Times New Roman" w:hAnsi="Times New Roman" w:cs="Times New Roman"/>
                      <w:color w:val="auto"/>
                      <w:kern w:val="0"/>
                      <w:szCs w:val="21"/>
                      <w:lang w:val="en-US" w:eastAsia="zh-CN"/>
                    </w:rPr>
                    <w:t>有</w:t>
                  </w:r>
                  <w:r>
                    <w:rPr>
                      <w:rFonts w:hint="default" w:ascii="Times New Roman" w:hAnsi="Times New Roman" w:cs="Times New Roman"/>
                      <w:color w:val="auto"/>
                      <w:kern w:val="0"/>
                      <w:szCs w:val="21"/>
                    </w:rPr>
                    <w:cr/>
                  </w:r>
                  <w:r>
                    <w:rPr>
                      <w:rFonts w:hint="default" w:ascii="Times New Roman" w:hAnsi="Times New Roman" w:cs="Times New Roman"/>
                      <w:color w:val="auto"/>
                      <w:kern w:val="0"/>
                      <w:szCs w:val="21"/>
                    </w:rPr>
                    <w:t>效废气治理设施，代替分散的涂装工序。</w:t>
                  </w:r>
                </w:p>
              </w:tc>
              <w:tc>
                <w:tcPr>
                  <w:tcW w:w="789" w:type="pct"/>
                  <w:tcBorders>
                    <w:tl2br w:val="nil"/>
                    <w:tr2bl w:val="nil"/>
                  </w:tcBorders>
                  <w:noWrap w:val="0"/>
                  <w:vAlign w:val="center"/>
                </w:tcPr>
                <w:p w14:paraId="6C3CE5F8">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项目废气经</w:t>
                  </w:r>
                  <w:r>
                    <w:rPr>
                      <w:rFonts w:hint="default" w:ascii="Times New Roman" w:hAnsi="Times New Roman" w:eastAsia="宋体" w:cs="Times New Roman"/>
                      <w:color w:val="auto"/>
                      <w:kern w:val="0"/>
                      <w:szCs w:val="21"/>
                      <w:lang w:eastAsia="zh-CN"/>
                    </w:rPr>
                    <w:t>“两级活性炭”</w:t>
                  </w:r>
                  <w:r>
                    <w:rPr>
                      <w:rFonts w:hint="default" w:ascii="Times New Roman" w:hAnsi="Times New Roman" w:cs="Times New Roman"/>
                      <w:color w:val="auto"/>
                      <w:kern w:val="0"/>
                      <w:szCs w:val="21"/>
                    </w:rPr>
                    <w:t>处理达标后排放</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lang w:val="en-US" w:eastAsia="zh-CN"/>
                    </w:rPr>
                    <w:t>满足要求</w:t>
                  </w:r>
                  <w:r>
                    <w:rPr>
                      <w:rFonts w:hint="default" w:ascii="Times New Roman" w:hAnsi="Times New Roman" w:cs="Times New Roman"/>
                      <w:color w:val="auto"/>
                      <w:kern w:val="0"/>
                      <w:szCs w:val="21"/>
                    </w:rPr>
                    <w:t>。</w:t>
                  </w:r>
                </w:p>
              </w:tc>
              <w:tc>
                <w:tcPr>
                  <w:tcW w:w="506" w:type="pct"/>
                  <w:tcBorders>
                    <w:tl2br w:val="nil"/>
                    <w:tr2bl w:val="nil"/>
                  </w:tcBorders>
                  <w:noWrap w:val="0"/>
                  <w:vAlign w:val="center"/>
                </w:tcPr>
                <w:p w14:paraId="13CF8F7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szCs w:val="21"/>
                    </w:rPr>
                    <w:t>符合</w:t>
                  </w:r>
                </w:p>
              </w:tc>
            </w:tr>
          </w:tbl>
          <w:p w14:paraId="5E70137B">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因此，项目符合《重点行业挥发性有机物综合治理方案》要求。</w:t>
            </w:r>
          </w:p>
          <w:p w14:paraId="2421FBA6">
            <w:pPr>
              <w:pStyle w:val="53"/>
              <w:keepNext w:val="0"/>
              <w:keepLines w:val="0"/>
              <w:pageBreakBefore w:val="0"/>
              <w:widowControl w:val="0"/>
              <w:tabs>
                <w:tab w:val="left" w:pos="540"/>
                <w:tab w:val="left" w:pos="1080"/>
                <w:tab w:val="left" w:pos="1800"/>
              </w:tabs>
              <w:kinsoku/>
              <w:wordWrap/>
              <w:overflowPunct/>
              <w:topLinePunct w:val="0"/>
              <w:bidi w:val="0"/>
              <w:adjustRightInd w:val="0"/>
              <w:snapToGrid w:val="0"/>
              <w:ind w:left="0" w:leftChars="0" w:firstLine="0" w:firstLineChars="0"/>
              <w:textAlignment w:val="auto"/>
              <w:rPr>
                <w:rFonts w:hint="default" w:ascii="Times New Roman" w:hAnsi="Times New Roman" w:cs="Times New Roman"/>
                <w:color w:val="auto"/>
                <w:sz w:val="24"/>
              </w:rPr>
            </w:pPr>
            <w:r>
              <w:rPr>
                <w:rFonts w:hint="default" w:ascii="Times New Roman" w:hAnsi="Times New Roman" w:eastAsia="宋体" w:cs="Times New Roman"/>
                <w:b/>
                <w:bCs/>
                <w:color w:val="auto"/>
                <w:sz w:val="24"/>
                <w:szCs w:val="24"/>
                <w:highlight w:val="none"/>
              </w:rPr>
              <w:t>1.</w:t>
            </w:r>
            <w:r>
              <w:rPr>
                <w:rFonts w:hint="default" w:ascii="Times New Roman" w:hAnsi="Times New Roman" w:eastAsia="宋体" w:cs="Times New Roman"/>
                <w:b/>
                <w:bCs/>
                <w:color w:val="auto"/>
                <w:sz w:val="24"/>
                <w:szCs w:val="24"/>
                <w:highlight w:val="none"/>
                <w:lang w:val="en-US" w:eastAsia="zh-CN"/>
              </w:rPr>
              <w:t>2.7</w:t>
            </w:r>
            <w:r>
              <w:rPr>
                <w:rFonts w:hint="default" w:ascii="Times New Roman" w:hAnsi="Times New Roman" w:cs="Times New Roman"/>
                <w:b/>
                <w:bCs/>
                <w:color w:val="auto"/>
                <w:kern w:val="0"/>
                <w:sz w:val="24"/>
              </w:rPr>
              <w:t>与《挥发性有机物无组织排放控制标准》（GB 37822-2019）符合性分析</w:t>
            </w:r>
          </w:p>
          <w:p w14:paraId="71DEB7E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b/>
                <w:color w:val="auto"/>
                <w:kern w:val="0"/>
                <w:sz w:val="24"/>
                <w:szCs w:val="24"/>
              </w:rPr>
            </w:pPr>
            <w:r>
              <w:rPr>
                <w:rFonts w:hint="default" w:ascii="Times New Roman" w:hAnsi="Times New Roman" w:cs="Times New Roman"/>
                <w:color w:val="auto"/>
                <w:kern w:val="0"/>
                <w:sz w:val="24"/>
              </w:rPr>
              <w:t>本项目与《挥发性有机物无组织排放控制标准》的符合性分析见下表。</w:t>
            </w:r>
          </w:p>
          <w:p w14:paraId="7AD66E6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表1</w:t>
            </w:r>
            <w:r>
              <w:rPr>
                <w:rFonts w:hint="default" w:ascii="Times New Roman" w:hAnsi="Times New Roman" w:eastAsia="宋体" w:cs="Times New Roman"/>
                <w:b/>
                <w:color w:val="auto"/>
                <w:kern w:val="0"/>
                <w:sz w:val="24"/>
                <w:szCs w:val="24"/>
                <w:lang w:val="en-US" w:eastAsia="zh-CN"/>
              </w:rPr>
              <w:t>.2</w:t>
            </w:r>
            <w:r>
              <w:rPr>
                <w:rFonts w:hint="default" w:ascii="Times New Roman" w:hAnsi="Times New Roman" w:eastAsia="宋体" w:cs="Times New Roman"/>
                <w:b/>
                <w:color w:val="auto"/>
                <w:kern w:val="0"/>
                <w:sz w:val="24"/>
                <w:szCs w:val="24"/>
              </w:rPr>
              <w:t>-</w:t>
            </w:r>
            <w:r>
              <w:rPr>
                <w:rFonts w:hint="default" w:ascii="Times New Roman" w:hAnsi="Times New Roman" w:eastAsia="宋体" w:cs="Times New Roman"/>
                <w:b/>
                <w:color w:val="auto"/>
                <w:kern w:val="0"/>
                <w:sz w:val="24"/>
                <w:szCs w:val="24"/>
                <w:lang w:val="en-US" w:eastAsia="zh-CN"/>
              </w:rPr>
              <w:t xml:space="preserve">8 </w:t>
            </w:r>
            <w:r>
              <w:rPr>
                <w:rFonts w:hint="default" w:ascii="Times New Roman" w:hAnsi="Times New Roman" w:eastAsia="宋体" w:cs="Times New Roman"/>
                <w:b/>
                <w:color w:val="auto"/>
                <w:kern w:val="0"/>
                <w:sz w:val="24"/>
                <w:szCs w:val="24"/>
              </w:rPr>
              <w:t xml:space="preserve"> 挥发性有机污染物无组织控制标准符合性分析</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5513"/>
              <w:gridCol w:w="1762"/>
              <w:gridCol w:w="861"/>
            </w:tblGrid>
            <w:tr w14:paraId="47A82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tcBorders>
                    <w:tl2br w:val="nil"/>
                    <w:tr2bl w:val="nil"/>
                  </w:tcBorders>
                  <w:noWrap w:val="0"/>
                  <w:vAlign w:val="center"/>
                </w:tcPr>
                <w:p w14:paraId="19828E4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序号</w:t>
                  </w:r>
                </w:p>
              </w:tc>
              <w:tc>
                <w:tcPr>
                  <w:tcW w:w="3205" w:type="pct"/>
                  <w:tcBorders>
                    <w:tl2br w:val="nil"/>
                    <w:tr2bl w:val="nil"/>
                  </w:tcBorders>
                  <w:noWrap w:val="0"/>
                  <w:vAlign w:val="center"/>
                </w:tcPr>
                <w:p w14:paraId="0161D06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基本要求</w:t>
                  </w:r>
                </w:p>
              </w:tc>
              <w:tc>
                <w:tcPr>
                  <w:tcW w:w="1024" w:type="pct"/>
                  <w:tcBorders>
                    <w:tl2br w:val="nil"/>
                    <w:tr2bl w:val="nil"/>
                  </w:tcBorders>
                  <w:noWrap w:val="0"/>
                  <w:vAlign w:val="center"/>
                </w:tcPr>
                <w:p w14:paraId="2EE4E48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本项目情况</w:t>
                  </w:r>
                </w:p>
              </w:tc>
              <w:tc>
                <w:tcPr>
                  <w:tcW w:w="500" w:type="pct"/>
                  <w:tcBorders>
                    <w:tl2br w:val="nil"/>
                    <w:tr2bl w:val="nil"/>
                  </w:tcBorders>
                  <w:noWrap w:val="0"/>
                  <w:vAlign w:val="center"/>
                </w:tcPr>
                <w:p w14:paraId="6AA6486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auto"/>
                      <w:kern w:val="0"/>
                      <w:szCs w:val="21"/>
                      <w:lang w:val="en-US" w:eastAsia="zh-CN"/>
                    </w:rPr>
                  </w:pPr>
                  <w:r>
                    <w:rPr>
                      <w:rFonts w:hint="default" w:ascii="Times New Roman" w:hAnsi="Times New Roman" w:cs="Times New Roman"/>
                      <w:b/>
                      <w:bCs/>
                      <w:color w:val="auto"/>
                      <w:szCs w:val="21"/>
                    </w:rPr>
                    <w:t>符合</w:t>
                  </w:r>
                  <w:r>
                    <w:rPr>
                      <w:rFonts w:hint="default" w:ascii="Times New Roman" w:hAnsi="Times New Roman" w:cs="Times New Roman"/>
                      <w:b/>
                      <w:bCs/>
                      <w:color w:val="auto"/>
                      <w:szCs w:val="21"/>
                      <w:lang w:val="en-US" w:eastAsia="zh-CN"/>
                    </w:rPr>
                    <w:t>性</w:t>
                  </w:r>
                </w:p>
              </w:tc>
            </w:tr>
            <w:tr w14:paraId="71814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tcBorders>
                    <w:tl2br w:val="nil"/>
                    <w:tr2bl w:val="nil"/>
                  </w:tcBorders>
                  <w:noWrap w:val="0"/>
                  <w:vAlign w:val="center"/>
                </w:tcPr>
                <w:p w14:paraId="652BD3A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w:t>
                  </w:r>
                </w:p>
              </w:tc>
              <w:tc>
                <w:tcPr>
                  <w:tcW w:w="3205" w:type="pct"/>
                  <w:tcBorders>
                    <w:tl2br w:val="nil"/>
                    <w:tr2bl w:val="nil"/>
                  </w:tcBorders>
                  <w:noWrap w:val="0"/>
                  <w:vAlign w:val="center"/>
                </w:tcPr>
                <w:p w14:paraId="3E2F7B00">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eastAsia="zh-CN"/>
                    </w:rPr>
                    <w:t>VOCs</w:t>
                  </w:r>
                  <w:r>
                    <w:rPr>
                      <w:rFonts w:hint="default" w:ascii="Times New Roman" w:hAnsi="Times New Roman" w:cs="Times New Roman"/>
                      <w:color w:val="auto"/>
                      <w:kern w:val="0"/>
                      <w:szCs w:val="21"/>
                    </w:rPr>
                    <w:t>物料应储存于密闭的容器、包装袋、储罐、储库、料仓</w:t>
                  </w:r>
                  <w:r>
                    <w:rPr>
                      <w:rFonts w:hint="default" w:ascii="Times New Roman" w:hAnsi="Times New Roman" w:cs="Times New Roman"/>
                      <w:color w:val="auto"/>
                      <w:kern w:val="0"/>
                      <w:szCs w:val="21"/>
                    </w:rPr>
                    <w:cr/>
                  </w:r>
                  <w:r>
                    <w:rPr>
                      <w:rFonts w:hint="default" w:ascii="Times New Roman" w:hAnsi="Times New Roman" w:cs="Times New Roman"/>
                      <w:color w:val="auto"/>
                      <w:kern w:val="0"/>
                      <w:szCs w:val="21"/>
                    </w:rPr>
                    <w:t>。</w:t>
                  </w:r>
                </w:p>
              </w:tc>
              <w:tc>
                <w:tcPr>
                  <w:tcW w:w="1024" w:type="pct"/>
                  <w:tcBorders>
                    <w:tl2br w:val="nil"/>
                    <w:tr2bl w:val="nil"/>
                  </w:tcBorders>
                  <w:noWrap w:val="0"/>
                  <w:vAlign w:val="center"/>
                </w:tcPr>
                <w:p w14:paraId="3A6A10C8">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rPr>
                    <w:t>本项目</w:t>
                  </w:r>
                  <w:r>
                    <w:rPr>
                      <w:rFonts w:hint="eastAsia" w:ascii="Times New Roman" w:hAnsi="Times New Roman" w:cs="Times New Roman"/>
                      <w:color w:val="auto"/>
                      <w:lang w:eastAsia="zh-CN"/>
                    </w:rPr>
                    <w:t>VOCs</w:t>
                  </w:r>
                  <w:r>
                    <w:rPr>
                      <w:rFonts w:hint="default" w:ascii="Times New Roman" w:hAnsi="Times New Roman" w:cs="Times New Roman"/>
                      <w:color w:val="auto"/>
                    </w:rPr>
                    <w:t>物料采用密封桶装</w:t>
                  </w:r>
                </w:p>
              </w:tc>
              <w:tc>
                <w:tcPr>
                  <w:tcW w:w="500" w:type="pct"/>
                  <w:tcBorders>
                    <w:tl2br w:val="nil"/>
                    <w:tr2bl w:val="nil"/>
                  </w:tcBorders>
                  <w:noWrap w:val="0"/>
                  <w:vAlign w:val="center"/>
                </w:tcPr>
                <w:p w14:paraId="15A872D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szCs w:val="21"/>
                    </w:rPr>
                    <w:t>符合</w:t>
                  </w:r>
                </w:p>
              </w:tc>
            </w:tr>
            <w:tr w14:paraId="431BF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tcBorders>
                    <w:tl2br w:val="nil"/>
                    <w:tr2bl w:val="nil"/>
                  </w:tcBorders>
                  <w:noWrap w:val="0"/>
                  <w:vAlign w:val="center"/>
                </w:tcPr>
                <w:p w14:paraId="2082D81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w:t>
                  </w:r>
                </w:p>
              </w:tc>
              <w:tc>
                <w:tcPr>
                  <w:tcW w:w="3205" w:type="pct"/>
                  <w:tcBorders>
                    <w:tl2br w:val="nil"/>
                    <w:tr2bl w:val="nil"/>
                  </w:tcBorders>
                  <w:noWrap w:val="0"/>
                  <w:vAlign w:val="center"/>
                </w:tcPr>
                <w:p w14:paraId="10C0C921">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盛装</w:t>
                  </w:r>
                  <w:r>
                    <w:rPr>
                      <w:rFonts w:hint="eastAsia" w:ascii="Times New Roman" w:hAnsi="Times New Roman" w:cs="Times New Roman"/>
                      <w:color w:val="auto"/>
                      <w:kern w:val="0"/>
                      <w:szCs w:val="21"/>
                      <w:lang w:eastAsia="zh-CN"/>
                    </w:rPr>
                    <w:t>VOCs</w:t>
                  </w:r>
                  <w:r>
                    <w:rPr>
                      <w:rFonts w:hint="default" w:ascii="Times New Roman" w:hAnsi="Times New Roman" w:cs="Times New Roman"/>
                      <w:color w:val="auto"/>
                      <w:kern w:val="0"/>
                      <w:szCs w:val="21"/>
                    </w:rPr>
                    <w:t>物料的容器或包装袋应存放于室内，或存放于设置有雨棚、遮阳和防渗设施的专用场地。盛装</w:t>
                  </w:r>
                  <w:r>
                    <w:rPr>
                      <w:rFonts w:hint="eastAsia" w:ascii="Times New Roman" w:hAnsi="Times New Roman" w:cs="Times New Roman"/>
                      <w:color w:val="auto"/>
                      <w:kern w:val="0"/>
                      <w:szCs w:val="21"/>
                      <w:lang w:eastAsia="zh-CN"/>
                    </w:rPr>
                    <w:t>VOCs</w:t>
                  </w:r>
                  <w:r>
                    <w:rPr>
                      <w:rFonts w:hint="default" w:ascii="Times New Roman" w:hAnsi="Times New Roman" w:cs="Times New Roman"/>
                      <w:color w:val="auto"/>
                      <w:kern w:val="0"/>
                      <w:szCs w:val="21"/>
                    </w:rPr>
                    <w:t>物料的容器或包装袋在非取用状态时应加盖、封口，保持密闭。</w:t>
                  </w:r>
                </w:p>
              </w:tc>
              <w:tc>
                <w:tcPr>
                  <w:tcW w:w="1024" w:type="pct"/>
                  <w:tcBorders>
                    <w:tl2br w:val="nil"/>
                    <w:tr2bl w:val="nil"/>
                  </w:tcBorders>
                  <w:noWrap w:val="0"/>
                  <w:vAlign w:val="center"/>
                </w:tcPr>
                <w:p w14:paraId="2D5EE520">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w:t>
                  </w:r>
                  <w:r>
                    <w:rPr>
                      <w:rFonts w:hint="eastAsia" w:ascii="Times New Roman" w:hAnsi="Times New Roman" w:cs="Times New Roman"/>
                      <w:color w:val="auto"/>
                      <w:kern w:val="0"/>
                      <w:szCs w:val="21"/>
                      <w:lang w:eastAsia="zh-CN"/>
                    </w:rPr>
                    <w:t>VOCs</w:t>
                  </w:r>
                  <w:r>
                    <w:rPr>
                      <w:rFonts w:hint="default" w:ascii="Times New Roman" w:hAnsi="Times New Roman" w:cs="Times New Roman"/>
                      <w:color w:val="auto"/>
                      <w:kern w:val="0"/>
                      <w:szCs w:val="21"/>
                    </w:rPr>
                    <w:t>物料采用密封桶装</w:t>
                  </w:r>
                </w:p>
              </w:tc>
              <w:tc>
                <w:tcPr>
                  <w:tcW w:w="500" w:type="pct"/>
                  <w:tcBorders>
                    <w:tl2br w:val="nil"/>
                    <w:tr2bl w:val="nil"/>
                  </w:tcBorders>
                  <w:noWrap w:val="0"/>
                  <w:vAlign w:val="center"/>
                </w:tcPr>
                <w:p w14:paraId="7FB409E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szCs w:val="21"/>
                    </w:rPr>
                    <w:t>符合</w:t>
                  </w:r>
                </w:p>
              </w:tc>
            </w:tr>
            <w:tr w14:paraId="5E028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tcBorders>
                    <w:tl2br w:val="nil"/>
                    <w:tr2bl w:val="nil"/>
                  </w:tcBorders>
                  <w:noWrap w:val="0"/>
                  <w:vAlign w:val="center"/>
                </w:tcPr>
                <w:p w14:paraId="021D20D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w:t>
                  </w:r>
                </w:p>
              </w:tc>
              <w:tc>
                <w:tcPr>
                  <w:tcW w:w="3205" w:type="pct"/>
                  <w:tcBorders>
                    <w:tl2br w:val="nil"/>
                    <w:tr2bl w:val="nil"/>
                  </w:tcBorders>
                  <w:noWrap w:val="0"/>
                  <w:vAlign w:val="top"/>
                </w:tcPr>
                <w:p w14:paraId="26761F08">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液态</w:t>
                  </w:r>
                  <w:r>
                    <w:rPr>
                      <w:rFonts w:hint="eastAsia" w:ascii="Times New Roman" w:hAnsi="Times New Roman" w:cs="Times New Roman"/>
                      <w:color w:val="auto"/>
                      <w:kern w:val="0"/>
                      <w:szCs w:val="21"/>
                      <w:lang w:eastAsia="zh-CN"/>
                    </w:rPr>
                    <w:t>VOCs</w:t>
                  </w:r>
                  <w:r>
                    <w:rPr>
                      <w:rFonts w:hint="default" w:ascii="Times New Roman" w:hAnsi="Times New Roman" w:cs="Times New Roman"/>
                      <w:color w:val="auto"/>
                      <w:kern w:val="0"/>
                      <w:szCs w:val="21"/>
                    </w:rPr>
                    <w:t>物料应采用密闭管道输送方式或采用高位槽(罐)、桶泵等给料方式密闭投加。无法密闭投加的，应在密闭空间内操作，或进行局部气体收集，废气应排至</w:t>
                  </w:r>
                  <w:r>
                    <w:rPr>
                      <w:rFonts w:hint="eastAsia" w:ascii="Times New Roman" w:hAnsi="Times New Roman" w:cs="Times New Roman"/>
                      <w:color w:val="auto"/>
                      <w:kern w:val="0"/>
                      <w:szCs w:val="21"/>
                      <w:lang w:eastAsia="zh-CN"/>
                    </w:rPr>
                    <w:t>VOCs</w:t>
                  </w:r>
                  <w:r>
                    <w:rPr>
                      <w:rFonts w:hint="default" w:ascii="Times New Roman" w:hAnsi="Times New Roman" w:cs="Times New Roman"/>
                      <w:color w:val="auto"/>
                      <w:kern w:val="0"/>
                      <w:szCs w:val="21"/>
                    </w:rPr>
                    <w:t>废气收集处理系统。</w:t>
                  </w:r>
                </w:p>
              </w:tc>
              <w:tc>
                <w:tcPr>
                  <w:tcW w:w="1024" w:type="pct"/>
                  <w:vMerge w:val="restart"/>
                  <w:tcBorders>
                    <w:tl2br w:val="nil"/>
                    <w:tr2bl w:val="nil"/>
                  </w:tcBorders>
                  <w:noWrap w:val="0"/>
                  <w:vAlign w:val="center"/>
                </w:tcPr>
                <w:p w14:paraId="751F6AE6">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项目印刷工序废气采取了收集措施，废气收集后经废气处理系统处理达标后排放。</w:t>
                  </w:r>
                </w:p>
              </w:tc>
              <w:tc>
                <w:tcPr>
                  <w:tcW w:w="500" w:type="pct"/>
                  <w:vMerge w:val="restart"/>
                  <w:tcBorders>
                    <w:tl2br w:val="nil"/>
                    <w:tr2bl w:val="nil"/>
                  </w:tcBorders>
                  <w:noWrap w:val="0"/>
                  <w:vAlign w:val="center"/>
                </w:tcPr>
                <w:p w14:paraId="74383A5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szCs w:val="21"/>
                    </w:rPr>
                    <w:t>符合</w:t>
                  </w:r>
                </w:p>
              </w:tc>
            </w:tr>
            <w:tr w14:paraId="149DB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tcBorders>
                    <w:tl2br w:val="nil"/>
                    <w:tr2bl w:val="nil"/>
                  </w:tcBorders>
                  <w:noWrap w:val="0"/>
                  <w:vAlign w:val="center"/>
                </w:tcPr>
                <w:p w14:paraId="33AB194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w:t>
                  </w:r>
                </w:p>
              </w:tc>
              <w:tc>
                <w:tcPr>
                  <w:tcW w:w="3205" w:type="pct"/>
                  <w:tcBorders>
                    <w:tl2br w:val="nil"/>
                    <w:tr2bl w:val="nil"/>
                  </w:tcBorders>
                  <w:noWrap w:val="0"/>
                  <w:vAlign w:val="center"/>
                </w:tcPr>
                <w:p w14:paraId="33E2F79D">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粉状、粒状</w:t>
                  </w:r>
                  <w:r>
                    <w:rPr>
                      <w:rFonts w:hint="eastAsia" w:ascii="Times New Roman" w:hAnsi="Times New Roman" w:cs="Times New Roman"/>
                      <w:color w:val="auto"/>
                      <w:kern w:val="0"/>
                      <w:szCs w:val="21"/>
                      <w:lang w:eastAsia="zh-CN"/>
                    </w:rPr>
                    <w:t>VOCs</w:t>
                  </w:r>
                  <w:r>
                    <w:rPr>
                      <w:rFonts w:hint="default" w:ascii="Times New Roman" w:hAnsi="Times New Roman" w:cs="Times New Roman"/>
                      <w:color w:val="auto"/>
                      <w:kern w:val="0"/>
                      <w:szCs w:val="21"/>
                    </w:rPr>
                    <w:t>物料应采用气力输送方式或采用密闭固体投料器等给料方式密闭投加。无法密闭投加的，应在密闭空间内操作，或进行局部气体收集，废气应排至除尘设施、</w:t>
                  </w:r>
                  <w:r>
                    <w:rPr>
                      <w:rFonts w:hint="eastAsia" w:ascii="Times New Roman" w:hAnsi="Times New Roman" w:cs="Times New Roman"/>
                      <w:color w:val="auto"/>
                      <w:kern w:val="0"/>
                      <w:szCs w:val="21"/>
                      <w:lang w:eastAsia="zh-CN"/>
                    </w:rPr>
                    <w:t>VOCs</w:t>
                  </w:r>
                  <w:r>
                    <w:rPr>
                      <w:rFonts w:hint="default" w:ascii="Times New Roman" w:hAnsi="Times New Roman" w:cs="Times New Roman"/>
                      <w:color w:val="auto"/>
                      <w:kern w:val="0"/>
                      <w:szCs w:val="21"/>
                    </w:rPr>
                    <w:t>废气收集处理系统。</w:t>
                  </w:r>
                </w:p>
              </w:tc>
              <w:tc>
                <w:tcPr>
                  <w:tcW w:w="1024" w:type="pct"/>
                  <w:vMerge w:val="continue"/>
                  <w:tcBorders>
                    <w:tl2br w:val="nil"/>
                    <w:tr2bl w:val="nil"/>
                  </w:tcBorders>
                  <w:noWrap w:val="0"/>
                  <w:vAlign w:val="center"/>
                </w:tcPr>
                <w:p w14:paraId="0AD01AF1">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auto"/>
                      <w:kern w:val="0"/>
                      <w:szCs w:val="21"/>
                    </w:rPr>
                  </w:pPr>
                </w:p>
              </w:tc>
              <w:tc>
                <w:tcPr>
                  <w:tcW w:w="500" w:type="pct"/>
                  <w:vMerge w:val="continue"/>
                  <w:tcBorders>
                    <w:tl2br w:val="nil"/>
                    <w:tr2bl w:val="nil"/>
                  </w:tcBorders>
                  <w:noWrap w:val="0"/>
                  <w:vAlign w:val="center"/>
                </w:tcPr>
                <w:p w14:paraId="10EC2B49">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auto"/>
                      <w:kern w:val="0"/>
                      <w:szCs w:val="21"/>
                    </w:rPr>
                  </w:pPr>
                </w:p>
              </w:tc>
            </w:tr>
            <w:tr w14:paraId="52203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tcBorders>
                    <w:tl2br w:val="nil"/>
                    <w:tr2bl w:val="nil"/>
                  </w:tcBorders>
                  <w:noWrap w:val="0"/>
                  <w:vAlign w:val="center"/>
                </w:tcPr>
                <w:p w14:paraId="0B03322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w:t>
                  </w:r>
                </w:p>
              </w:tc>
              <w:tc>
                <w:tcPr>
                  <w:tcW w:w="3205" w:type="pct"/>
                  <w:tcBorders>
                    <w:tl2br w:val="nil"/>
                    <w:tr2bl w:val="nil"/>
                  </w:tcBorders>
                  <w:noWrap w:val="0"/>
                  <w:vAlign w:val="center"/>
                </w:tcPr>
                <w:p w14:paraId="2FCF2EFE">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eastAsia="zh-CN"/>
                    </w:rPr>
                    <w:t>VOCs</w:t>
                  </w:r>
                  <w:r>
                    <w:rPr>
                      <w:rFonts w:hint="default" w:ascii="Times New Roman" w:hAnsi="Times New Roman" w:cs="Times New Roman"/>
                      <w:color w:val="auto"/>
                      <w:kern w:val="0"/>
                      <w:szCs w:val="21"/>
                    </w:rPr>
                    <w:t>物料卸(出、放)料过程应密闭，卸料废气应排至</w:t>
                  </w:r>
                  <w:r>
                    <w:rPr>
                      <w:rFonts w:hint="eastAsia" w:ascii="Times New Roman" w:hAnsi="Times New Roman" w:cs="Times New Roman"/>
                      <w:color w:val="auto"/>
                      <w:kern w:val="0"/>
                      <w:szCs w:val="21"/>
                      <w:lang w:eastAsia="zh-CN"/>
                    </w:rPr>
                    <w:t>VOCs</w:t>
                  </w:r>
                  <w:r>
                    <w:rPr>
                      <w:rFonts w:hint="default" w:ascii="Times New Roman" w:hAnsi="Times New Roman" w:cs="Times New Roman"/>
                      <w:color w:val="auto"/>
                      <w:kern w:val="0"/>
                      <w:szCs w:val="21"/>
                    </w:rPr>
                    <w:t>废气收集处理系统；无法密闭的，应采取局部气体收集措施，废气应排至</w:t>
                  </w:r>
                  <w:r>
                    <w:rPr>
                      <w:rFonts w:hint="eastAsia" w:ascii="Times New Roman" w:hAnsi="Times New Roman" w:cs="Times New Roman"/>
                      <w:color w:val="auto"/>
                      <w:kern w:val="0"/>
                      <w:szCs w:val="21"/>
                      <w:lang w:eastAsia="zh-CN"/>
                    </w:rPr>
                    <w:t>VOCs</w:t>
                  </w:r>
                  <w:r>
                    <w:rPr>
                      <w:rFonts w:hint="default" w:ascii="Times New Roman" w:hAnsi="Times New Roman" w:cs="Times New Roman"/>
                      <w:color w:val="auto"/>
                      <w:kern w:val="0"/>
                      <w:szCs w:val="21"/>
                    </w:rPr>
                    <w:t>废气收集处理系统。</w:t>
                  </w:r>
                </w:p>
              </w:tc>
              <w:tc>
                <w:tcPr>
                  <w:tcW w:w="1024" w:type="pct"/>
                  <w:vMerge w:val="continue"/>
                  <w:tcBorders>
                    <w:tl2br w:val="nil"/>
                    <w:tr2bl w:val="nil"/>
                  </w:tcBorders>
                  <w:noWrap w:val="0"/>
                  <w:vAlign w:val="center"/>
                </w:tcPr>
                <w:p w14:paraId="337D4C94">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auto"/>
                      <w:kern w:val="0"/>
                      <w:szCs w:val="21"/>
                    </w:rPr>
                  </w:pPr>
                </w:p>
              </w:tc>
              <w:tc>
                <w:tcPr>
                  <w:tcW w:w="500" w:type="pct"/>
                  <w:vMerge w:val="continue"/>
                  <w:tcBorders>
                    <w:tl2br w:val="nil"/>
                    <w:tr2bl w:val="nil"/>
                  </w:tcBorders>
                  <w:noWrap w:val="0"/>
                  <w:vAlign w:val="center"/>
                </w:tcPr>
                <w:p w14:paraId="4F58E69B">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auto"/>
                      <w:kern w:val="0"/>
                      <w:szCs w:val="21"/>
                    </w:rPr>
                  </w:pPr>
                </w:p>
              </w:tc>
            </w:tr>
            <w:tr w14:paraId="456DA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tcBorders>
                    <w:tl2br w:val="nil"/>
                    <w:tr2bl w:val="nil"/>
                  </w:tcBorders>
                  <w:noWrap w:val="0"/>
                  <w:vAlign w:val="center"/>
                </w:tcPr>
                <w:p w14:paraId="16AAB12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3205" w:type="pct"/>
                  <w:tcBorders>
                    <w:tl2br w:val="nil"/>
                    <w:tr2bl w:val="nil"/>
                  </w:tcBorders>
                  <w:noWrap w:val="0"/>
                  <w:vAlign w:val="center"/>
                </w:tcPr>
                <w:p w14:paraId="0D352DB4">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auto"/>
                      <w:kern w:val="0"/>
                      <w:szCs w:val="21"/>
                    </w:rPr>
                  </w:pPr>
                  <w:r>
                    <w:rPr>
                      <w:rFonts w:hint="eastAsia" w:ascii="Times New Roman" w:hAnsi="Times New Roman" w:cs="Times New Roman"/>
                      <w:color w:val="auto"/>
                      <w:kern w:val="0"/>
                      <w:szCs w:val="21"/>
                      <w:lang w:eastAsia="zh-CN"/>
                    </w:rPr>
                    <w:t>VOCs</w:t>
                  </w:r>
                  <w:r>
                    <w:rPr>
                      <w:rFonts w:hint="default" w:ascii="Times New Roman" w:hAnsi="Times New Roman" w:cs="Times New Roman"/>
                      <w:color w:val="auto"/>
                      <w:kern w:val="0"/>
                      <w:szCs w:val="21"/>
                    </w:rPr>
                    <w:t>质量占比大于等于10%的含</w:t>
                  </w:r>
                  <w:r>
                    <w:rPr>
                      <w:rFonts w:hint="eastAsia" w:ascii="Times New Roman" w:hAnsi="Times New Roman" w:cs="Times New Roman"/>
                      <w:color w:val="auto"/>
                      <w:kern w:val="0"/>
                      <w:szCs w:val="21"/>
                      <w:lang w:eastAsia="zh-CN"/>
                    </w:rPr>
                    <w:t>VOCs</w:t>
                  </w:r>
                  <w:r>
                    <w:rPr>
                      <w:rFonts w:hint="default" w:ascii="Times New Roman" w:hAnsi="Times New Roman" w:cs="Times New Roman"/>
                      <w:color w:val="auto"/>
                      <w:kern w:val="0"/>
                      <w:szCs w:val="21"/>
                    </w:rPr>
                    <w:t>产品，其使用过程应采用密闭设备或在密闭空间内操作，废气应排至</w:t>
                  </w:r>
                  <w:r>
                    <w:rPr>
                      <w:rFonts w:hint="eastAsia" w:ascii="Times New Roman" w:hAnsi="Times New Roman" w:cs="Times New Roman"/>
                      <w:color w:val="auto"/>
                      <w:kern w:val="0"/>
                      <w:szCs w:val="21"/>
                      <w:lang w:eastAsia="zh-CN"/>
                    </w:rPr>
                    <w:t>VOCs</w:t>
                  </w:r>
                  <w:r>
                    <w:rPr>
                      <w:rFonts w:hint="default" w:ascii="Times New Roman" w:hAnsi="Times New Roman" w:cs="Times New Roman"/>
                      <w:color w:val="auto"/>
                      <w:kern w:val="0"/>
                      <w:szCs w:val="21"/>
                    </w:rPr>
                    <w:t>废气</w:t>
                  </w:r>
                  <w:r>
                    <w:rPr>
                      <w:rFonts w:hint="eastAsia" w:ascii="Times New Roman" w:hAnsi="Times New Roman" w:cs="Times New Roman"/>
                      <w:color w:val="auto"/>
                      <w:kern w:val="0"/>
                      <w:szCs w:val="21"/>
                      <w:lang w:val="en-US" w:eastAsia="zh-CN"/>
                    </w:rPr>
                    <w:t>收集</w:t>
                  </w:r>
                  <w:r>
                    <w:rPr>
                      <w:rFonts w:hint="default" w:ascii="Times New Roman" w:hAnsi="Times New Roman" w:cs="Times New Roman"/>
                      <w:color w:val="auto"/>
                      <w:kern w:val="0"/>
                      <w:szCs w:val="21"/>
                    </w:rPr>
                    <w:cr/>
                  </w:r>
                  <w:r>
                    <w:rPr>
                      <w:rFonts w:hint="default" w:ascii="Times New Roman" w:hAnsi="Times New Roman" w:cs="Times New Roman"/>
                      <w:color w:val="auto"/>
                      <w:kern w:val="0"/>
                      <w:szCs w:val="21"/>
                    </w:rPr>
                    <w:t>处理系统；无法密闭的，应采取局部气体收集措施，废气应排至</w:t>
                  </w:r>
                  <w:r>
                    <w:rPr>
                      <w:rFonts w:hint="eastAsia" w:ascii="Times New Roman" w:hAnsi="Times New Roman" w:cs="Times New Roman"/>
                      <w:color w:val="auto"/>
                      <w:kern w:val="0"/>
                      <w:szCs w:val="21"/>
                      <w:lang w:eastAsia="zh-CN"/>
                    </w:rPr>
                    <w:t>VOCs</w:t>
                  </w:r>
                  <w:r>
                    <w:rPr>
                      <w:rFonts w:hint="default" w:ascii="Times New Roman" w:hAnsi="Times New Roman" w:cs="Times New Roman"/>
                      <w:color w:val="auto"/>
                      <w:kern w:val="0"/>
                      <w:szCs w:val="21"/>
                    </w:rPr>
                    <w:t>废气收集处理系统。</w:t>
                  </w:r>
                </w:p>
              </w:tc>
              <w:tc>
                <w:tcPr>
                  <w:tcW w:w="1024" w:type="pct"/>
                  <w:vMerge w:val="continue"/>
                  <w:tcBorders>
                    <w:tl2br w:val="nil"/>
                    <w:tr2bl w:val="nil"/>
                  </w:tcBorders>
                  <w:noWrap w:val="0"/>
                  <w:vAlign w:val="center"/>
                </w:tcPr>
                <w:p w14:paraId="1B1DDEE1">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auto"/>
                      <w:kern w:val="0"/>
                      <w:szCs w:val="21"/>
                    </w:rPr>
                  </w:pPr>
                </w:p>
              </w:tc>
              <w:tc>
                <w:tcPr>
                  <w:tcW w:w="500" w:type="pct"/>
                  <w:vMerge w:val="continue"/>
                  <w:tcBorders>
                    <w:tl2br w:val="nil"/>
                    <w:tr2bl w:val="nil"/>
                  </w:tcBorders>
                  <w:noWrap w:val="0"/>
                  <w:vAlign w:val="center"/>
                </w:tcPr>
                <w:p w14:paraId="0F6125E6">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auto"/>
                      <w:kern w:val="0"/>
                      <w:szCs w:val="21"/>
                    </w:rPr>
                  </w:pPr>
                </w:p>
              </w:tc>
            </w:tr>
            <w:tr w14:paraId="6C440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 w:type="pct"/>
                  <w:tcBorders>
                    <w:tl2br w:val="nil"/>
                    <w:tr2bl w:val="nil"/>
                  </w:tcBorders>
                  <w:noWrap w:val="0"/>
                  <w:vAlign w:val="center"/>
                </w:tcPr>
                <w:p w14:paraId="2245874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w:t>
                  </w:r>
                </w:p>
              </w:tc>
              <w:tc>
                <w:tcPr>
                  <w:tcW w:w="3205" w:type="pct"/>
                  <w:tcBorders>
                    <w:tl2br w:val="nil"/>
                    <w:tr2bl w:val="nil"/>
                  </w:tcBorders>
                  <w:noWrap w:val="0"/>
                  <w:vAlign w:val="center"/>
                </w:tcPr>
                <w:p w14:paraId="2741E937">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有机聚合物产品用于制品生产的过程，在混合/混炼、塑炼/塑化/熔化、加工成型(挤出、注射、压制、压延、发泡、纺丝等)等作业中应采用密闭设备或在密闭空间内操作，废气应排至</w:t>
                  </w:r>
                  <w:r>
                    <w:rPr>
                      <w:rFonts w:hint="eastAsia" w:ascii="Times New Roman" w:hAnsi="Times New Roman" w:cs="Times New Roman"/>
                      <w:color w:val="auto"/>
                      <w:kern w:val="0"/>
                      <w:szCs w:val="21"/>
                      <w:lang w:eastAsia="zh-CN"/>
                    </w:rPr>
                    <w:t>VOCs</w:t>
                  </w:r>
                  <w:r>
                    <w:rPr>
                      <w:rFonts w:hint="default" w:ascii="Times New Roman" w:hAnsi="Times New Roman" w:cs="Times New Roman"/>
                      <w:color w:val="auto"/>
                      <w:kern w:val="0"/>
                      <w:szCs w:val="21"/>
                    </w:rPr>
                    <w:t>废气收集处理系统；无法密闭的，应采取局部气体收集措施，废气应排至</w:t>
                  </w:r>
                  <w:r>
                    <w:rPr>
                      <w:rFonts w:hint="eastAsia" w:ascii="Times New Roman" w:hAnsi="Times New Roman" w:cs="Times New Roman"/>
                      <w:color w:val="auto"/>
                      <w:kern w:val="0"/>
                      <w:szCs w:val="21"/>
                      <w:lang w:eastAsia="zh-CN"/>
                    </w:rPr>
                    <w:t>VOCs</w:t>
                  </w:r>
                  <w:r>
                    <w:rPr>
                      <w:rFonts w:hint="default" w:ascii="Times New Roman" w:hAnsi="Times New Roman" w:cs="Times New Roman"/>
                      <w:color w:val="auto"/>
                      <w:kern w:val="0"/>
                      <w:szCs w:val="21"/>
                    </w:rPr>
                    <w:t>废气收集处理系统。</w:t>
                  </w:r>
                </w:p>
              </w:tc>
              <w:tc>
                <w:tcPr>
                  <w:tcW w:w="1024" w:type="pct"/>
                  <w:vMerge w:val="continue"/>
                  <w:tcBorders>
                    <w:tl2br w:val="nil"/>
                    <w:tr2bl w:val="nil"/>
                  </w:tcBorders>
                  <w:noWrap w:val="0"/>
                  <w:vAlign w:val="center"/>
                </w:tcPr>
                <w:p w14:paraId="1802A6AF">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auto"/>
                      <w:kern w:val="0"/>
                      <w:szCs w:val="21"/>
                    </w:rPr>
                  </w:pPr>
                </w:p>
              </w:tc>
              <w:tc>
                <w:tcPr>
                  <w:tcW w:w="500" w:type="pct"/>
                  <w:vMerge w:val="continue"/>
                  <w:tcBorders>
                    <w:tl2br w:val="nil"/>
                    <w:tr2bl w:val="nil"/>
                  </w:tcBorders>
                  <w:noWrap w:val="0"/>
                  <w:vAlign w:val="center"/>
                </w:tcPr>
                <w:p w14:paraId="106D1152">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default" w:ascii="Times New Roman" w:hAnsi="Times New Roman" w:cs="Times New Roman"/>
                      <w:color w:val="auto"/>
                      <w:kern w:val="0"/>
                      <w:szCs w:val="21"/>
                    </w:rPr>
                  </w:pPr>
                </w:p>
              </w:tc>
            </w:tr>
          </w:tbl>
          <w:p w14:paraId="0D2A552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由上表可知，本项目符合《挥发性有机物无组织排放控制标准》的相关要求。</w:t>
            </w:r>
          </w:p>
          <w:p w14:paraId="5080963F">
            <w:pPr>
              <w:pStyle w:val="53"/>
              <w:keepNext w:val="0"/>
              <w:keepLines w:val="0"/>
              <w:pageBreakBefore w:val="0"/>
              <w:widowControl w:val="0"/>
              <w:tabs>
                <w:tab w:val="left" w:pos="540"/>
                <w:tab w:val="left" w:pos="1080"/>
                <w:tab w:val="left" w:pos="1800"/>
              </w:tabs>
              <w:kinsoku/>
              <w:wordWrap/>
              <w:overflowPunct/>
              <w:topLinePunct w:val="0"/>
              <w:bidi w:val="0"/>
              <w:spacing w:line="360" w:lineRule="auto"/>
              <w:ind w:left="0" w:leftChars="0" w:firstLine="0" w:firstLineChars="0"/>
              <w:textAlignment w:val="auto"/>
              <w:rPr>
                <w:rFonts w:hint="default" w:ascii="Times New Roman" w:hAnsi="Times New Roman" w:cs="Times New Roman"/>
                <w:color w:val="auto"/>
                <w:kern w:val="0"/>
                <w:highlight w:val="red"/>
              </w:rPr>
            </w:pPr>
            <w:r>
              <w:rPr>
                <w:rFonts w:hint="default" w:ascii="Times New Roman" w:hAnsi="Times New Roman" w:eastAsia="宋体" w:cs="Times New Roman"/>
                <w:b/>
                <w:bCs/>
                <w:color w:val="auto"/>
                <w:sz w:val="24"/>
                <w:szCs w:val="24"/>
                <w:highlight w:val="none"/>
              </w:rPr>
              <w:t>1.</w:t>
            </w:r>
            <w:r>
              <w:rPr>
                <w:rFonts w:hint="default" w:ascii="Times New Roman" w:hAnsi="Times New Roman" w:eastAsia="宋体" w:cs="Times New Roman"/>
                <w:b/>
                <w:bCs/>
                <w:color w:val="auto"/>
                <w:sz w:val="24"/>
                <w:szCs w:val="24"/>
                <w:highlight w:val="none"/>
                <w:lang w:val="en-US" w:eastAsia="zh-CN"/>
              </w:rPr>
              <w:t>2.8与《2020年挥发性有机物治理攻坚方案》（环大气〔2020〕33号）符合性分析</w:t>
            </w:r>
          </w:p>
          <w:p w14:paraId="0F6FB7B0">
            <w:pPr>
              <w:pStyle w:val="281"/>
              <w:keepNext w:val="0"/>
              <w:keepLines w:val="0"/>
              <w:pageBreakBefore w:val="0"/>
              <w:widowControl w:val="0"/>
              <w:kinsoku/>
              <w:wordWrap/>
              <w:overflowPunct/>
              <w:topLinePunct w:val="0"/>
              <w:bidi w:val="0"/>
              <w:spacing w:line="360" w:lineRule="auto"/>
              <w:textAlignment w:val="auto"/>
              <w:rPr>
                <w:rFonts w:hint="default" w:ascii="Times New Roman" w:hAnsi="Times New Roman" w:cs="Times New Roman"/>
                <w:color w:val="auto"/>
                <w:szCs w:val="24"/>
              </w:rPr>
            </w:pPr>
            <w:r>
              <w:rPr>
                <w:rFonts w:hint="default" w:ascii="Times New Roman" w:hAnsi="Times New Roman" w:cs="Times New Roman"/>
                <w:color w:val="auto"/>
                <w:szCs w:val="24"/>
              </w:rPr>
              <w:t>本项目与《2020年挥发性有机物治理攻坚方案》的符合性对比分析，见表1</w:t>
            </w:r>
            <w:r>
              <w:rPr>
                <w:rFonts w:hint="default" w:ascii="Times New Roman" w:hAnsi="Times New Roman" w:cs="Times New Roman"/>
                <w:color w:val="auto"/>
                <w:szCs w:val="24"/>
                <w:lang w:val="en-US" w:eastAsia="zh-CN"/>
              </w:rPr>
              <w:t>.2</w:t>
            </w:r>
            <w:r>
              <w:rPr>
                <w:rFonts w:hint="default" w:ascii="Times New Roman" w:hAnsi="Times New Roman" w:cs="Times New Roman"/>
                <w:color w:val="auto"/>
                <w:szCs w:val="24"/>
              </w:rPr>
              <w:t>-</w:t>
            </w:r>
            <w:r>
              <w:rPr>
                <w:rFonts w:hint="default" w:ascii="Times New Roman" w:hAnsi="Times New Roman" w:cs="Times New Roman"/>
                <w:color w:val="auto"/>
                <w:szCs w:val="24"/>
                <w:lang w:val="en-US" w:eastAsia="zh-CN"/>
              </w:rPr>
              <w:t>9</w:t>
            </w:r>
            <w:r>
              <w:rPr>
                <w:rFonts w:hint="default" w:ascii="Times New Roman" w:hAnsi="Times New Roman" w:cs="Times New Roman"/>
                <w:color w:val="auto"/>
                <w:szCs w:val="24"/>
              </w:rPr>
              <w:t>。</w:t>
            </w:r>
          </w:p>
          <w:p w14:paraId="3237A5A0">
            <w:pPr>
              <w:pStyle w:val="28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表1</w:t>
            </w: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rPr>
              <w:t>-</w:t>
            </w:r>
            <w:r>
              <w:rPr>
                <w:rFonts w:hint="default" w:ascii="Times New Roman" w:hAnsi="Times New Roman" w:cs="Times New Roman"/>
                <w:b/>
                <w:bCs/>
                <w:color w:val="auto"/>
                <w:sz w:val="24"/>
                <w:szCs w:val="24"/>
                <w:lang w:val="en-US" w:eastAsia="zh-CN"/>
              </w:rPr>
              <w:t xml:space="preserve">9 </w:t>
            </w:r>
            <w:r>
              <w:rPr>
                <w:rFonts w:hint="default" w:ascii="Times New Roman" w:hAnsi="Times New Roman" w:cs="Times New Roman"/>
                <w:b/>
                <w:bCs/>
                <w:color w:val="auto"/>
                <w:sz w:val="24"/>
                <w:szCs w:val="24"/>
              </w:rPr>
              <w:t xml:space="preserve"> 《2020年挥发性有机物治理攻坚方案》符合性分析</w:t>
            </w:r>
          </w:p>
          <w:tbl>
            <w:tblPr>
              <w:tblStyle w:val="35"/>
              <w:tblW w:w="85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57" w:type="dxa"/>
                <w:bottom w:w="0" w:type="dxa"/>
                <w:right w:w="57" w:type="dxa"/>
              </w:tblCellMar>
            </w:tblPr>
            <w:tblGrid>
              <w:gridCol w:w="5767"/>
              <w:gridCol w:w="1950"/>
              <w:gridCol w:w="787"/>
            </w:tblGrid>
            <w:tr w14:paraId="3158F7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3390" w:type="pct"/>
                  <w:tcBorders>
                    <w:tl2br w:val="nil"/>
                    <w:tr2bl w:val="nil"/>
                  </w:tcBorders>
                  <w:noWrap w:val="0"/>
                  <w:vAlign w:val="center"/>
                </w:tcPr>
                <w:p w14:paraId="43AA965B">
                  <w:pPr>
                    <w:pStyle w:val="252"/>
                    <w:keepNext w:val="0"/>
                    <w:keepLines w:val="0"/>
                    <w:pageBreakBefore w:val="0"/>
                    <w:widowControl w:val="0"/>
                    <w:kinsoku/>
                    <w:wordWrap/>
                    <w:overflowPunct w:val="0"/>
                    <w:topLinePunct w:val="0"/>
                    <w:autoSpaceDE w:val="0"/>
                    <w:autoSpaceDN w:val="0"/>
                    <w:bidi w:val="0"/>
                    <w:adjustRightInd w:val="0"/>
                    <w:snapToGrid w:val="0"/>
                    <w:spacing w:line="240" w:lineRule="auto"/>
                    <w:textAlignment w:val="baseline"/>
                    <w:rPr>
                      <w:rFonts w:hint="default" w:ascii="Times New Roman" w:hAnsi="Times New Roman" w:cs="Times New Roman"/>
                      <w:b/>
                      <w:bCs/>
                      <w:color w:val="auto"/>
                    </w:rPr>
                  </w:pPr>
                  <w:r>
                    <w:rPr>
                      <w:rFonts w:hint="default" w:ascii="Times New Roman" w:hAnsi="Times New Roman" w:cs="Times New Roman"/>
                      <w:b/>
                      <w:bCs/>
                      <w:color w:val="auto"/>
                    </w:rPr>
                    <w:t>控制要求</w:t>
                  </w:r>
                </w:p>
              </w:tc>
              <w:tc>
                <w:tcPr>
                  <w:tcW w:w="1146" w:type="pct"/>
                  <w:tcBorders>
                    <w:tl2br w:val="nil"/>
                    <w:tr2bl w:val="nil"/>
                  </w:tcBorders>
                  <w:noWrap w:val="0"/>
                  <w:vAlign w:val="center"/>
                </w:tcPr>
                <w:p w14:paraId="46642670">
                  <w:pPr>
                    <w:pStyle w:val="252"/>
                    <w:keepNext w:val="0"/>
                    <w:keepLines w:val="0"/>
                    <w:pageBreakBefore w:val="0"/>
                    <w:widowControl w:val="0"/>
                    <w:kinsoku/>
                    <w:wordWrap/>
                    <w:overflowPunct w:val="0"/>
                    <w:topLinePunct w:val="0"/>
                    <w:autoSpaceDE w:val="0"/>
                    <w:autoSpaceDN w:val="0"/>
                    <w:bidi w:val="0"/>
                    <w:adjustRightInd w:val="0"/>
                    <w:snapToGrid w:val="0"/>
                    <w:spacing w:line="240" w:lineRule="auto"/>
                    <w:textAlignment w:val="baseline"/>
                    <w:rPr>
                      <w:rFonts w:hint="default" w:ascii="Times New Roman" w:hAnsi="Times New Roman" w:cs="Times New Roman"/>
                      <w:b/>
                      <w:bCs/>
                      <w:color w:val="auto"/>
                    </w:rPr>
                  </w:pPr>
                  <w:r>
                    <w:rPr>
                      <w:rFonts w:hint="default" w:ascii="Times New Roman" w:hAnsi="Times New Roman" w:cs="Times New Roman"/>
                      <w:b/>
                      <w:bCs/>
                      <w:color w:val="auto"/>
                    </w:rPr>
                    <w:t>本项目情况</w:t>
                  </w:r>
                </w:p>
              </w:tc>
              <w:tc>
                <w:tcPr>
                  <w:tcW w:w="462" w:type="pct"/>
                  <w:tcBorders>
                    <w:tl2br w:val="nil"/>
                    <w:tr2bl w:val="nil"/>
                  </w:tcBorders>
                  <w:noWrap w:val="0"/>
                  <w:vAlign w:val="center"/>
                </w:tcPr>
                <w:p w14:paraId="0AF20DB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sz w:val="21"/>
                      <w:szCs w:val="21"/>
                    </w:rPr>
                    <w:t>符合</w:t>
                  </w:r>
                  <w:r>
                    <w:rPr>
                      <w:rFonts w:hint="default" w:ascii="Times New Roman" w:hAnsi="Times New Roman" w:cs="Times New Roman"/>
                      <w:b/>
                      <w:bCs/>
                      <w:color w:val="auto"/>
                      <w:sz w:val="21"/>
                      <w:szCs w:val="21"/>
                      <w:lang w:val="en-US" w:eastAsia="zh-CN"/>
                    </w:rPr>
                    <w:t>性</w:t>
                  </w:r>
                </w:p>
              </w:tc>
            </w:tr>
            <w:tr w14:paraId="53268F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3390" w:type="pct"/>
                  <w:tcBorders>
                    <w:tl2br w:val="nil"/>
                    <w:tr2bl w:val="nil"/>
                  </w:tcBorders>
                  <w:noWrap w:val="0"/>
                  <w:vAlign w:val="center"/>
                </w:tcPr>
                <w:p w14:paraId="091D177A">
                  <w:pPr>
                    <w:pStyle w:val="252"/>
                    <w:keepNext w:val="0"/>
                    <w:keepLines w:val="0"/>
                    <w:pageBreakBefore w:val="0"/>
                    <w:widowControl w:val="0"/>
                    <w:kinsoku/>
                    <w:wordWrap/>
                    <w:overflowPunct w:val="0"/>
                    <w:topLinePunct w:val="0"/>
                    <w:autoSpaceDE w:val="0"/>
                    <w:autoSpaceDN w:val="0"/>
                    <w:bidi w:val="0"/>
                    <w:adjustRightInd w:val="0"/>
                    <w:snapToGrid w:val="0"/>
                    <w:spacing w:line="240" w:lineRule="auto"/>
                    <w:jc w:val="both"/>
                    <w:textAlignment w:val="baseline"/>
                    <w:rPr>
                      <w:rFonts w:hint="default" w:ascii="Times New Roman" w:hAnsi="Times New Roman" w:cs="Times New Roman"/>
                      <w:color w:val="auto"/>
                    </w:rPr>
                  </w:pPr>
                  <w:r>
                    <w:rPr>
                      <w:rFonts w:hint="default" w:ascii="Times New Roman" w:hAnsi="Times New Roman" w:cs="Times New Roman"/>
                      <w:color w:val="auto"/>
                    </w:rPr>
                    <w:t>大力推进源头替代，有效减少</w:t>
                  </w:r>
                  <w:r>
                    <w:rPr>
                      <w:rFonts w:hint="eastAsia" w:ascii="Times New Roman" w:hAnsi="Times New Roman" w:cs="Times New Roman"/>
                      <w:color w:val="auto"/>
                      <w:lang w:eastAsia="zh-CN"/>
                    </w:rPr>
                    <w:t>VOCs</w:t>
                  </w:r>
                  <w:r>
                    <w:rPr>
                      <w:rFonts w:hint="default" w:ascii="Times New Roman" w:hAnsi="Times New Roman" w:cs="Times New Roman"/>
                      <w:color w:val="auto"/>
                    </w:rPr>
                    <w:t>产生：</w:t>
                  </w:r>
                </w:p>
                <w:p w14:paraId="755613AE">
                  <w:pPr>
                    <w:pStyle w:val="252"/>
                    <w:keepNext w:val="0"/>
                    <w:keepLines w:val="0"/>
                    <w:pageBreakBefore w:val="0"/>
                    <w:widowControl w:val="0"/>
                    <w:kinsoku/>
                    <w:wordWrap/>
                    <w:overflowPunct w:val="0"/>
                    <w:topLinePunct w:val="0"/>
                    <w:autoSpaceDE w:val="0"/>
                    <w:autoSpaceDN w:val="0"/>
                    <w:bidi w:val="0"/>
                    <w:adjustRightInd w:val="0"/>
                    <w:snapToGrid w:val="0"/>
                    <w:spacing w:line="240" w:lineRule="auto"/>
                    <w:jc w:val="both"/>
                    <w:textAlignment w:val="baseline"/>
                    <w:rPr>
                      <w:rFonts w:hint="default" w:ascii="Times New Roman" w:hAnsi="Times New Roman" w:cs="Times New Roman"/>
                      <w:color w:val="auto"/>
                    </w:rPr>
                  </w:pPr>
                  <w:r>
                    <w:rPr>
                      <w:rFonts w:hint="default" w:ascii="Times New Roman" w:hAnsi="Times New Roman" w:cs="Times New Roman"/>
                      <w:color w:val="auto"/>
                    </w:rPr>
                    <w:t>企业应建立原辅材料台账，记录</w:t>
                  </w:r>
                  <w:r>
                    <w:rPr>
                      <w:rFonts w:hint="eastAsia" w:ascii="Times New Roman" w:hAnsi="Times New Roman" w:cs="Times New Roman"/>
                      <w:color w:val="auto"/>
                      <w:lang w:eastAsia="zh-CN"/>
                    </w:rPr>
                    <w:t>VOCs</w:t>
                  </w:r>
                  <w:r>
                    <w:rPr>
                      <w:rFonts w:hint="default" w:ascii="Times New Roman" w:hAnsi="Times New Roman" w:cs="Times New Roman"/>
                      <w:color w:val="auto"/>
                    </w:rPr>
                    <w:t>原辅材料名称、成分、</w:t>
                  </w:r>
                  <w:r>
                    <w:rPr>
                      <w:rFonts w:hint="eastAsia" w:ascii="Times New Roman" w:hAnsi="Times New Roman" w:cs="Times New Roman"/>
                      <w:color w:val="auto"/>
                      <w:lang w:eastAsia="zh-CN"/>
                    </w:rPr>
                    <w:t>VOCs</w:t>
                  </w:r>
                  <w:r>
                    <w:rPr>
                      <w:rFonts w:hint="default" w:ascii="Times New Roman" w:hAnsi="Times New Roman" w:cs="Times New Roman"/>
                      <w:color w:val="auto"/>
                    </w:rPr>
                    <w:t>含量、采购量、使用量、库存量、回收方式、回收量等信息，并保存相关证明材料。采用符合国家有关低</w:t>
                  </w:r>
                  <w:r>
                    <w:rPr>
                      <w:rFonts w:hint="eastAsia" w:ascii="Times New Roman" w:hAnsi="Times New Roman" w:cs="Times New Roman"/>
                      <w:color w:val="auto"/>
                      <w:lang w:eastAsia="zh-CN"/>
                    </w:rPr>
                    <w:t>VOCs</w:t>
                  </w:r>
                  <w:r>
                    <w:rPr>
                      <w:rFonts w:hint="default" w:ascii="Times New Roman" w:hAnsi="Times New Roman" w:cs="Times New Roman"/>
                      <w:color w:val="auto"/>
                    </w:rPr>
                    <w:t>含量产品规定的涂料、油墨、胶粘剂等，排放浓度稳定达标且排放速率满足</w:t>
                  </w:r>
                  <w:r>
                    <w:rPr>
                      <w:rFonts w:hint="eastAsia" w:ascii="Times New Roman" w:hAnsi="Times New Roman" w:cs="Times New Roman"/>
                      <w:color w:val="auto"/>
                      <w:lang w:val="en-US" w:eastAsia="zh-CN"/>
                    </w:rPr>
                    <w:t>相关</w:t>
                  </w:r>
                  <w:r>
                    <w:rPr>
                      <w:rFonts w:hint="default" w:ascii="Times New Roman" w:hAnsi="Times New Roman" w:cs="Times New Roman"/>
                      <w:color w:val="auto"/>
                    </w:rPr>
                    <w:t>规定的，相应生产工序可不要求建设末端治理设施。</w:t>
                  </w:r>
                </w:p>
              </w:tc>
              <w:tc>
                <w:tcPr>
                  <w:tcW w:w="1146" w:type="pct"/>
                  <w:tcBorders>
                    <w:tl2br w:val="nil"/>
                    <w:tr2bl w:val="nil"/>
                  </w:tcBorders>
                  <w:noWrap w:val="0"/>
                  <w:vAlign w:val="center"/>
                </w:tcPr>
                <w:p w14:paraId="710C2B0B">
                  <w:pPr>
                    <w:pStyle w:val="252"/>
                    <w:keepNext w:val="0"/>
                    <w:keepLines w:val="0"/>
                    <w:pageBreakBefore w:val="0"/>
                    <w:widowControl w:val="0"/>
                    <w:kinsoku/>
                    <w:wordWrap/>
                    <w:overflowPunct w:val="0"/>
                    <w:topLinePunct w:val="0"/>
                    <w:autoSpaceDE w:val="0"/>
                    <w:autoSpaceDN w:val="0"/>
                    <w:bidi w:val="0"/>
                    <w:adjustRightInd w:val="0"/>
                    <w:snapToGrid w:val="0"/>
                    <w:spacing w:line="240" w:lineRule="auto"/>
                    <w:jc w:val="both"/>
                    <w:textAlignment w:val="baseline"/>
                    <w:rPr>
                      <w:rFonts w:hint="default" w:ascii="Times New Roman" w:hAnsi="Times New Roman" w:cs="Times New Roman"/>
                      <w:color w:val="auto"/>
                    </w:rPr>
                  </w:pPr>
                  <w:r>
                    <w:rPr>
                      <w:rFonts w:hint="default" w:ascii="Times New Roman" w:hAnsi="Times New Roman" w:cs="Times New Roman"/>
                      <w:color w:val="auto"/>
                    </w:rPr>
                    <w:t>本项目按要求建立台账，采购符合国家规定的油墨，污染物排放浓度可保证稳定达标。</w:t>
                  </w:r>
                </w:p>
              </w:tc>
              <w:tc>
                <w:tcPr>
                  <w:tcW w:w="462" w:type="pct"/>
                  <w:tcBorders>
                    <w:tl2br w:val="nil"/>
                    <w:tr2bl w:val="nil"/>
                  </w:tcBorders>
                  <w:noWrap w:val="0"/>
                  <w:vAlign w:val="center"/>
                </w:tcPr>
                <w:p w14:paraId="7475BCA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auto"/>
                    </w:rPr>
                  </w:pPr>
                  <w:r>
                    <w:rPr>
                      <w:rFonts w:hint="default" w:ascii="Times New Roman" w:hAnsi="Times New Roman" w:cs="Times New Roman"/>
                      <w:color w:val="auto"/>
                      <w:sz w:val="21"/>
                      <w:szCs w:val="21"/>
                    </w:rPr>
                    <w:t>符合</w:t>
                  </w:r>
                </w:p>
              </w:tc>
            </w:tr>
            <w:tr w14:paraId="102E7A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3390" w:type="pct"/>
                  <w:tcBorders>
                    <w:tl2br w:val="nil"/>
                    <w:tr2bl w:val="nil"/>
                  </w:tcBorders>
                  <w:noWrap w:val="0"/>
                  <w:vAlign w:val="center"/>
                </w:tcPr>
                <w:p w14:paraId="4567DC29">
                  <w:pPr>
                    <w:pStyle w:val="252"/>
                    <w:keepNext w:val="0"/>
                    <w:keepLines w:val="0"/>
                    <w:pageBreakBefore w:val="0"/>
                    <w:widowControl w:val="0"/>
                    <w:kinsoku/>
                    <w:wordWrap/>
                    <w:overflowPunct w:val="0"/>
                    <w:topLinePunct w:val="0"/>
                    <w:autoSpaceDE w:val="0"/>
                    <w:autoSpaceDN w:val="0"/>
                    <w:bidi w:val="0"/>
                    <w:adjustRightInd w:val="0"/>
                    <w:snapToGrid w:val="0"/>
                    <w:spacing w:line="240" w:lineRule="auto"/>
                    <w:jc w:val="both"/>
                    <w:textAlignment w:val="baseline"/>
                    <w:rPr>
                      <w:rFonts w:hint="default" w:ascii="Times New Roman" w:hAnsi="Times New Roman" w:cs="Times New Roman"/>
                      <w:color w:val="auto"/>
                    </w:rPr>
                  </w:pPr>
                  <w:r>
                    <w:rPr>
                      <w:rFonts w:hint="default" w:ascii="Times New Roman" w:hAnsi="Times New Roman" w:cs="Times New Roman"/>
                      <w:color w:val="auto"/>
                    </w:rPr>
                    <w:t>全面落实标准要求，强化无组织排放控制：</w:t>
                  </w:r>
                </w:p>
                <w:p w14:paraId="09310917">
                  <w:pPr>
                    <w:pStyle w:val="252"/>
                    <w:keepNext w:val="0"/>
                    <w:keepLines w:val="0"/>
                    <w:pageBreakBefore w:val="0"/>
                    <w:widowControl w:val="0"/>
                    <w:kinsoku/>
                    <w:wordWrap/>
                    <w:overflowPunct w:val="0"/>
                    <w:topLinePunct w:val="0"/>
                    <w:autoSpaceDE w:val="0"/>
                    <w:autoSpaceDN w:val="0"/>
                    <w:bidi w:val="0"/>
                    <w:adjustRightInd w:val="0"/>
                    <w:snapToGrid w:val="0"/>
                    <w:spacing w:line="240" w:lineRule="auto"/>
                    <w:jc w:val="both"/>
                    <w:textAlignment w:val="baseline"/>
                    <w:rPr>
                      <w:rFonts w:hint="default" w:ascii="Times New Roman" w:hAnsi="Times New Roman" w:cs="Times New Roman"/>
                      <w:color w:val="auto"/>
                    </w:rPr>
                  </w:pPr>
                  <w:r>
                    <w:rPr>
                      <w:rFonts w:hint="default" w:ascii="Times New Roman" w:hAnsi="Times New Roman" w:cs="Times New Roman"/>
                      <w:color w:val="auto"/>
                    </w:rPr>
                    <w:t>企业在无组织排放排查整治过程中，在保证安全的前提下，加强含</w:t>
                  </w:r>
                  <w:r>
                    <w:rPr>
                      <w:rFonts w:hint="eastAsia" w:ascii="Times New Roman" w:hAnsi="Times New Roman" w:cs="Times New Roman"/>
                      <w:color w:val="auto"/>
                      <w:lang w:eastAsia="zh-CN"/>
                    </w:rPr>
                    <w:t>VOCs</w:t>
                  </w:r>
                  <w:r>
                    <w:rPr>
                      <w:rFonts w:hint="default" w:ascii="Times New Roman" w:hAnsi="Times New Roman" w:cs="Times New Roman"/>
                      <w:color w:val="auto"/>
                    </w:rPr>
                    <w:t>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w:t>
                  </w:r>
                  <w:r>
                    <w:rPr>
                      <w:rFonts w:hint="default" w:ascii="Times New Roman" w:hAnsi="Times New Roman" w:cs="Times New Roman"/>
                      <w:color w:val="auto"/>
                    </w:rPr>
                    <w:cr/>
                  </w:r>
                  <w:r>
                    <w:rPr>
                      <w:rFonts w:hint="default" w:ascii="Times New Roman" w:hAnsi="Times New Roman" w:cs="Times New Roman"/>
                      <w:color w:val="auto"/>
                    </w:rPr>
                    <w:t>置环节应将盛装过</w:t>
                  </w:r>
                  <w:r>
                    <w:rPr>
                      <w:rFonts w:hint="eastAsia" w:ascii="Times New Roman" w:hAnsi="Times New Roman" w:cs="Times New Roman"/>
                      <w:color w:val="auto"/>
                      <w:lang w:eastAsia="zh-CN"/>
                    </w:rPr>
                    <w:t>VOCs</w:t>
                  </w:r>
                  <w:r>
                    <w:rPr>
                      <w:rFonts w:hint="default" w:ascii="Times New Roman" w:hAnsi="Times New Roman" w:cs="Times New Roman"/>
                      <w:color w:val="auto"/>
                    </w:rPr>
                    <w:t>物料的包装容器、含</w:t>
                  </w:r>
                  <w:r>
                    <w:rPr>
                      <w:rFonts w:hint="eastAsia" w:ascii="Times New Roman" w:hAnsi="Times New Roman" w:cs="Times New Roman"/>
                      <w:color w:val="auto"/>
                      <w:lang w:eastAsia="zh-CN"/>
                    </w:rPr>
                    <w:t>VOCs</w:t>
                  </w:r>
                  <w:r>
                    <w:rPr>
                      <w:rFonts w:hint="default" w:ascii="Times New Roman" w:hAnsi="Times New Roman" w:cs="Times New Roman"/>
                      <w:color w:val="auto"/>
                    </w:rPr>
                    <w:t>废料（渣、液）、废吸附剂等通过加盖、封装等方式密闭，妥善存放，不得随意丢弃。</w:t>
                  </w:r>
                </w:p>
              </w:tc>
              <w:tc>
                <w:tcPr>
                  <w:tcW w:w="1146" w:type="pct"/>
                  <w:tcBorders>
                    <w:tl2br w:val="nil"/>
                    <w:tr2bl w:val="nil"/>
                  </w:tcBorders>
                  <w:noWrap w:val="0"/>
                  <w:vAlign w:val="center"/>
                </w:tcPr>
                <w:p w14:paraId="6D447C69">
                  <w:pPr>
                    <w:pStyle w:val="252"/>
                    <w:keepNext w:val="0"/>
                    <w:keepLines w:val="0"/>
                    <w:pageBreakBefore w:val="0"/>
                    <w:widowControl w:val="0"/>
                    <w:kinsoku/>
                    <w:wordWrap/>
                    <w:overflowPunct w:val="0"/>
                    <w:topLinePunct w:val="0"/>
                    <w:autoSpaceDE w:val="0"/>
                    <w:autoSpaceDN w:val="0"/>
                    <w:bidi w:val="0"/>
                    <w:adjustRightInd w:val="0"/>
                    <w:snapToGrid w:val="0"/>
                    <w:spacing w:line="240" w:lineRule="auto"/>
                    <w:jc w:val="both"/>
                    <w:textAlignment w:val="baseline"/>
                    <w:rPr>
                      <w:rFonts w:hint="default" w:ascii="Times New Roman" w:hAnsi="Times New Roman" w:cs="Times New Roman"/>
                      <w:color w:val="auto"/>
                    </w:rPr>
                  </w:pPr>
                  <w:r>
                    <w:rPr>
                      <w:rFonts w:hint="default" w:ascii="Times New Roman" w:hAnsi="Times New Roman" w:cs="Times New Roman"/>
                      <w:color w:val="auto"/>
                    </w:rPr>
                    <w:t>本项目</w:t>
                  </w:r>
                  <w:r>
                    <w:rPr>
                      <w:rFonts w:hint="eastAsia" w:ascii="Times New Roman" w:hAnsi="Times New Roman" w:cs="Times New Roman"/>
                      <w:color w:val="auto"/>
                      <w:lang w:eastAsia="zh-CN"/>
                    </w:rPr>
                    <w:t>VOCs</w:t>
                  </w:r>
                  <w:r>
                    <w:rPr>
                      <w:rFonts w:hint="default" w:ascii="Times New Roman" w:hAnsi="Times New Roman" w:cs="Times New Roman"/>
                      <w:color w:val="auto"/>
                    </w:rPr>
                    <w:t>物料采用密封桶装，转运环节采用密闭容器。危险废物妥善收集，并定期交有资质单位收运处置。</w:t>
                  </w:r>
                </w:p>
              </w:tc>
              <w:tc>
                <w:tcPr>
                  <w:tcW w:w="462" w:type="pct"/>
                  <w:tcBorders>
                    <w:tl2br w:val="nil"/>
                    <w:tr2bl w:val="nil"/>
                  </w:tcBorders>
                  <w:noWrap w:val="0"/>
                  <w:vAlign w:val="center"/>
                </w:tcPr>
                <w:p w14:paraId="1B95A1D7">
                  <w:pPr>
                    <w:pStyle w:val="252"/>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auto"/>
                    </w:rPr>
                  </w:pPr>
                  <w:r>
                    <w:rPr>
                      <w:rFonts w:hint="default" w:ascii="Times New Roman" w:hAnsi="Times New Roman" w:cs="Times New Roman"/>
                      <w:color w:val="auto"/>
                      <w:sz w:val="21"/>
                      <w:szCs w:val="21"/>
                    </w:rPr>
                    <w:t>符合</w:t>
                  </w:r>
                </w:p>
              </w:tc>
            </w:tr>
            <w:tr w14:paraId="2C513D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57" w:type="dxa"/>
                  <w:bottom w:w="0" w:type="dxa"/>
                  <w:right w:w="57" w:type="dxa"/>
                </w:tblCellMar>
              </w:tblPrEx>
              <w:trPr>
                <w:jc w:val="center"/>
              </w:trPr>
              <w:tc>
                <w:tcPr>
                  <w:tcW w:w="3390" w:type="pct"/>
                  <w:tcBorders>
                    <w:tl2br w:val="nil"/>
                    <w:tr2bl w:val="nil"/>
                  </w:tcBorders>
                  <w:noWrap w:val="0"/>
                  <w:vAlign w:val="center"/>
                </w:tcPr>
                <w:p w14:paraId="34B013EF">
                  <w:pPr>
                    <w:pStyle w:val="252"/>
                    <w:keepNext w:val="0"/>
                    <w:keepLines w:val="0"/>
                    <w:pageBreakBefore w:val="0"/>
                    <w:widowControl w:val="0"/>
                    <w:kinsoku/>
                    <w:wordWrap/>
                    <w:overflowPunct w:val="0"/>
                    <w:topLinePunct w:val="0"/>
                    <w:autoSpaceDE w:val="0"/>
                    <w:autoSpaceDN w:val="0"/>
                    <w:bidi w:val="0"/>
                    <w:adjustRightInd w:val="0"/>
                    <w:snapToGrid w:val="0"/>
                    <w:spacing w:line="240" w:lineRule="auto"/>
                    <w:jc w:val="both"/>
                    <w:textAlignment w:val="baseline"/>
                    <w:rPr>
                      <w:rFonts w:hint="default" w:ascii="Times New Roman" w:hAnsi="Times New Roman" w:cs="Times New Roman"/>
                      <w:color w:val="auto"/>
                    </w:rPr>
                  </w:pPr>
                  <w:r>
                    <w:rPr>
                      <w:rFonts w:hint="default" w:ascii="Times New Roman" w:hAnsi="Times New Roman" w:cs="Times New Roman"/>
                      <w:color w:val="auto"/>
                    </w:rPr>
                    <w:t>聚焦治污设施“三率”，提升综合治理效率：将无组织排放转变为有组织排放进行控制，优先采用密闭设备、在密闭空间中操作或采用全密闭集气罩收集方式；对于采用局部集气罩的，应根据废气排放特点合理选择收集点位，距集气罩开口面最远处的</w:t>
                  </w:r>
                  <w:r>
                    <w:rPr>
                      <w:rFonts w:hint="eastAsia" w:ascii="Times New Roman" w:hAnsi="Times New Roman" w:cs="Times New Roman"/>
                      <w:color w:val="auto"/>
                      <w:lang w:eastAsia="zh-CN"/>
                    </w:rPr>
                    <w:t>VOCs</w:t>
                  </w:r>
                  <w:r>
                    <w:rPr>
                      <w:rFonts w:hint="default" w:ascii="Times New Roman" w:hAnsi="Times New Roman" w:cs="Times New Roman"/>
                      <w:color w:val="auto"/>
                    </w:rPr>
                    <w:t>无组织排放位置，控制风速不低于0.3米/秒，达不到要求的通过更换大功率风机、增设烟道风机、增加垂帘等方式及时改造；加强生产车间密闭管理，在符合安全生产、职业卫生相关规定前提下，采用自动卷帘门、密闭性好的塑钢门窗等，在非必要时保持关闭。按照与生产设备“同启同停”的原则提升治理设施运行率。根据处理工艺要求，在处理设施达到正常运行条件后方可启动生产设备，在生产设备停止、残留</w:t>
                  </w:r>
                  <w:r>
                    <w:rPr>
                      <w:rFonts w:hint="eastAsia" w:ascii="Times New Roman" w:hAnsi="Times New Roman" w:cs="Times New Roman"/>
                      <w:color w:val="auto"/>
                      <w:lang w:eastAsia="zh-CN"/>
                    </w:rPr>
                    <w:t>VOCs</w:t>
                  </w:r>
                  <w:r>
                    <w:rPr>
                      <w:rFonts w:hint="default" w:ascii="Times New Roman" w:hAnsi="Times New Roman" w:cs="Times New Roman"/>
                      <w:color w:val="auto"/>
                    </w:rPr>
                    <w:t>废气收集处理完毕后，方可停运处理设施。</w:t>
                  </w:r>
                  <w:r>
                    <w:rPr>
                      <w:rFonts w:hint="eastAsia" w:ascii="Times New Roman" w:hAnsi="Times New Roman" w:cs="Times New Roman"/>
                      <w:color w:val="auto"/>
                      <w:lang w:eastAsia="zh-CN"/>
                    </w:rPr>
                    <w:t>VOCs</w:t>
                  </w:r>
                  <w:r>
                    <w:rPr>
                      <w:rFonts w:hint="default" w:ascii="Times New Roman" w:hAnsi="Times New Roman" w:cs="Times New Roman"/>
                      <w:color w:val="auto"/>
                    </w:rPr>
                    <w:t>废气处理系统发生故障或检修时，对应生产工艺设备应停止运行，待检修完毕后同步投入使用；因安全等因素生产工艺设备不能停止或不能及时停止</w:t>
                  </w:r>
                  <w:r>
                    <w:rPr>
                      <w:rFonts w:hint="eastAsia" w:cs="Times New Roman"/>
                      <w:color w:val="auto"/>
                      <w:lang w:eastAsia="zh-CN"/>
                    </w:rPr>
                    <w:t>运行</w:t>
                  </w:r>
                  <w:r>
                    <w:rPr>
                      <w:rFonts w:hint="default" w:ascii="Times New Roman" w:hAnsi="Times New Roman" w:cs="Times New Roman"/>
                      <w:color w:val="auto"/>
                    </w:rPr>
                    <w:cr/>
                  </w:r>
                  <w:r>
                    <w:rPr>
                      <w:rFonts w:hint="default" w:ascii="Times New Roman" w:hAnsi="Times New Roman" w:cs="Times New Roman"/>
                      <w:color w:val="auto"/>
                    </w:rPr>
                    <w:t>的，应设置废气应急处理设施或采取其他替代措施。</w:t>
                  </w:r>
                </w:p>
              </w:tc>
              <w:tc>
                <w:tcPr>
                  <w:tcW w:w="1146" w:type="pct"/>
                  <w:tcBorders>
                    <w:tl2br w:val="nil"/>
                    <w:tr2bl w:val="nil"/>
                  </w:tcBorders>
                  <w:noWrap w:val="0"/>
                  <w:vAlign w:val="center"/>
                </w:tcPr>
                <w:p w14:paraId="49DD28A4">
                  <w:pPr>
                    <w:pStyle w:val="252"/>
                    <w:keepNext w:val="0"/>
                    <w:keepLines w:val="0"/>
                    <w:pageBreakBefore w:val="0"/>
                    <w:widowControl w:val="0"/>
                    <w:kinsoku/>
                    <w:wordWrap/>
                    <w:overflowPunct w:val="0"/>
                    <w:topLinePunct w:val="0"/>
                    <w:autoSpaceDE w:val="0"/>
                    <w:autoSpaceDN w:val="0"/>
                    <w:bidi w:val="0"/>
                    <w:adjustRightInd w:val="0"/>
                    <w:snapToGrid w:val="0"/>
                    <w:spacing w:line="240" w:lineRule="auto"/>
                    <w:jc w:val="both"/>
                    <w:textAlignment w:val="baseline"/>
                    <w:rPr>
                      <w:rFonts w:hint="default" w:ascii="Times New Roman" w:hAnsi="Times New Roman" w:cs="Times New Roman"/>
                      <w:color w:val="auto"/>
                    </w:rPr>
                  </w:pPr>
                  <w:r>
                    <w:rPr>
                      <w:rFonts w:hint="default" w:ascii="Times New Roman" w:hAnsi="Times New Roman" w:cs="Times New Roman"/>
                      <w:color w:val="auto"/>
                    </w:rPr>
                    <w:t>本项目印刷工序采用集气罩，废气治理设备与生产设备“同启同停”的原则，并定期维护保养。</w:t>
                  </w:r>
                </w:p>
              </w:tc>
              <w:tc>
                <w:tcPr>
                  <w:tcW w:w="462" w:type="pct"/>
                  <w:tcBorders>
                    <w:tl2br w:val="nil"/>
                    <w:tr2bl w:val="nil"/>
                  </w:tcBorders>
                  <w:noWrap w:val="0"/>
                  <w:vAlign w:val="center"/>
                </w:tcPr>
                <w:p w14:paraId="5B79B49A">
                  <w:pPr>
                    <w:pStyle w:val="252"/>
                    <w:keepNext w:val="0"/>
                    <w:keepLines w:val="0"/>
                    <w:pageBreakBefore w:val="0"/>
                    <w:widowControl w:val="0"/>
                    <w:kinsoku/>
                    <w:wordWrap/>
                    <w:overflowPunct w:val="0"/>
                    <w:topLinePunct w:val="0"/>
                    <w:autoSpaceDE w:val="0"/>
                    <w:autoSpaceDN w:val="0"/>
                    <w:bidi w:val="0"/>
                    <w:adjustRightInd w:val="0"/>
                    <w:snapToGrid w:val="0"/>
                    <w:spacing w:line="240" w:lineRule="auto"/>
                    <w:jc w:val="center"/>
                    <w:textAlignment w:val="baseline"/>
                    <w:rPr>
                      <w:rFonts w:hint="default" w:ascii="Times New Roman" w:hAnsi="Times New Roman" w:cs="Times New Roman"/>
                      <w:color w:val="auto"/>
                    </w:rPr>
                  </w:pPr>
                  <w:r>
                    <w:rPr>
                      <w:rFonts w:hint="default" w:ascii="Times New Roman" w:hAnsi="Times New Roman" w:cs="Times New Roman"/>
                      <w:color w:val="auto"/>
                      <w:sz w:val="21"/>
                      <w:szCs w:val="21"/>
                    </w:rPr>
                    <w:t>符合</w:t>
                  </w:r>
                </w:p>
              </w:tc>
            </w:tr>
          </w:tbl>
          <w:p w14:paraId="3C67DD55">
            <w:pPr>
              <w:pStyle w:val="53"/>
              <w:tabs>
                <w:tab w:val="left" w:pos="540"/>
                <w:tab w:val="left" w:pos="1080"/>
                <w:tab w:val="left" w:pos="1800"/>
              </w:tabs>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rPr>
              <w:t>综上，项目符合《2020年挥发性有机物治理攻坚方案》（环大气〔2020〕33号）的相关要求</w:t>
            </w:r>
            <w:r>
              <w:rPr>
                <w:rFonts w:hint="default" w:ascii="Times New Roman" w:hAnsi="Times New Roman" w:cs="Times New Roman"/>
                <w:color w:val="auto"/>
                <w:sz w:val="24"/>
                <w:lang w:eastAsia="zh-CN"/>
              </w:rPr>
              <w:t>。</w:t>
            </w:r>
          </w:p>
          <w:p w14:paraId="7BB971A5">
            <w:pPr>
              <w:pStyle w:val="53"/>
              <w:tabs>
                <w:tab w:val="left" w:pos="540"/>
                <w:tab w:val="left" w:pos="1080"/>
                <w:tab w:val="left" w:pos="1800"/>
              </w:tabs>
              <w:ind w:left="0" w:leftChars="0" w:firstLine="0" w:firstLineChars="0"/>
              <w:rPr>
                <w:rFonts w:hint="default" w:ascii="Times New Roman" w:hAnsi="Times New Roman" w:cs="Times New Roman"/>
                <w:color w:val="0000FF"/>
                <w:sz w:val="24"/>
                <w:lang w:eastAsia="zh-CN"/>
              </w:rPr>
            </w:pPr>
            <w:r>
              <w:rPr>
                <w:rFonts w:hint="default" w:ascii="Times New Roman" w:hAnsi="Times New Roman" w:eastAsia="宋体" w:cs="Times New Roman"/>
                <w:b/>
                <w:bCs/>
                <w:color w:val="0000FF"/>
                <w:sz w:val="24"/>
                <w:szCs w:val="24"/>
                <w:highlight w:val="none"/>
              </w:rPr>
              <w:t>1.</w:t>
            </w:r>
            <w:r>
              <w:rPr>
                <w:rFonts w:hint="default" w:ascii="Times New Roman" w:hAnsi="Times New Roman" w:eastAsia="宋体" w:cs="Times New Roman"/>
                <w:b/>
                <w:bCs/>
                <w:color w:val="0000FF"/>
                <w:sz w:val="24"/>
                <w:szCs w:val="24"/>
                <w:highlight w:val="none"/>
                <w:lang w:val="en-US" w:eastAsia="zh-CN"/>
              </w:rPr>
              <w:t>2.</w:t>
            </w:r>
            <w:r>
              <w:rPr>
                <w:rFonts w:hint="eastAsia" w:ascii="Times New Roman" w:hAnsi="Times New Roman" w:eastAsia="宋体" w:cs="Times New Roman"/>
                <w:b/>
                <w:bCs/>
                <w:color w:val="0000FF"/>
                <w:sz w:val="24"/>
                <w:szCs w:val="24"/>
                <w:highlight w:val="none"/>
                <w:lang w:val="en-US" w:eastAsia="zh-CN"/>
              </w:rPr>
              <w:t>9</w:t>
            </w:r>
            <w:r>
              <w:rPr>
                <w:rFonts w:hint="default" w:ascii="Times New Roman" w:hAnsi="Times New Roman" w:eastAsia="宋体" w:cs="Times New Roman"/>
                <w:b/>
                <w:bCs/>
                <w:color w:val="0000FF"/>
                <w:sz w:val="24"/>
                <w:szCs w:val="24"/>
                <w:highlight w:val="none"/>
                <w:lang w:val="en-US" w:eastAsia="zh-CN"/>
              </w:rPr>
              <w:t>与《四川省重污染天气金属表面处理及热处理加工等10个行业应急减排措施制定技术指南》</w:t>
            </w:r>
            <w:r>
              <w:rPr>
                <w:rFonts w:hint="eastAsia" w:ascii="Times New Roman" w:hAnsi="Times New Roman" w:eastAsia="宋体" w:cs="Times New Roman"/>
                <w:b/>
                <w:bCs/>
                <w:color w:val="0000FF"/>
                <w:sz w:val="24"/>
                <w:szCs w:val="24"/>
                <w:highlight w:val="none"/>
                <w:lang w:val="en-US" w:eastAsia="zh-CN"/>
              </w:rPr>
              <w:t>（试行）</w:t>
            </w:r>
            <w:r>
              <w:rPr>
                <w:rFonts w:hint="default" w:ascii="Times New Roman" w:hAnsi="Times New Roman" w:eastAsia="宋体" w:cs="Times New Roman"/>
                <w:b/>
                <w:bCs/>
                <w:color w:val="0000FF"/>
                <w:sz w:val="24"/>
                <w:szCs w:val="24"/>
                <w:highlight w:val="none"/>
                <w:lang w:val="en-US" w:eastAsia="zh-CN"/>
              </w:rPr>
              <w:t>符合性分析</w:t>
            </w:r>
          </w:p>
          <w:p w14:paraId="392B95B5">
            <w:pPr>
              <w:pStyle w:val="53"/>
              <w:tabs>
                <w:tab w:val="left" w:pos="540"/>
                <w:tab w:val="left" w:pos="1080"/>
                <w:tab w:val="left" w:pos="1800"/>
              </w:tabs>
              <w:ind w:firstLine="480" w:firstLineChars="200"/>
              <w:rPr>
                <w:rFonts w:hint="eastAsia" w:ascii="Times New Roman" w:hAnsi="Times New Roman" w:eastAsia="宋体" w:cs="Times New Roman"/>
                <w:color w:val="0000FF"/>
                <w:szCs w:val="24"/>
                <w:lang w:eastAsia="zh-CN"/>
              </w:rPr>
            </w:pPr>
            <w:r>
              <w:rPr>
                <w:rFonts w:hint="default" w:ascii="Times New Roman" w:hAnsi="Times New Roman" w:cs="Times New Roman"/>
                <w:color w:val="0000FF"/>
                <w:szCs w:val="24"/>
              </w:rPr>
              <w:t>本项目产品为塑料制品，生产工艺涉及移印。由于《四川省重污染天气金属表面处理及热处理加工等10个行业应急减排措施制定技术指南》（试行）、《重污染天气重点行业应急减排措施制定技术指南》中均不含移印。因此，本次评价按照塑料产品，并结合《四川省重污染天气金属表面处理及热处理加工等10个行业应急减排措施制定技术指南》（试行），来对项目绩效进行评级，详见表1.2-10</w:t>
            </w:r>
            <w:r>
              <w:rPr>
                <w:rFonts w:hint="eastAsia" w:ascii="Times New Roman" w:hAnsi="Times New Roman" w:cs="Times New Roman"/>
                <w:color w:val="0000FF"/>
                <w:szCs w:val="24"/>
                <w:lang w:eastAsia="zh-CN"/>
              </w:rPr>
              <w:t>。</w:t>
            </w:r>
          </w:p>
          <w:p w14:paraId="4F5EAAB8">
            <w:pPr>
              <w:pStyle w:val="281"/>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0000FF"/>
                <w:sz w:val="24"/>
                <w:szCs w:val="24"/>
              </w:rPr>
            </w:pPr>
            <w:r>
              <w:rPr>
                <w:rFonts w:hint="default" w:ascii="Times New Roman" w:hAnsi="Times New Roman" w:cs="Times New Roman"/>
                <w:b/>
                <w:bCs/>
                <w:color w:val="0000FF"/>
                <w:sz w:val="24"/>
                <w:szCs w:val="24"/>
              </w:rPr>
              <w:t>表1</w:t>
            </w:r>
            <w:r>
              <w:rPr>
                <w:rFonts w:hint="default" w:ascii="Times New Roman" w:hAnsi="Times New Roman" w:cs="Times New Roman"/>
                <w:b/>
                <w:bCs/>
                <w:color w:val="0000FF"/>
                <w:sz w:val="24"/>
                <w:szCs w:val="24"/>
                <w:lang w:val="en-US" w:eastAsia="zh-CN"/>
              </w:rPr>
              <w:t>.2</w:t>
            </w:r>
            <w:r>
              <w:rPr>
                <w:rFonts w:hint="default" w:ascii="Times New Roman" w:hAnsi="Times New Roman" w:cs="Times New Roman"/>
                <w:b/>
                <w:bCs/>
                <w:color w:val="0000FF"/>
                <w:sz w:val="24"/>
                <w:szCs w:val="24"/>
              </w:rPr>
              <w:t>-</w:t>
            </w:r>
            <w:r>
              <w:rPr>
                <w:rFonts w:hint="eastAsia" w:ascii="Times New Roman" w:hAnsi="Times New Roman" w:cs="Times New Roman"/>
                <w:b/>
                <w:bCs/>
                <w:color w:val="0000FF"/>
                <w:sz w:val="24"/>
                <w:szCs w:val="24"/>
                <w:lang w:val="en-US" w:eastAsia="zh-CN"/>
              </w:rPr>
              <w:t>10</w:t>
            </w:r>
            <w:r>
              <w:rPr>
                <w:rFonts w:hint="default" w:ascii="Times New Roman" w:hAnsi="Times New Roman" w:cs="Times New Roman"/>
                <w:b/>
                <w:bCs/>
                <w:color w:val="0000FF"/>
                <w:sz w:val="24"/>
                <w:szCs w:val="24"/>
                <w:lang w:val="en-US" w:eastAsia="zh-CN"/>
              </w:rPr>
              <w:t xml:space="preserve"> </w:t>
            </w:r>
            <w:r>
              <w:rPr>
                <w:rFonts w:hint="default" w:ascii="Times New Roman" w:hAnsi="Times New Roman" w:cs="Times New Roman"/>
                <w:b/>
                <w:bCs/>
                <w:color w:val="0000FF"/>
                <w:sz w:val="24"/>
                <w:szCs w:val="24"/>
              </w:rPr>
              <w:t xml:space="preserve"> 《四川省重污染天气金属表面处理及热处理加工等10个行业应急减排措施制定技术指南》（试行）</w:t>
            </w:r>
            <w:r>
              <w:rPr>
                <w:rFonts w:hint="eastAsia" w:ascii="Times New Roman" w:hAnsi="Times New Roman" w:cs="Times New Roman"/>
                <w:b/>
                <w:bCs/>
                <w:color w:val="0000FF"/>
                <w:sz w:val="24"/>
                <w:szCs w:val="24"/>
                <w:lang w:val="en-US" w:eastAsia="zh-CN"/>
              </w:rPr>
              <w:t>引领性指标</w:t>
            </w:r>
            <w:r>
              <w:rPr>
                <w:rFonts w:hint="default" w:ascii="Times New Roman" w:hAnsi="Times New Roman" w:cs="Times New Roman"/>
                <w:b/>
                <w:bCs/>
                <w:color w:val="0000FF"/>
                <w:sz w:val="24"/>
                <w:szCs w:val="24"/>
              </w:rPr>
              <w:t>符合性分析</w:t>
            </w:r>
          </w:p>
          <w:tbl>
            <w:tblPr>
              <w:tblStyle w:val="35"/>
              <w:tblW w:w="850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2"/>
              <w:gridCol w:w="5050"/>
              <w:gridCol w:w="1980"/>
              <w:gridCol w:w="782"/>
            </w:tblGrid>
            <w:tr w14:paraId="44707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CF07F">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default" w:ascii="Times New Roman" w:hAnsi="Times New Roman" w:eastAsia="宋体" w:cs="Times New Roman"/>
                      <w:b/>
                      <w:bCs/>
                      <w:i w:val="0"/>
                      <w:iCs w:val="0"/>
                      <w:color w:val="0000FF"/>
                      <w:kern w:val="0"/>
                      <w:sz w:val="21"/>
                      <w:szCs w:val="21"/>
                      <w:u w:val="none"/>
                      <w:lang w:val="en-US" w:eastAsia="zh-CN" w:bidi="ar"/>
                    </w:rPr>
                    <w:t>引领性指标</w:t>
                  </w:r>
                </w:p>
              </w:tc>
              <w:tc>
                <w:tcPr>
                  <w:tcW w:w="5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C8894">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default" w:ascii="Times New Roman" w:hAnsi="Times New Roman" w:eastAsia="宋体" w:cs="Times New Roman"/>
                      <w:b/>
                      <w:bCs/>
                      <w:i w:val="0"/>
                      <w:iCs w:val="0"/>
                      <w:color w:val="0000FF"/>
                      <w:kern w:val="0"/>
                      <w:sz w:val="21"/>
                      <w:szCs w:val="21"/>
                      <w:u w:val="none"/>
                      <w:lang w:val="en-US" w:eastAsia="zh-CN" w:bidi="ar"/>
                    </w:rPr>
                    <w:t>塑料制品行业</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8EC97">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default" w:ascii="Times New Roman" w:hAnsi="Times New Roman" w:eastAsia="宋体" w:cs="Times New Roman"/>
                      <w:b/>
                      <w:bCs/>
                      <w:i w:val="0"/>
                      <w:iCs w:val="0"/>
                      <w:color w:val="0000FF"/>
                      <w:kern w:val="0"/>
                      <w:sz w:val="21"/>
                      <w:szCs w:val="21"/>
                      <w:u w:val="none"/>
                      <w:lang w:val="en-US" w:eastAsia="zh-CN" w:bidi="ar"/>
                    </w:rPr>
                    <w:t>本项目情况</w:t>
                  </w:r>
                </w:p>
              </w:tc>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9970E">
                  <w:pPr>
                    <w:keepNext w:val="0"/>
                    <w:keepLines w:val="0"/>
                    <w:widowControl/>
                    <w:suppressLineNumbers w:val="0"/>
                    <w:jc w:val="center"/>
                    <w:textAlignment w:val="center"/>
                    <w:rPr>
                      <w:rFonts w:hint="default" w:ascii="Times New Roman" w:hAnsi="Times New Roman" w:eastAsia="宋体" w:cs="Times New Roman"/>
                      <w:b/>
                      <w:bCs/>
                      <w:i w:val="0"/>
                      <w:iCs w:val="0"/>
                      <w:color w:val="0000FF"/>
                      <w:kern w:val="0"/>
                      <w:sz w:val="21"/>
                      <w:szCs w:val="21"/>
                      <w:u w:val="none"/>
                      <w:lang w:val="en-US" w:eastAsia="zh-CN" w:bidi="ar"/>
                    </w:rPr>
                  </w:pPr>
                  <w:r>
                    <w:rPr>
                      <w:rFonts w:hint="default" w:ascii="Times New Roman" w:hAnsi="Times New Roman" w:eastAsia="宋体" w:cs="Times New Roman"/>
                      <w:b/>
                      <w:bCs/>
                      <w:i w:val="0"/>
                      <w:iCs w:val="0"/>
                      <w:color w:val="0000FF"/>
                      <w:kern w:val="0"/>
                      <w:sz w:val="21"/>
                      <w:szCs w:val="21"/>
                      <w:u w:val="none"/>
                      <w:lang w:val="en-US" w:eastAsia="zh-CN" w:bidi="ar"/>
                    </w:rPr>
                    <w:t>符合性</w:t>
                  </w:r>
                </w:p>
              </w:tc>
            </w:tr>
            <w:tr w14:paraId="0E907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jc w:val="center"/>
              </w:trPr>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2BCB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原料、能源类型</w:t>
                  </w:r>
                </w:p>
              </w:tc>
              <w:tc>
                <w:tcPr>
                  <w:tcW w:w="5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A634C">
                  <w:pPr>
                    <w:keepNext w:val="0"/>
                    <w:keepLines w:val="0"/>
                    <w:widowControl/>
                    <w:suppressLineNumbers w:val="0"/>
                    <w:jc w:val="left"/>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1、原料全部使用非再生料(即使用原包料，非废旧塑料)；2、能源使用电、天然气、液化石油气等清洁能源。</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0093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1.本项目使用原料均为非再生料。2.本项目能源使用电能。</w:t>
                  </w:r>
                </w:p>
              </w:tc>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F3159">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i w:val="0"/>
                      <w:iCs w:val="0"/>
                      <w:color w:val="0000FF"/>
                      <w:kern w:val="0"/>
                      <w:sz w:val="21"/>
                      <w:szCs w:val="21"/>
                      <w:u w:val="none"/>
                      <w:lang w:val="en-US" w:eastAsia="zh-CN" w:bidi="ar"/>
                    </w:rPr>
                    <w:t>符合</w:t>
                  </w:r>
                </w:p>
              </w:tc>
            </w:tr>
            <w:tr w14:paraId="23A5B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F32F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生产工艺及装备水平</w:t>
                  </w:r>
                </w:p>
              </w:tc>
              <w:tc>
                <w:tcPr>
                  <w:tcW w:w="5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29799">
                  <w:pPr>
                    <w:keepNext w:val="0"/>
                    <w:keepLines w:val="0"/>
                    <w:widowControl/>
                    <w:suppressLineNumbers w:val="0"/>
                    <w:jc w:val="left"/>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属于《产业结构调整指导目录》鼓励类和允许类。</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EF02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本项目属于允许类项目。</w:t>
                  </w:r>
                </w:p>
              </w:tc>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5F8E8">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i w:val="0"/>
                      <w:iCs w:val="0"/>
                      <w:color w:val="0000FF"/>
                      <w:kern w:val="0"/>
                      <w:sz w:val="21"/>
                      <w:szCs w:val="21"/>
                      <w:u w:val="none"/>
                      <w:lang w:val="en-US" w:eastAsia="zh-CN" w:bidi="ar"/>
                    </w:rPr>
                    <w:t>符合</w:t>
                  </w:r>
                </w:p>
              </w:tc>
            </w:tr>
            <w:tr w14:paraId="477F2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75" w:hRule="atLeast"/>
                <w:jc w:val="center"/>
              </w:trPr>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41E1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污染治理技术</w:t>
                  </w:r>
                </w:p>
              </w:tc>
              <w:tc>
                <w:tcPr>
                  <w:tcW w:w="5050" w:type="dxa"/>
                  <w:tcBorders>
                    <w:top w:val="single" w:color="000000" w:sz="4" w:space="0"/>
                    <w:left w:val="single" w:color="000000" w:sz="4" w:space="0"/>
                    <w:bottom w:val="single" w:color="auto" w:sz="4" w:space="0"/>
                    <w:right w:val="single" w:color="000000" w:sz="4" w:space="0"/>
                  </w:tcBorders>
                  <w:shd w:val="clear" w:color="auto" w:fill="auto"/>
                  <w:vAlign w:val="center"/>
                </w:tcPr>
                <w:p w14:paraId="5D0C5CCE">
                  <w:pPr>
                    <w:keepNext w:val="0"/>
                    <w:keepLines w:val="0"/>
                    <w:widowControl/>
                    <w:suppressLineNumbers w:val="0"/>
                    <w:jc w:val="left"/>
                    <w:textAlignment w:val="top"/>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VOCs治理采用燃烧工艺(包括直接燃烧、催化燃烧和蓄热燃烧),吸附浓缩+燃烧工艺(包括直接燃烧、催化燃烧和蓄热燃烧),或采用喷淋、吸附等两级及以上组合工艺处理(采用一次活性炭吸附的，活性炭碘值不低于800mg/g,预处理单元配备压差表),或引至锅炉燃烧。</w:t>
                  </w:r>
                  <w:r>
                    <w:rPr>
                      <w:rFonts w:hint="default" w:ascii="Times New Roman" w:hAnsi="Times New Roman" w:eastAsia="宋体" w:cs="Times New Roman"/>
                      <w:i w:val="0"/>
                      <w:iCs w:val="0"/>
                      <w:color w:val="0000FF"/>
                      <w:kern w:val="0"/>
                      <w:sz w:val="21"/>
                      <w:szCs w:val="21"/>
                      <w:u w:val="none"/>
                      <w:lang w:val="en-US" w:eastAsia="zh-CN" w:bidi="ar"/>
                    </w:rPr>
                    <w:br w:type="textWrapping"/>
                  </w:r>
                  <w:r>
                    <w:rPr>
                      <w:rFonts w:hint="default" w:ascii="Times New Roman" w:hAnsi="Times New Roman" w:eastAsia="宋体" w:cs="Times New Roman"/>
                      <w:i w:val="0"/>
                      <w:iCs w:val="0"/>
                      <w:color w:val="0000FF"/>
                      <w:kern w:val="0"/>
                      <w:sz w:val="21"/>
                      <w:szCs w:val="21"/>
                      <w:u w:val="none"/>
                      <w:lang w:val="en-US" w:eastAsia="zh-CN" w:bidi="ar"/>
                    </w:rPr>
                    <w:t>2、除尘采用袋式除尘、滤</w:t>
                  </w:r>
                  <w:r>
                    <w:rPr>
                      <w:rFonts w:hint="eastAsia" w:ascii="Times New Roman" w:hAnsi="Times New Roman" w:eastAsia="宋体" w:cs="Times New Roman"/>
                      <w:i w:val="0"/>
                      <w:iCs w:val="0"/>
                      <w:color w:val="0000FF"/>
                      <w:kern w:val="0"/>
                      <w:sz w:val="21"/>
                      <w:szCs w:val="21"/>
                      <w:u w:val="none"/>
                      <w:lang w:val="en-US" w:eastAsia="zh-CN" w:bidi="ar"/>
                    </w:rPr>
                    <w:t>筒</w:t>
                  </w:r>
                  <w:r>
                    <w:rPr>
                      <w:rFonts w:hint="default" w:ascii="Times New Roman" w:hAnsi="Times New Roman" w:eastAsia="宋体" w:cs="Times New Roman"/>
                      <w:i w:val="0"/>
                      <w:iCs w:val="0"/>
                      <w:color w:val="0000FF"/>
                      <w:kern w:val="0"/>
                      <w:sz w:val="21"/>
                      <w:szCs w:val="21"/>
                      <w:u w:val="none"/>
                      <w:lang w:val="en-US" w:eastAsia="zh-CN" w:bidi="ar"/>
                    </w:rPr>
                    <w:t>除尘等高效除尘技术。</w:t>
                  </w:r>
                  <w:r>
                    <w:rPr>
                      <w:rFonts w:hint="default" w:ascii="Times New Roman" w:hAnsi="Times New Roman" w:eastAsia="宋体" w:cs="Times New Roman"/>
                      <w:i w:val="0"/>
                      <w:iCs w:val="0"/>
                      <w:color w:val="0000FF"/>
                      <w:kern w:val="0"/>
                      <w:sz w:val="21"/>
                      <w:szCs w:val="21"/>
                      <w:u w:val="none"/>
                      <w:lang w:val="en-US" w:eastAsia="zh-CN" w:bidi="ar"/>
                    </w:rPr>
                    <w:br w:type="textWrapping"/>
                  </w:r>
                  <w:r>
                    <w:rPr>
                      <w:rFonts w:hint="default" w:ascii="Times New Roman" w:hAnsi="Times New Roman" w:eastAsia="宋体" w:cs="Times New Roman"/>
                      <w:i w:val="0"/>
                      <w:iCs w:val="0"/>
                      <w:color w:val="0000FF"/>
                      <w:kern w:val="0"/>
                      <w:sz w:val="21"/>
                      <w:szCs w:val="21"/>
                      <w:u w:val="none"/>
                      <w:lang w:val="en-US" w:eastAsia="zh-CN" w:bidi="ar"/>
                    </w:rPr>
                    <w:t>3、NOx采用低氮燃烧、SNCR/SCR等适宜技术。</w:t>
                  </w:r>
                </w:p>
              </w:tc>
              <w:tc>
                <w:tcPr>
                  <w:tcW w:w="1980" w:type="dxa"/>
                  <w:tcBorders>
                    <w:top w:val="single" w:color="000000" w:sz="4" w:space="0"/>
                    <w:left w:val="single" w:color="000000" w:sz="4" w:space="0"/>
                    <w:bottom w:val="single" w:color="auto" w:sz="4" w:space="0"/>
                    <w:right w:val="single" w:color="000000" w:sz="4" w:space="0"/>
                  </w:tcBorders>
                  <w:shd w:val="clear" w:color="auto" w:fill="auto"/>
                  <w:vAlign w:val="center"/>
                </w:tcPr>
                <w:p w14:paraId="15EC855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1.本项目VOCs治理措施采取“两级活性炭”处理工艺。2.本项目粉尘产量</w:t>
                  </w:r>
                  <w:r>
                    <w:rPr>
                      <w:rFonts w:hint="eastAsia" w:ascii="Times New Roman" w:hAnsi="Times New Roman" w:eastAsia="宋体" w:cs="Times New Roman"/>
                      <w:i w:val="0"/>
                      <w:iCs w:val="0"/>
                      <w:color w:val="0000FF"/>
                      <w:kern w:val="0"/>
                      <w:sz w:val="21"/>
                      <w:szCs w:val="21"/>
                      <w:u w:val="none"/>
                      <w:lang w:val="en-US" w:eastAsia="zh-CN" w:bidi="ar"/>
                    </w:rPr>
                    <w:t>较</w:t>
                  </w:r>
                  <w:r>
                    <w:rPr>
                      <w:rFonts w:hint="default" w:ascii="Times New Roman" w:hAnsi="Times New Roman" w:eastAsia="宋体" w:cs="Times New Roman"/>
                      <w:i w:val="0"/>
                      <w:iCs w:val="0"/>
                      <w:color w:val="0000FF"/>
                      <w:kern w:val="0"/>
                      <w:sz w:val="21"/>
                      <w:szCs w:val="21"/>
                      <w:u w:val="none"/>
                      <w:lang w:val="en-US" w:eastAsia="zh-CN" w:bidi="ar"/>
                    </w:rPr>
                    <w:t>少，车间无组织排放。3.本项目污染物不涉及NOx。</w:t>
                  </w:r>
                </w:p>
              </w:tc>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E8B4D">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不</w:t>
                  </w:r>
                  <w:r>
                    <w:rPr>
                      <w:rFonts w:hint="eastAsia" w:ascii="Times New Roman" w:hAnsi="Times New Roman" w:eastAsia="宋体" w:cs="Times New Roman"/>
                      <w:i w:val="0"/>
                      <w:iCs w:val="0"/>
                      <w:color w:val="0000FF"/>
                      <w:kern w:val="0"/>
                      <w:sz w:val="21"/>
                      <w:szCs w:val="21"/>
                      <w:u w:val="none"/>
                      <w:lang w:val="en-US" w:eastAsia="zh-CN" w:bidi="ar"/>
                    </w:rPr>
                    <w:t>符合</w:t>
                  </w:r>
                </w:p>
              </w:tc>
            </w:tr>
            <w:tr w14:paraId="42D5D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2" w:type="dxa"/>
                  <w:tcBorders>
                    <w:top w:val="single" w:color="000000" w:sz="4" w:space="0"/>
                    <w:left w:val="single" w:color="000000" w:sz="4" w:space="0"/>
                    <w:bottom w:val="single" w:color="000000" w:sz="4" w:space="0"/>
                    <w:right w:val="single" w:color="auto" w:sz="4" w:space="0"/>
                  </w:tcBorders>
                  <w:shd w:val="clear" w:color="auto" w:fill="auto"/>
                  <w:vAlign w:val="center"/>
                </w:tcPr>
                <w:p w14:paraId="4DDE854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无组织管控</w:t>
                  </w:r>
                </w:p>
              </w:tc>
              <w:tc>
                <w:tcPr>
                  <w:tcW w:w="5050" w:type="dxa"/>
                  <w:tcBorders>
                    <w:top w:val="single" w:color="auto" w:sz="4" w:space="0"/>
                    <w:left w:val="single" w:color="auto" w:sz="4" w:space="0"/>
                    <w:bottom w:val="single" w:color="auto" w:sz="4" w:space="0"/>
                    <w:right w:val="single" w:color="auto" w:sz="4" w:space="0"/>
                  </w:tcBorders>
                  <w:shd w:val="clear" w:color="auto" w:fill="auto"/>
                  <w:vAlign w:val="center"/>
                </w:tcPr>
                <w:p w14:paraId="41684B52">
                  <w:pPr>
                    <w:keepNext w:val="0"/>
                    <w:keepLines w:val="0"/>
                    <w:widowControl/>
                    <w:suppressLineNumbers w:val="0"/>
                    <w:jc w:val="left"/>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VOCs物料储存于密闭的容器、包装袋、储罐、储库、料仓中；盛装VOCs物料的容器或包装袋存放于室内；盛装VOCs物料的容器或包装袋在非取用状态时应加盖、封口，保持密闭；储存真实蒸气压≥76.6kPa的挥发性有机液体储罐，应采用低压罐、压力罐或其他等效措施；储存真实蒸气压≥10.3kPa但&lt;76.6kPa且储罐容积&gt;20m³的挥发性有机液体储罐，以及储存真实蒸气压≥0.7kPa但&lt;10.3kPa且储罐容积≥30m³的挥发性有机液体储罐，采用高级密封方式的浮顶罐或采用固定顶罐密闭排气至VOCs治理设施。</w:t>
                  </w:r>
                  <w:r>
                    <w:rPr>
                      <w:rFonts w:hint="default" w:ascii="Times New Roman" w:hAnsi="Times New Roman" w:eastAsia="宋体" w:cs="Times New Roman"/>
                      <w:i w:val="0"/>
                      <w:iCs w:val="0"/>
                      <w:color w:val="0000FF"/>
                      <w:kern w:val="0"/>
                      <w:sz w:val="21"/>
                      <w:szCs w:val="21"/>
                      <w:u w:val="none"/>
                      <w:lang w:val="en-US" w:eastAsia="zh-CN" w:bidi="ar"/>
                    </w:rPr>
                    <w:br w:type="textWrapping"/>
                  </w:r>
                  <w:r>
                    <w:rPr>
                      <w:rFonts w:hint="default" w:ascii="Times New Roman" w:hAnsi="Times New Roman" w:eastAsia="宋体" w:cs="Times New Roman"/>
                      <w:i w:val="0"/>
                      <w:iCs w:val="0"/>
                      <w:color w:val="0000FF"/>
                      <w:kern w:val="0"/>
                      <w:sz w:val="21"/>
                      <w:szCs w:val="21"/>
                      <w:u w:val="none"/>
                      <w:lang w:val="en-US" w:eastAsia="zh-CN" w:bidi="ar"/>
                    </w:rPr>
                    <w:t>2、粉状物料采取气力输送、管状带式输送机、螺旋输送机等自动化、密闭输送方式；粒状物料采用封闭皮带等自动化、封闭输送方式；液态VOCs物料采用密闭管道输送。</w:t>
                  </w:r>
                  <w:r>
                    <w:rPr>
                      <w:rFonts w:hint="default" w:ascii="Times New Roman" w:hAnsi="Times New Roman" w:eastAsia="宋体" w:cs="Times New Roman"/>
                      <w:i w:val="0"/>
                      <w:iCs w:val="0"/>
                      <w:color w:val="0000FF"/>
                      <w:kern w:val="0"/>
                      <w:sz w:val="21"/>
                      <w:szCs w:val="21"/>
                      <w:u w:val="none"/>
                      <w:lang w:val="en-US" w:eastAsia="zh-CN" w:bidi="ar"/>
                    </w:rPr>
                    <w:br w:type="textWrapping"/>
                  </w:r>
                  <w:r>
                    <w:rPr>
                      <w:rFonts w:hint="default" w:ascii="Times New Roman" w:hAnsi="Times New Roman" w:eastAsia="宋体" w:cs="Times New Roman"/>
                      <w:i w:val="0"/>
                      <w:iCs w:val="0"/>
                      <w:color w:val="0000FF"/>
                      <w:kern w:val="0"/>
                      <w:sz w:val="21"/>
                      <w:szCs w:val="21"/>
                      <w:u w:val="none"/>
                      <w:lang w:val="en-US" w:eastAsia="zh-CN" w:bidi="ar"/>
                    </w:rPr>
                    <w:t>3、投料、挤塑、注塑、滚塑、吹塑、压延、挤出、造粒、热定型、冷却、发泡、熟化、干燥等涉VOCs工序采用密闭设备或在密闭空间内操作，废气收集至VOCs废气处理设施；采用局部气体收集的，距排风罩开口面最远处的VOCs无组织排放位置，控制风速不低于0.3m/s。</w:t>
                  </w:r>
                  <w:r>
                    <w:rPr>
                      <w:rFonts w:hint="default" w:ascii="Times New Roman" w:hAnsi="Times New Roman" w:eastAsia="宋体" w:cs="Times New Roman"/>
                      <w:i w:val="0"/>
                      <w:iCs w:val="0"/>
                      <w:color w:val="0000FF"/>
                      <w:kern w:val="0"/>
                      <w:sz w:val="21"/>
                      <w:szCs w:val="21"/>
                      <w:u w:val="none"/>
                      <w:lang w:val="en-US" w:eastAsia="zh-CN" w:bidi="ar"/>
                    </w:rPr>
                    <w:br w:type="textWrapping"/>
                  </w:r>
                  <w:r>
                    <w:rPr>
                      <w:rFonts w:hint="default" w:ascii="Times New Roman" w:hAnsi="Times New Roman" w:eastAsia="宋体" w:cs="Times New Roman"/>
                      <w:i w:val="0"/>
                      <w:iCs w:val="0"/>
                      <w:color w:val="0000FF"/>
                      <w:kern w:val="0"/>
                      <w:sz w:val="21"/>
                      <w:szCs w:val="21"/>
                      <w:u w:val="none"/>
                      <w:lang w:val="en-US" w:eastAsia="zh-CN" w:bidi="ar"/>
                    </w:rPr>
                    <w:t>4、废吸附剂应采用密闭的包装袋或容器储存、转运，并建立储存、处置台账。</w:t>
                  </w:r>
                  <w:r>
                    <w:rPr>
                      <w:rFonts w:hint="default" w:ascii="Times New Roman" w:hAnsi="Times New Roman" w:eastAsia="宋体" w:cs="Times New Roman"/>
                      <w:i w:val="0"/>
                      <w:iCs w:val="0"/>
                      <w:color w:val="0000FF"/>
                      <w:kern w:val="0"/>
                      <w:sz w:val="21"/>
                      <w:szCs w:val="21"/>
                      <w:u w:val="none"/>
                      <w:lang w:val="en-US" w:eastAsia="zh-CN" w:bidi="ar"/>
                    </w:rPr>
                    <w:br w:type="textWrapping"/>
                  </w:r>
                  <w:r>
                    <w:rPr>
                      <w:rFonts w:hint="default" w:ascii="Times New Roman" w:hAnsi="Times New Roman" w:eastAsia="宋体" w:cs="Times New Roman"/>
                      <w:i w:val="0"/>
                      <w:iCs w:val="0"/>
                      <w:color w:val="0000FF"/>
                      <w:kern w:val="0"/>
                      <w:sz w:val="21"/>
                      <w:szCs w:val="21"/>
                      <w:u w:val="none"/>
                      <w:lang w:val="en-US" w:eastAsia="zh-CN" w:bidi="ar"/>
                    </w:rPr>
                    <w:t>5、按照《挥发性有机物无组织排放控制标准》(GB37822-2019)相关要求，开展泄漏检测与修复工作。受控密封点在1000个及以上的企业，建立LDAR管理平台。</w:t>
                  </w:r>
                  <w:r>
                    <w:rPr>
                      <w:rFonts w:hint="default" w:ascii="Times New Roman" w:hAnsi="Times New Roman" w:eastAsia="宋体" w:cs="Times New Roman"/>
                      <w:i w:val="0"/>
                      <w:iCs w:val="0"/>
                      <w:color w:val="0000FF"/>
                      <w:kern w:val="0"/>
                      <w:sz w:val="21"/>
                      <w:szCs w:val="21"/>
                      <w:u w:val="none"/>
                      <w:lang w:val="en-US" w:eastAsia="zh-CN" w:bidi="ar"/>
                    </w:rPr>
                    <w:br w:type="textWrapping"/>
                  </w:r>
                  <w:r>
                    <w:rPr>
                      <w:rFonts w:hint="default" w:ascii="Times New Roman" w:hAnsi="Times New Roman" w:eastAsia="宋体" w:cs="Times New Roman"/>
                      <w:i w:val="0"/>
                      <w:iCs w:val="0"/>
                      <w:color w:val="0000FF"/>
                      <w:kern w:val="0"/>
                      <w:sz w:val="21"/>
                      <w:szCs w:val="21"/>
                      <w:u w:val="none"/>
                      <w:lang w:val="en-US" w:eastAsia="zh-CN" w:bidi="ar"/>
                    </w:rPr>
                    <w:t>6、厂区道路硬化，并采取清扫、洒水等措施，保持整洁；车间内不得有可见粉尘外逸及明显异味。</w:t>
                  </w:r>
                </w:p>
              </w:tc>
              <w:tc>
                <w:tcPr>
                  <w:tcW w:w="1980" w:type="dxa"/>
                  <w:tcBorders>
                    <w:top w:val="single" w:color="auto" w:sz="4" w:space="0"/>
                    <w:left w:val="single" w:color="auto" w:sz="4" w:space="0"/>
                    <w:bottom w:val="single" w:color="auto" w:sz="4" w:space="0"/>
                    <w:right w:val="single" w:color="auto" w:sz="4" w:space="0"/>
                  </w:tcBorders>
                  <w:shd w:val="clear" w:color="auto" w:fill="auto"/>
                  <w:vAlign w:val="center"/>
                </w:tcPr>
                <w:p w14:paraId="1F42F71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本项目含VOCs物料采用密封桶装，存放于原辅料暂存区。转运环节采用密闭容器。2.本项目原料采用封闭运输方式。3.本项目注塑工序在密闭空间内操作，废气收集至VOCs废气处理设施。4.本项目废活性炭采取袋装储存、转运，并建立台账。</w:t>
                  </w:r>
                </w:p>
              </w:tc>
              <w:tc>
                <w:tcPr>
                  <w:tcW w:w="782" w:type="dxa"/>
                  <w:tcBorders>
                    <w:top w:val="single" w:color="000000" w:sz="4" w:space="0"/>
                    <w:left w:val="single" w:color="auto" w:sz="4" w:space="0"/>
                    <w:bottom w:val="single" w:color="000000" w:sz="4" w:space="0"/>
                    <w:right w:val="single" w:color="000000" w:sz="4" w:space="0"/>
                  </w:tcBorders>
                  <w:shd w:val="clear" w:color="auto" w:fill="auto"/>
                  <w:vAlign w:val="center"/>
                </w:tcPr>
                <w:p w14:paraId="12DBC485">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i w:val="0"/>
                      <w:iCs w:val="0"/>
                      <w:color w:val="0000FF"/>
                      <w:kern w:val="0"/>
                      <w:sz w:val="21"/>
                      <w:szCs w:val="21"/>
                      <w:u w:val="none"/>
                      <w:lang w:val="en-US" w:eastAsia="zh-CN" w:bidi="ar"/>
                    </w:rPr>
                    <w:t>符合</w:t>
                  </w:r>
                </w:p>
              </w:tc>
            </w:tr>
            <w:tr w14:paraId="67CD3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15" w:hRule="atLeast"/>
                <w:jc w:val="center"/>
              </w:trPr>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115E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排放限值</w:t>
                  </w:r>
                </w:p>
              </w:tc>
              <w:tc>
                <w:tcPr>
                  <w:tcW w:w="5050" w:type="dxa"/>
                  <w:tcBorders>
                    <w:top w:val="single" w:color="auto" w:sz="4" w:space="0"/>
                    <w:left w:val="single" w:color="000000" w:sz="4" w:space="0"/>
                    <w:bottom w:val="single" w:color="000000" w:sz="4" w:space="0"/>
                    <w:right w:val="single" w:color="000000" w:sz="4" w:space="0"/>
                  </w:tcBorders>
                  <w:shd w:val="clear" w:color="auto" w:fill="auto"/>
                  <w:vAlign w:val="center"/>
                </w:tcPr>
                <w:p w14:paraId="1A640B2D">
                  <w:pPr>
                    <w:keepNext w:val="0"/>
                    <w:keepLines w:val="0"/>
                    <w:widowControl/>
                    <w:suppressLineNumbers w:val="0"/>
                    <w:jc w:val="left"/>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1、全厂有组织PM、非甲烷总烃(NMHC)排放浓度分别不高于10、10mg/m³。</w:t>
                  </w:r>
                  <w:r>
                    <w:rPr>
                      <w:rFonts w:hint="default" w:ascii="Times New Roman" w:hAnsi="Times New Roman" w:eastAsia="宋体" w:cs="Times New Roman"/>
                      <w:i w:val="0"/>
                      <w:iCs w:val="0"/>
                      <w:color w:val="0000FF"/>
                      <w:kern w:val="0"/>
                      <w:sz w:val="21"/>
                      <w:szCs w:val="21"/>
                      <w:u w:val="none"/>
                      <w:lang w:val="en-US" w:eastAsia="zh-CN" w:bidi="ar"/>
                    </w:rPr>
                    <w:br w:type="textWrapping"/>
                  </w:r>
                  <w:r>
                    <w:rPr>
                      <w:rFonts w:hint="default" w:ascii="Times New Roman" w:hAnsi="Times New Roman" w:eastAsia="宋体" w:cs="Times New Roman"/>
                      <w:i w:val="0"/>
                      <w:iCs w:val="0"/>
                      <w:color w:val="0000FF"/>
                      <w:kern w:val="0"/>
                      <w:sz w:val="21"/>
                      <w:szCs w:val="21"/>
                      <w:u w:val="none"/>
                      <w:lang w:val="en-US" w:eastAsia="zh-CN" w:bidi="ar"/>
                    </w:rPr>
                    <w:t>2、VOCs治理设施同步运行率和去除率分别达到100%和80%；去除率确实达不到的，厂区内无组织排放监控点NMHC的1h平均浓度值不高于4mg/m³，厂界NMHC小时平均浓度不高于2mg/m³。</w:t>
                  </w:r>
                </w:p>
              </w:tc>
              <w:tc>
                <w:tcPr>
                  <w:tcW w:w="1980" w:type="dxa"/>
                  <w:tcBorders>
                    <w:top w:val="single" w:color="auto" w:sz="4" w:space="0"/>
                    <w:left w:val="single" w:color="000000" w:sz="4" w:space="0"/>
                    <w:bottom w:val="single" w:color="000000" w:sz="4" w:space="0"/>
                    <w:right w:val="single" w:color="000000" w:sz="4" w:space="0"/>
                  </w:tcBorders>
                  <w:shd w:val="clear" w:color="auto" w:fill="auto"/>
                  <w:vAlign w:val="center"/>
                </w:tcPr>
                <w:p w14:paraId="1F59450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1.本项目全厂非甲烷总烃排放浓度不高于10mg/m</w:t>
                  </w:r>
                  <w:r>
                    <w:rPr>
                      <w:rFonts w:hint="default" w:ascii="Times New Roman" w:hAnsi="Times New Roman" w:eastAsia="宋体" w:cs="Times New Roman"/>
                      <w:i w:val="0"/>
                      <w:iCs w:val="0"/>
                      <w:color w:val="0000FF"/>
                      <w:kern w:val="0"/>
                      <w:sz w:val="21"/>
                      <w:szCs w:val="21"/>
                      <w:u w:val="none"/>
                      <w:vertAlign w:val="superscript"/>
                      <w:lang w:val="en-US" w:eastAsia="zh-CN" w:bidi="ar"/>
                    </w:rPr>
                    <w:t>3</w:t>
                  </w:r>
                  <w:r>
                    <w:rPr>
                      <w:rFonts w:hint="default" w:ascii="Times New Roman" w:hAnsi="Times New Roman" w:eastAsia="宋体" w:cs="Times New Roman"/>
                      <w:i w:val="0"/>
                      <w:iCs w:val="0"/>
                      <w:color w:val="0000FF"/>
                      <w:kern w:val="0"/>
                      <w:sz w:val="21"/>
                      <w:szCs w:val="21"/>
                      <w:u w:val="none"/>
                      <w:lang w:val="en-US" w:eastAsia="zh-CN" w:bidi="ar"/>
                    </w:rPr>
                    <w:t>。2.本项目厂区内无组织排放NMHC的1h平均浓度值不高于4mg/m³,厂界NMHC小时平均浓度不高于2mg/m³。</w:t>
                  </w:r>
                </w:p>
              </w:tc>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08FEC">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i w:val="0"/>
                      <w:iCs w:val="0"/>
                      <w:color w:val="0000FF"/>
                      <w:kern w:val="0"/>
                      <w:sz w:val="21"/>
                      <w:szCs w:val="21"/>
                      <w:u w:val="none"/>
                      <w:lang w:val="en-US" w:eastAsia="zh-CN" w:bidi="ar"/>
                    </w:rPr>
                    <w:t>符合</w:t>
                  </w:r>
                </w:p>
              </w:tc>
            </w:tr>
            <w:tr w14:paraId="0D128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2" w:hRule="atLeast"/>
                <w:jc w:val="center"/>
              </w:trPr>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C5C5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监测监控水平</w:t>
                  </w:r>
                </w:p>
              </w:tc>
              <w:tc>
                <w:tcPr>
                  <w:tcW w:w="5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82488">
                  <w:pPr>
                    <w:keepNext w:val="0"/>
                    <w:keepLines w:val="0"/>
                    <w:widowControl/>
                    <w:suppressLineNumbers w:val="0"/>
                    <w:jc w:val="left"/>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1、重点排污单位及排污许可重点管理单位主要排口应当安装污染物排放自动监测设备(CEMS),并与生态环境主管部门的监控设备联网，数据保存一年以上(投产或安装时间不满一年以上的企业，以现有数据为准)。</w:t>
                  </w:r>
                  <w:r>
                    <w:rPr>
                      <w:rFonts w:hint="default" w:ascii="Times New Roman" w:hAnsi="Times New Roman" w:eastAsia="宋体" w:cs="Times New Roman"/>
                      <w:i w:val="0"/>
                      <w:iCs w:val="0"/>
                      <w:color w:val="0000FF"/>
                      <w:kern w:val="0"/>
                      <w:sz w:val="21"/>
                      <w:szCs w:val="21"/>
                      <w:u w:val="none"/>
                      <w:lang w:val="en-US" w:eastAsia="zh-CN" w:bidi="ar"/>
                    </w:rPr>
                    <w:br w:type="textWrapping"/>
                  </w:r>
                  <w:r>
                    <w:rPr>
                      <w:rFonts w:hint="default" w:ascii="Times New Roman" w:hAnsi="Times New Roman" w:eastAsia="宋体" w:cs="Times New Roman"/>
                      <w:i w:val="0"/>
                      <w:iCs w:val="0"/>
                      <w:color w:val="0000FF"/>
                      <w:kern w:val="0"/>
                      <w:sz w:val="21"/>
                      <w:szCs w:val="21"/>
                      <w:u w:val="none"/>
                      <w:lang w:val="en-US" w:eastAsia="zh-CN" w:bidi="ar"/>
                    </w:rPr>
                    <w:t>2、按照排污许可证、行业自行监测指南或排污单位自行监测技术指南等相关要求开展自行监测。</w:t>
                  </w:r>
                  <w:r>
                    <w:rPr>
                      <w:rFonts w:hint="default" w:ascii="Times New Roman" w:hAnsi="Times New Roman" w:eastAsia="宋体" w:cs="Times New Roman"/>
                      <w:i w:val="0"/>
                      <w:iCs w:val="0"/>
                      <w:color w:val="0000FF"/>
                      <w:kern w:val="0"/>
                      <w:sz w:val="21"/>
                      <w:szCs w:val="21"/>
                      <w:u w:val="none"/>
                      <w:lang w:val="en-US" w:eastAsia="zh-CN" w:bidi="ar"/>
                    </w:rPr>
                    <w:br w:type="textWrapping"/>
                  </w:r>
                  <w:r>
                    <w:rPr>
                      <w:rFonts w:hint="default" w:ascii="Times New Roman" w:hAnsi="Times New Roman" w:eastAsia="宋体" w:cs="Times New Roman"/>
                      <w:i w:val="0"/>
                      <w:iCs w:val="0"/>
                      <w:color w:val="0000FF"/>
                      <w:kern w:val="0"/>
                      <w:sz w:val="21"/>
                      <w:szCs w:val="21"/>
                      <w:u w:val="none"/>
                      <w:lang w:val="en-US" w:eastAsia="zh-CN" w:bidi="ar"/>
                    </w:rPr>
                    <w:t>3、涉气生产工序、生产装置及污染治理设施按要求安装用电监管设备，用电监管数据按要求与省、市生态环境部门用电监管平台联网。</w:t>
                  </w:r>
                  <w:r>
                    <w:rPr>
                      <w:rFonts w:hint="default" w:ascii="Times New Roman" w:hAnsi="Times New Roman" w:eastAsia="宋体" w:cs="Times New Roman"/>
                      <w:i w:val="0"/>
                      <w:iCs w:val="0"/>
                      <w:color w:val="0000FF"/>
                      <w:kern w:val="0"/>
                      <w:sz w:val="21"/>
                      <w:szCs w:val="21"/>
                      <w:u w:val="none"/>
                      <w:lang w:val="en-US" w:eastAsia="zh-CN" w:bidi="ar"/>
                    </w:rPr>
                    <w:br w:type="textWrapping"/>
                  </w:r>
                  <w:r>
                    <w:rPr>
                      <w:rFonts w:hint="default" w:ascii="Times New Roman" w:hAnsi="Times New Roman" w:eastAsia="宋体" w:cs="Times New Roman"/>
                      <w:i w:val="0"/>
                      <w:iCs w:val="0"/>
                      <w:color w:val="0000FF"/>
                      <w:kern w:val="0"/>
                      <w:sz w:val="21"/>
                      <w:szCs w:val="21"/>
                      <w:u w:val="none"/>
                      <w:lang w:val="en-US" w:eastAsia="zh-CN" w:bidi="ar"/>
                    </w:rPr>
                    <w:t>4、厂区货运进出口、无组织排放重点管控点位和在线监测站房安装高清视频监控设备，视频数据至少保存3个月。</w:t>
                  </w:r>
                  <w:r>
                    <w:rPr>
                      <w:rFonts w:hint="default" w:ascii="Times New Roman" w:hAnsi="Times New Roman" w:eastAsia="宋体" w:cs="Times New Roman"/>
                      <w:i w:val="0"/>
                      <w:iCs w:val="0"/>
                      <w:color w:val="0000FF"/>
                      <w:kern w:val="0"/>
                      <w:sz w:val="21"/>
                      <w:szCs w:val="21"/>
                      <w:u w:val="none"/>
                      <w:lang w:val="en-US" w:eastAsia="zh-CN" w:bidi="ar"/>
                    </w:rPr>
                    <w:br w:type="textWrapping"/>
                  </w:r>
                  <w:r>
                    <w:rPr>
                      <w:rFonts w:hint="default" w:ascii="Times New Roman" w:hAnsi="Times New Roman" w:eastAsia="宋体" w:cs="Times New Roman"/>
                      <w:i w:val="0"/>
                      <w:iCs w:val="0"/>
                      <w:color w:val="0000FF"/>
                      <w:kern w:val="0"/>
                      <w:sz w:val="21"/>
                      <w:szCs w:val="21"/>
                      <w:u w:val="none"/>
                      <w:lang w:val="en-US" w:eastAsia="zh-CN" w:bidi="ar"/>
                    </w:rPr>
                    <w:t>5、企业主要环保设施及生产设施安装分布式控制系统(DCS)或可保存和查看历史数据的可编程控制系统(PLC),记录企业环保设施运行及相关生产过程主要参数，数据保存一年以上。</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6DA7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本项目按照排污许可证和排污单位自行监测技术指南要求开展自行监测。</w:t>
                  </w:r>
                </w:p>
              </w:tc>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B4501">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i w:val="0"/>
                      <w:iCs w:val="0"/>
                      <w:color w:val="0000FF"/>
                      <w:kern w:val="0"/>
                      <w:sz w:val="21"/>
                      <w:szCs w:val="21"/>
                      <w:u w:val="none"/>
                      <w:lang w:val="en-US" w:eastAsia="zh-CN" w:bidi="ar"/>
                    </w:rPr>
                    <w:t>符合</w:t>
                  </w:r>
                </w:p>
              </w:tc>
            </w:tr>
            <w:tr w14:paraId="155E9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69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933A6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环境管理水平</w:t>
                  </w:r>
                </w:p>
              </w:tc>
              <w:tc>
                <w:tcPr>
                  <w:tcW w:w="5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864F8">
                  <w:pPr>
                    <w:keepNext w:val="0"/>
                    <w:keepLines w:val="0"/>
                    <w:widowControl/>
                    <w:suppressLineNumbers w:val="0"/>
                    <w:jc w:val="left"/>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环保档案：1、环评批复文件和竣工环保验收文件或者环境现状评估备案证明；2、国家版排污许可证或固定</w:t>
                  </w:r>
                  <w:r>
                    <w:rPr>
                      <w:rFonts w:hint="eastAsia" w:ascii="Times New Roman" w:hAnsi="Times New Roman" w:eastAsia="宋体" w:cs="Times New Roman"/>
                      <w:i w:val="0"/>
                      <w:iCs w:val="0"/>
                      <w:color w:val="0000FF"/>
                      <w:kern w:val="0"/>
                      <w:sz w:val="21"/>
                      <w:szCs w:val="21"/>
                      <w:u w:val="none"/>
                      <w:lang w:val="en-US" w:eastAsia="zh-CN" w:bidi="ar"/>
                    </w:rPr>
                    <w:t>污染</w:t>
                  </w:r>
                  <w:r>
                    <w:rPr>
                      <w:rFonts w:hint="default" w:ascii="Times New Roman" w:hAnsi="Times New Roman" w:eastAsia="宋体" w:cs="Times New Roman"/>
                      <w:i w:val="0"/>
                      <w:iCs w:val="0"/>
                      <w:color w:val="0000FF"/>
                      <w:kern w:val="0"/>
                      <w:sz w:val="21"/>
                      <w:szCs w:val="21"/>
                      <w:u w:val="none"/>
                      <w:lang w:val="en-US" w:eastAsia="zh-CN" w:bidi="ar"/>
                    </w:rPr>
                    <w:t>源排污登记回执；3、环境管理制度(有组织、无组织排放长效管理机制，主要包括岗位责任制度、达标公示制度和定期巡查维护制度等);4、废气治理设施运行管理规程；5、 一年内废气监测报告。</w:t>
                  </w:r>
                </w:p>
              </w:tc>
              <w:tc>
                <w:tcPr>
                  <w:tcW w:w="1980" w:type="dxa"/>
                  <w:vMerge w:val="restart"/>
                  <w:tcBorders>
                    <w:top w:val="single" w:color="000000" w:sz="4" w:space="0"/>
                    <w:left w:val="single" w:color="000000" w:sz="4" w:space="0"/>
                    <w:right w:val="single" w:color="000000" w:sz="4" w:space="0"/>
                  </w:tcBorders>
                  <w:shd w:val="clear" w:color="auto" w:fill="auto"/>
                  <w:vAlign w:val="center"/>
                </w:tcPr>
                <w:p w14:paraId="53EAC6A1">
                  <w:pPr>
                    <w:jc w:val="center"/>
                    <w:rPr>
                      <w:rFonts w:hint="default" w:ascii="Times New Roman" w:hAnsi="Times New Roman" w:eastAsia="宋体" w:cs="Times New Roman"/>
                      <w:i w:val="0"/>
                      <w:iCs w:val="0"/>
                      <w:color w:val="0000FF"/>
                      <w:sz w:val="21"/>
                      <w:szCs w:val="21"/>
                      <w:u w:val="none"/>
                      <w:lang w:val="en-US" w:eastAsia="zh-CN"/>
                    </w:rPr>
                  </w:pPr>
                  <w:r>
                    <w:rPr>
                      <w:rFonts w:hint="eastAsia" w:ascii="Times New Roman" w:hAnsi="Times New Roman" w:eastAsia="宋体" w:cs="Times New Roman"/>
                      <w:i w:val="0"/>
                      <w:iCs w:val="0"/>
                      <w:color w:val="0000FF"/>
                      <w:sz w:val="21"/>
                      <w:szCs w:val="21"/>
                      <w:u w:val="none"/>
                      <w:lang w:val="en-US" w:eastAsia="zh-CN"/>
                    </w:rPr>
                    <w:t>本项目建立相关环保档案和台账记录。</w:t>
                  </w:r>
                </w:p>
              </w:tc>
              <w:tc>
                <w:tcPr>
                  <w:tcW w:w="782" w:type="dxa"/>
                  <w:vMerge w:val="restart"/>
                  <w:tcBorders>
                    <w:top w:val="single" w:color="000000" w:sz="4" w:space="0"/>
                    <w:left w:val="single" w:color="000000" w:sz="4" w:space="0"/>
                    <w:right w:val="single" w:color="000000" w:sz="4" w:space="0"/>
                  </w:tcBorders>
                  <w:shd w:val="clear" w:color="auto" w:fill="auto"/>
                  <w:vAlign w:val="center"/>
                </w:tcPr>
                <w:p w14:paraId="52182C3A">
                  <w:pPr>
                    <w:jc w:val="center"/>
                    <w:rPr>
                      <w:rFonts w:hint="default" w:ascii="Times New Roman" w:hAnsi="Times New Roman" w:eastAsia="宋体" w:cs="Times New Roman"/>
                      <w:i w:val="0"/>
                      <w:iCs w:val="0"/>
                      <w:color w:val="0000FF"/>
                      <w:sz w:val="21"/>
                      <w:szCs w:val="21"/>
                      <w:u w:val="none"/>
                    </w:rPr>
                  </w:pPr>
                  <w:r>
                    <w:rPr>
                      <w:rFonts w:hint="eastAsia" w:ascii="Times New Roman" w:hAnsi="Times New Roman" w:eastAsia="宋体" w:cs="Times New Roman"/>
                      <w:i w:val="0"/>
                      <w:iCs w:val="0"/>
                      <w:color w:val="0000FF"/>
                      <w:kern w:val="0"/>
                      <w:sz w:val="21"/>
                      <w:szCs w:val="21"/>
                      <w:u w:val="none"/>
                      <w:lang w:val="en-US" w:eastAsia="zh-CN" w:bidi="ar"/>
                    </w:rPr>
                    <w:t>符合</w:t>
                  </w:r>
                </w:p>
              </w:tc>
            </w:tr>
            <w:tr w14:paraId="3EB97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jc w:val="center"/>
              </w:trPr>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1AD7AE">
                  <w:pPr>
                    <w:jc w:val="center"/>
                    <w:rPr>
                      <w:rFonts w:hint="default" w:ascii="Times New Roman" w:hAnsi="Times New Roman" w:eastAsia="宋体" w:cs="Times New Roman"/>
                      <w:i w:val="0"/>
                      <w:iCs w:val="0"/>
                      <w:color w:val="0000FF"/>
                      <w:sz w:val="21"/>
                      <w:szCs w:val="21"/>
                      <w:u w:val="none"/>
                    </w:rPr>
                  </w:pPr>
                </w:p>
              </w:tc>
              <w:tc>
                <w:tcPr>
                  <w:tcW w:w="5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02AA6">
                  <w:pPr>
                    <w:keepNext w:val="0"/>
                    <w:keepLines w:val="0"/>
                    <w:widowControl/>
                    <w:suppressLineNumbers w:val="0"/>
                    <w:jc w:val="left"/>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台账记录：1、生产设施运行管理信息(生产时间、运行负荷、产品产量等);2、废气污染治理设施运行管理信息；3、监测记录信息(主要污染排放口废气排放记录等);4、主要原辅材料消耗记录；5、燃料消耗记录；6、 一般固废、危废处理记录；7、运输车辆、厂内车辆、非道路移动机械电子台账(进出场时间、车辆或非道路移动机械信息、运送货物名称及运量等)。</w:t>
                  </w:r>
                </w:p>
              </w:tc>
              <w:tc>
                <w:tcPr>
                  <w:tcW w:w="1980" w:type="dxa"/>
                  <w:vMerge w:val="continue"/>
                  <w:tcBorders>
                    <w:left w:val="single" w:color="000000" w:sz="4" w:space="0"/>
                    <w:bottom w:val="single" w:color="000000" w:sz="4" w:space="0"/>
                    <w:right w:val="single" w:color="000000" w:sz="4" w:space="0"/>
                  </w:tcBorders>
                  <w:shd w:val="clear" w:color="auto" w:fill="auto"/>
                  <w:vAlign w:val="center"/>
                </w:tcPr>
                <w:p w14:paraId="0B1541CD">
                  <w:pPr>
                    <w:jc w:val="center"/>
                    <w:rPr>
                      <w:rFonts w:hint="default" w:ascii="Times New Roman" w:hAnsi="Times New Roman" w:eastAsia="宋体" w:cs="Times New Roman"/>
                      <w:i w:val="0"/>
                      <w:iCs w:val="0"/>
                      <w:color w:val="0000FF"/>
                      <w:sz w:val="21"/>
                      <w:szCs w:val="21"/>
                      <w:u w:val="none"/>
                    </w:rPr>
                  </w:pPr>
                </w:p>
              </w:tc>
              <w:tc>
                <w:tcPr>
                  <w:tcW w:w="782" w:type="dxa"/>
                  <w:vMerge w:val="continue"/>
                  <w:tcBorders>
                    <w:left w:val="single" w:color="000000" w:sz="4" w:space="0"/>
                    <w:bottom w:val="single" w:color="000000" w:sz="4" w:space="0"/>
                    <w:right w:val="single" w:color="000000" w:sz="4" w:space="0"/>
                  </w:tcBorders>
                  <w:shd w:val="clear" w:color="auto" w:fill="auto"/>
                  <w:vAlign w:val="center"/>
                </w:tcPr>
                <w:p w14:paraId="5E549E46">
                  <w:pPr>
                    <w:jc w:val="center"/>
                    <w:rPr>
                      <w:rFonts w:hint="default" w:ascii="Times New Roman" w:hAnsi="Times New Roman" w:eastAsia="宋体" w:cs="Times New Roman"/>
                      <w:i w:val="0"/>
                      <w:iCs w:val="0"/>
                      <w:color w:val="0000FF"/>
                      <w:sz w:val="21"/>
                      <w:szCs w:val="21"/>
                      <w:u w:val="none"/>
                    </w:rPr>
                  </w:pPr>
                </w:p>
              </w:tc>
            </w:tr>
            <w:tr w14:paraId="40DDC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9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9FE245">
                  <w:pPr>
                    <w:jc w:val="center"/>
                    <w:rPr>
                      <w:rFonts w:hint="default" w:ascii="Times New Roman" w:hAnsi="Times New Roman" w:eastAsia="宋体" w:cs="Times New Roman"/>
                      <w:i w:val="0"/>
                      <w:iCs w:val="0"/>
                      <w:color w:val="0000FF"/>
                      <w:sz w:val="21"/>
                      <w:szCs w:val="21"/>
                      <w:u w:val="none"/>
                    </w:rPr>
                  </w:pPr>
                </w:p>
              </w:tc>
              <w:tc>
                <w:tcPr>
                  <w:tcW w:w="5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9DF46">
                  <w:pPr>
                    <w:keepNext w:val="0"/>
                    <w:keepLines w:val="0"/>
                    <w:widowControl/>
                    <w:suppressLineNumbers w:val="0"/>
                    <w:jc w:val="left"/>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人员配置：配备专职环保人员，并具备相应的环境管理能力(学历、培训、从业经验等)</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8482C">
                  <w:pPr>
                    <w:jc w:val="center"/>
                    <w:rPr>
                      <w:rFonts w:hint="default" w:ascii="Times New Roman" w:hAnsi="Times New Roman" w:eastAsia="宋体" w:cs="Times New Roman"/>
                      <w:i w:val="0"/>
                      <w:iCs w:val="0"/>
                      <w:color w:val="0000FF"/>
                      <w:sz w:val="21"/>
                      <w:szCs w:val="21"/>
                      <w:u w:val="none"/>
                      <w:lang w:val="en-US" w:eastAsia="zh-CN"/>
                    </w:rPr>
                  </w:pPr>
                  <w:r>
                    <w:rPr>
                      <w:rFonts w:hint="eastAsia" w:ascii="Times New Roman" w:hAnsi="Times New Roman" w:eastAsia="宋体" w:cs="Times New Roman"/>
                      <w:i w:val="0"/>
                      <w:iCs w:val="0"/>
                      <w:color w:val="0000FF"/>
                      <w:sz w:val="21"/>
                      <w:szCs w:val="21"/>
                      <w:u w:val="none"/>
                      <w:lang w:val="en-US" w:eastAsia="zh-CN"/>
                    </w:rPr>
                    <w:t>本项目配备专职环保人员。</w:t>
                  </w:r>
                </w:p>
              </w:tc>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F875E">
                  <w:pPr>
                    <w:jc w:val="center"/>
                    <w:rPr>
                      <w:rFonts w:hint="default" w:ascii="Times New Roman" w:hAnsi="Times New Roman" w:eastAsia="宋体" w:cs="Times New Roman"/>
                      <w:i w:val="0"/>
                      <w:iCs w:val="0"/>
                      <w:color w:val="0000FF"/>
                      <w:sz w:val="21"/>
                      <w:szCs w:val="21"/>
                      <w:u w:val="none"/>
                    </w:rPr>
                  </w:pPr>
                  <w:r>
                    <w:rPr>
                      <w:rFonts w:hint="eastAsia" w:ascii="Times New Roman" w:hAnsi="Times New Roman" w:eastAsia="宋体" w:cs="Times New Roman"/>
                      <w:i w:val="0"/>
                      <w:iCs w:val="0"/>
                      <w:color w:val="0000FF"/>
                      <w:kern w:val="0"/>
                      <w:sz w:val="21"/>
                      <w:szCs w:val="21"/>
                      <w:u w:val="none"/>
                      <w:lang w:val="en-US" w:eastAsia="zh-CN" w:bidi="ar"/>
                    </w:rPr>
                    <w:t>符合</w:t>
                  </w:r>
                </w:p>
              </w:tc>
            </w:tr>
            <w:tr w14:paraId="3BD29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5549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运输方式</w:t>
                  </w:r>
                </w:p>
              </w:tc>
              <w:tc>
                <w:tcPr>
                  <w:tcW w:w="5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14088">
                  <w:pPr>
                    <w:keepNext w:val="0"/>
                    <w:keepLines w:val="0"/>
                    <w:widowControl/>
                    <w:suppressLineNumbers w:val="0"/>
                    <w:jc w:val="left"/>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1、物料、产品公路运输全部使用国五及以上排放标准重型载货车辆(含燃气)或新能源车辆等清洁运输方式。</w:t>
                  </w:r>
                  <w:r>
                    <w:rPr>
                      <w:rFonts w:hint="default" w:ascii="Times New Roman" w:hAnsi="Times New Roman" w:eastAsia="宋体" w:cs="Times New Roman"/>
                      <w:i w:val="0"/>
                      <w:iCs w:val="0"/>
                      <w:color w:val="0000FF"/>
                      <w:kern w:val="0"/>
                      <w:sz w:val="21"/>
                      <w:szCs w:val="21"/>
                      <w:u w:val="none"/>
                      <w:lang w:val="en-US" w:eastAsia="zh-CN" w:bidi="ar"/>
                    </w:rPr>
                    <w:br w:type="textWrapping"/>
                  </w:r>
                  <w:r>
                    <w:rPr>
                      <w:rFonts w:hint="default" w:ascii="Times New Roman" w:hAnsi="Times New Roman" w:eastAsia="宋体" w:cs="Times New Roman"/>
                      <w:i w:val="0"/>
                      <w:iCs w:val="0"/>
                      <w:color w:val="0000FF"/>
                      <w:kern w:val="0"/>
                      <w:sz w:val="21"/>
                      <w:szCs w:val="21"/>
                      <w:u w:val="none"/>
                      <w:lang w:val="en-US" w:eastAsia="zh-CN" w:bidi="ar"/>
                    </w:rPr>
                    <w:t>2、厂内运输车辆全部达到国五及以上排放标准(含燃气)或使用新能源车辆。</w:t>
                  </w:r>
                  <w:r>
                    <w:rPr>
                      <w:rFonts w:hint="default" w:ascii="Times New Roman" w:hAnsi="Times New Roman" w:eastAsia="宋体" w:cs="Times New Roman"/>
                      <w:i w:val="0"/>
                      <w:iCs w:val="0"/>
                      <w:color w:val="0000FF"/>
                      <w:kern w:val="0"/>
                      <w:sz w:val="21"/>
                      <w:szCs w:val="21"/>
                      <w:u w:val="none"/>
                      <w:lang w:val="en-US" w:eastAsia="zh-CN" w:bidi="ar"/>
                    </w:rPr>
                    <w:br w:type="textWrapping"/>
                  </w:r>
                  <w:r>
                    <w:rPr>
                      <w:rFonts w:hint="default" w:ascii="Times New Roman" w:hAnsi="Times New Roman" w:eastAsia="宋体" w:cs="Times New Roman"/>
                      <w:i w:val="0"/>
                      <w:iCs w:val="0"/>
                      <w:color w:val="0000FF"/>
                      <w:kern w:val="0"/>
                      <w:sz w:val="21"/>
                      <w:szCs w:val="21"/>
                      <w:u w:val="none"/>
                      <w:lang w:val="en-US" w:eastAsia="zh-CN" w:bidi="ar"/>
                    </w:rPr>
                    <w:t>3、厂内非道路移动机械全部达到国三及以上排放标准或使用新能源机械。</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7509E">
                  <w:pPr>
                    <w:jc w:val="center"/>
                    <w:rPr>
                      <w:rFonts w:hint="default" w:ascii="Times New Roman" w:hAnsi="Times New Roman" w:eastAsia="宋体" w:cs="Times New Roman"/>
                      <w:i w:val="0"/>
                      <w:iCs w:val="0"/>
                      <w:color w:val="0000FF"/>
                      <w:sz w:val="21"/>
                      <w:szCs w:val="21"/>
                      <w:u w:val="none"/>
                      <w:lang w:val="en-US" w:eastAsia="zh-CN"/>
                    </w:rPr>
                  </w:pPr>
                  <w:r>
                    <w:rPr>
                      <w:rFonts w:hint="eastAsia" w:ascii="Times New Roman" w:hAnsi="Times New Roman" w:eastAsia="宋体" w:cs="Times New Roman"/>
                      <w:i w:val="0"/>
                      <w:iCs w:val="0"/>
                      <w:color w:val="0000FF"/>
                      <w:sz w:val="21"/>
                      <w:szCs w:val="21"/>
                      <w:u w:val="none"/>
                      <w:lang w:val="en-US" w:eastAsia="zh-CN"/>
                    </w:rPr>
                    <w:t>本项目物料厂外运输委托第三方企业外包，达到</w:t>
                  </w:r>
                  <w:r>
                    <w:rPr>
                      <w:rFonts w:hint="default" w:ascii="Times New Roman" w:hAnsi="Times New Roman" w:eastAsia="宋体" w:cs="Times New Roman"/>
                      <w:i w:val="0"/>
                      <w:iCs w:val="0"/>
                      <w:color w:val="0000FF"/>
                      <w:kern w:val="0"/>
                      <w:sz w:val="21"/>
                      <w:szCs w:val="21"/>
                      <w:u w:val="none"/>
                      <w:lang w:val="en-US" w:eastAsia="zh-CN" w:bidi="ar"/>
                    </w:rPr>
                    <w:t>国五及以上排放标准</w:t>
                  </w:r>
                  <w:r>
                    <w:rPr>
                      <w:rFonts w:hint="eastAsia" w:ascii="Times New Roman" w:hAnsi="Times New Roman" w:eastAsia="宋体" w:cs="Times New Roman"/>
                      <w:i w:val="0"/>
                      <w:iCs w:val="0"/>
                      <w:color w:val="0000FF"/>
                      <w:kern w:val="0"/>
                      <w:sz w:val="21"/>
                      <w:szCs w:val="21"/>
                      <w:u w:val="none"/>
                      <w:lang w:val="en-US" w:eastAsia="zh-CN" w:bidi="ar"/>
                    </w:rPr>
                    <w:t>；场内运输车辆达到</w:t>
                  </w:r>
                  <w:r>
                    <w:rPr>
                      <w:rFonts w:hint="default" w:ascii="Times New Roman" w:hAnsi="Times New Roman" w:eastAsia="宋体" w:cs="Times New Roman"/>
                      <w:i w:val="0"/>
                      <w:iCs w:val="0"/>
                      <w:color w:val="0000FF"/>
                      <w:kern w:val="0"/>
                      <w:sz w:val="21"/>
                      <w:szCs w:val="21"/>
                      <w:u w:val="none"/>
                      <w:lang w:val="en-US" w:eastAsia="zh-CN" w:bidi="ar"/>
                    </w:rPr>
                    <w:t>国五及以上排放标准</w:t>
                  </w:r>
                </w:p>
              </w:tc>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1B91A">
                  <w:pPr>
                    <w:jc w:val="center"/>
                    <w:rPr>
                      <w:rFonts w:hint="default" w:ascii="Times New Roman" w:hAnsi="Times New Roman" w:eastAsia="宋体" w:cs="Times New Roman"/>
                      <w:i w:val="0"/>
                      <w:iCs w:val="0"/>
                      <w:color w:val="0000FF"/>
                      <w:sz w:val="21"/>
                      <w:szCs w:val="21"/>
                      <w:u w:val="none"/>
                    </w:rPr>
                  </w:pPr>
                  <w:r>
                    <w:rPr>
                      <w:rFonts w:hint="eastAsia" w:ascii="Times New Roman" w:hAnsi="Times New Roman" w:eastAsia="宋体" w:cs="Times New Roman"/>
                      <w:i w:val="0"/>
                      <w:iCs w:val="0"/>
                      <w:color w:val="0000FF"/>
                      <w:kern w:val="0"/>
                      <w:sz w:val="21"/>
                      <w:szCs w:val="21"/>
                      <w:u w:val="none"/>
                      <w:lang w:val="en-US" w:eastAsia="zh-CN" w:bidi="ar"/>
                    </w:rPr>
                    <w:t>符合</w:t>
                  </w:r>
                </w:p>
              </w:tc>
            </w:tr>
            <w:tr w14:paraId="0E971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6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49D8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运输监管</w:t>
                  </w:r>
                </w:p>
              </w:tc>
              <w:tc>
                <w:tcPr>
                  <w:tcW w:w="5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B88C4">
                  <w:pPr>
                    <w:keepNext w:val="0"/>
                    <w:keepLines w:val="0"/>
                    <w:widowControl/>
                    <w:suppressLineNumbers w:val="0"/>
                    <w:jc w:val="left"/>
                    <w:textAlignment w:val="top"/>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参照《重污染天气重点行业移动源应急管理技术指南》建立门禁系统和电子台账。</w:t>
                  </w:r>
                </w:p>
              </w:tc>
              <w:tc>
                <w:tcPr>
                  <w:tcW w:w="1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AEEBA">
                  <w:pPr>
                    <w:jc w:val="center"/>
                    <w:rPr>
                      <w:rFonts w:hint="default" w:ascii="Times New Roman" w:hAnsi="Times New Roman" w:eastAsia="宋体" w:cs="Times New Roman"/>
                      <w:i w:val="0"/>
                      <w:iCs w:val="0"/>
                      <w:color w:val="0000FF"/>
                      <w:sz w:val="21"/>
                      <w:szCs w:val="21"/>
                      <w:u w:val="none"/>
                      <w:lang w:val="en-US" w:eastAsia="zh-CN"/>
                    </w:rPr>
                  </w:pPr>
                  <w:r>
                    <w:rPr>
                      <w:rFonts w:hint="eastAsia" w:ascii="Times New Roman" w:hAnsi="Times New Roman" w:eastAsia="宋体" w:cs="Times New Roman"/>
                      <w:i w:val="0"/>
                      <w:iCs w:val="0"/>
                      <w:color w:val="0000FF"/>
                      <w:sz w:val="21"/>
                      <w:szCs w:val="21"/>
                      <w:u w:val="none"/>
                      <w:lang w:val="en-US" w:eastAsia="zh-CN"/>
                    </w:rPr>
                    <w:t>本项目建立门禁系统和电子台账</w:t>
                  </w:r>
                </w:p>
              </w:tc>
              <w:tc>
                <w:tcPr>
                  <w:tcW w:w="7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CE37F">
                  <w:pPr>
                    <w:jc w:val="center"/>
                    <w:rPr>
                      <w:rFonts w:hint="default" w:ascii="Times New Roman" w:hAnsi="Times New Roman" w:eastAsia="宋体" w:cs="Times New Roman"/>
                      <w:i w:val="0"/>
                      <w:iCs w:val="0"/>
                      <w:color w:val="0000FF"/>
                      <w:sz w:val="21"/>
                      <w:szCs w:val="21"/>
                      <w:u w:val="none"/>
                    </w:rPr>
                  </w:pPr>
                  <w:r>
                    <w:rPr>
                      <w:rFonts w:hint="eastAsia" w:ascii="Times New Roman" w:hAnsi="Times New Roman" w:eastAsia="宋体" w:cs="Times New Roman"/>
                      <w:i w:val="0"/>
                      <w:iCs w:val="0"/>
                      <w:color w:val="0000FF"/>
                      <w:kern w:val="0"/>
                      <w:sz w:val="21"/>
                      <w:szCs w:val="21"/>
                      <w:u w:val="none"/>
                      <w:lang w:val="en-US" w:eastAsia="zh-CN" w:bidi="ar"/>
                    </w:rPr>
                    <w:t>符合</w:t>
                  </w:r>
                </w:p>
              </w:tc>
            </w:tr>
          </w:tbl>
          <w:p w14:paraId="6555D17A">
            <w:pPr>
              <w:pStyle w:val="53"/>
              <w:tabs>
                <w:tab w:val="left" w:pos="540"/>
                <w:tab w:val="left" w:pos="1080"/>
                <w:tab w:val="left" w:pos="1800"/>
              </w:tabs>
              <w:ind w:firstLine="480" w:firstLineChars="200"/>
              <w:rPr>
                <w:rFonts w:hint="default" w:ascii="Times New Roman" w:hAnsi="Times New Roman" w:cs="Times New Roman"/>
                <w:color w:val="0000FF"/>
                <w:sz w:val="24"/>
                <w:lang w:eastAsia="zh-CN"/>
              </w:rPr>
            </w:pPr>
            <w:r>
              <w:rPr>
                <w:rFonts w:hint="default" w:ascii="Times New Roman" w:hAnsi="Times New Roman" w:cs="Times New Roman"/>
                <w:color w:val="0000FF"/>
                <w:sz w:val="24"/>
              </w:rPr>
              <w:t>综上，项目</w:t>
            </w:r>
            <w:r>
              <w:rPr>
                <w:rFonts w:hint="eastAsia" w:ascii="Times New Roman" w:hAnsi="Times New Roman" w:cs="Times New Roman"/>
                <w:color w:val="0000FF"/>
                <w:sz w:val="24"/>
                <w:lang w:val="en-US" w:eastAsia="zh-CN"/>
              </w:rPr>
              <w:t>不</w:t>
            </w:r>
            <w:r>
              <w:rPr>
                <w:rFonts w:hint="default" w:ascii="Times New Roman" w:hAnsi="Times New Roman" w:cs="Times New Roman"/>
                <w:color w:val="0000FF"/>
                <w:sz w:val="24"/>
              </w:rPr>
              <w:t>符合《四川省重污染天气金属表面处理及热处理加工等10个行业应急减排措施制定技术指南》（试行）</w:t>
            </w:r>
            <w:r>
              <w:rPr>
                <w:rFonts w:hint="eastAsia" w:ascii="Times New Roman" w:hAnsi="Times New Roman" w:cs="Times New Roman"/>
                <w:color w:val="0000FF"/>
                <w:sz w:val="24"/>
                <w:lang w:val="en-US" w:eastAsia="zh-CN"/>
              </w:rPr>
              <w:t>中的引领性企业。</w:t>
            </w:r>
          </w:p>
          <w:p w14:paraId="7FD69F3A">
            <w:pPr>
              <w:pStyle w:val="53"/>
              <w:tabs>
                <w:tab w:val="left" w:pos="540"/>
                <w:tab w:val="left" w:pos="1080"/>
                <w:tab w:val="left" w:pos="1800"/>
              </w:tabs>
              <w:ind w:left="0" w:leftChars="0" w:firstLine="0" w:firstLineChars="0"/>
              <w:rPr>
                <w:rFonts w:hint="default" w:ascii="Times New Roman" w:hAnsi="Times New Roman" w:cs="Times New Roman"/>
                <w:color w:val="00B050"/>
                <w:sz w:val="24"/>
                <w:lang w:eastAsia="zh-CN"/>
              </w:rPr>
            </w:pPr>
            <w:r>
              <w:rPr>
                <w:rFonts w:hint="default" w:ascii="Times New Roman" w:hAnsi="Times New Roman" w:eastAsia="宋体" w:cs="Times New Roman"/>
                <w:b/>
                <w:bCs/>
                <w:color w:val="00B050"/>
                <w:sz w:val="24"/>
                <w:szCs w:val="24"/>
                <w:highlight w:val="none"/>
              </w:rPr>
              <w:t>1.</w:t>
            </w:r>
            <w:r>
              <w:rPr>
                <w:rFonts w:hint="default" w:ascii="Times New Roman" w:hAnsi="Times New Roman" w:eastAsia="宋体" w:cs="Times New Roman"/>
                <w:b/>
                <w:bCs/>
                <w:color w:val="00B050"/>
                <w:sz w:val="24"/>
                <w:szCs w:val="24"/>
                <w:highlight w:val="none"/>
                <w:lang w:val="en-US" w:eastAsia="zh-CN"/>
              </w:rPr>
              <w:t>2.</w:t>
            </w:r>
            <w:r>
              <w:rPr>
                <w:rFonts w:hint="eastAsia" w:ascii="Times New Roman" w:hAnsi="Times New Roman" w:cs="Times New Roman"/>
                <w:b/>
                <w:bCs/>
                <w:color w:val="00B050"/>
                <w:sz w:val="24"/>
                <w:szCs w:val="24"/>
                <w:highlight w:val="none"/>
                <w:lang w:val="en-US" w:eastAsia="zh-CN"/>
              </w:rPr>
              <w:t>10</w:t>
            </w:r>
            <w:r>
              <w:rPr>
                <w:rFonts w:hint="eastAsia" w:ascii="Times New Roman" w:hAnsi="Times New Roman" w:cs="Times New Roman"/>
                <w:b/>
                <w:bCs/>
                <w:color w:val="00B050"/>
                <w:sz w:val="24"/>
                <w:szCs w:val="24"/>
                <w:lang w:val="en-US" w:eastAsia="zh-CN"/>
              </w:rPr>
              <w:t>本项目</w:t>
            </w:r>
            <w:r>
              <w:rPr>
                <w:rFonts w:hint="eastAsia" w:ascii="Times New Roman" w:hAnsi="Times New Roman" w:cs="Times New Roman"/>
                <w:b/>
                <w:bCs/>
                <w:color w:val="00B050"/>
                <w:sz w:val="24"/>
                <w:szCs w:val="24"/>
                <w:highlight w:val="none"/>
                <w:lang w:val="en-US" w:eastAsia="zh-CN"/>
              </w:rPr>
              <w:t>VOCs污染防治措施</w:t>
            </w:r>
            <w:r>
              <w:rPr>
                <w:rFonts w:hint="default" w:ascii="Times New Roman" w:hAnsi="Times New Roman" w:eastAsia="宋体" w:cs="Times New Roman"/>
                <w:b/>
                <w:bCs/>
                <w:color w:val="00B050"/>
                <w:sz w:val="24"/>
                <w:szCs w:val="24"/>
                <w:highlight w:val="none"/>
                <w:lang w:val="en-US" w:eastAsia="zh-CN"/>
              </w:rPr>
              <w:t>与</w:t>
            </w:r>
            <w:r>
              <w:rPr>
                <w:rFonts w:hint="eastAsia" w:ascii="Times New Roman" w:hAnsi="Times New Roman" w:cs="Times New Roman"/>
                <w:b/>
                <w:bCs/>
                <w:color w:val="00B050"/>
                <w:sz w:val="24"/>
                <w:szCs w:val="24"/>
                <w:highlight w:val="none"/>
                <w:lang w:val="en-US" w:eastAsia="zh-CN"/>
              </w:rPr>
              <w:t>《</w:t>
            </w:r>
            <w:r>
              <w:rPr>
                <w:rFonts w:hint="default" w:ascii="Times New Roman" w:hAnsi="Times New Roman" w:eastAsia="宋体" w:cs="Times New Roman"/>
                <w:b/>
                <w:bCs/>
                <w:color w:val="00B050"/>
                <w:sz w:val="24"/>
                <w:szCs w:val="24"/>
                <w:highlight w:val="none"/>
                <w:lang w:val="en-US" w:eastAsia="zh-CN"/>
              </w:rPr>
              <w:t>国家污染防治技术指导目录（2024年</w:t>
            </w:r>
            <w:r>
              <w:rPr>
                <w:rFonts w:hint="eastAsia" w:ascii="Times New Roman" w:hAnsi="Times New Roman" w:cs="Times New Roman"/>
                <w:b/>
                <w:bCs/>
                <w:color w:val="00B050"/>
                <w:sz w:val="24"/>
                <w:szCs w:val="24"/>
                <w:highlight w:val="none"/>
                <w:lang w:val="en-US" w:eastAsia="zh-CN"/>
              </w:rPr>
              <w:t>，限制类和淘汰类</w:t>
            </w:r>
            <w:r>
              <w:rPr>
                <w:rFonts w:hint="default" w:ascii="Times New Roman" w:hAnsi="Times New Roman" w:eastAsia="宋体" w:cs="Times New Roman"/>
                <w:b/>
                <w:bCs/>
                <w:color w:val="00B050"/>
                <w:sz w:val="24"/>
                <w:szCs w:val="24"/>
                <w:highlight w:val="none"/>
                <w:lang w:val="en-US" w:eastAsia="zh-CN"/>
              </w:rPr>
              <w:t>）</w:t>
            </w:r>
            <w:r>
              <w:rPr>
                <w:rFonts w:hint="eastAsia" w:ascii="Times New Roman" w:hAnsi="Times New Roman" w:cs="Times New Roman"/>
                <w:b/>
                <w:bCs/>
                <w:color w:val="00B050"/>
                <w:sz w:val="24"/>
                <w:szCs w:val="24"/>
                <w:highlight w:val="none"/>
                <w:lang w:val="en-US" w:eastAsia="zh-CN"/>
              </w:rPr>
              <w:t>》</w:t>
            </w:r>
            <w:r>
              <w:rPr>
                <w:rFonts w:hint="default" w:ascii="Times New Roman" w:hAnsi="Times New Roman" w:eastAsia="宋体" w:cs="Times New Roman"/>
                <w:b/>
                <w:bCs/>
                <w:color w:val="00B050"/>
                <w:sz w:val="24"/>
                <w:szCs w:val="24"/>
                <w:highlight w:val="none"/>
                <w:lang w:val="en-US" w:eastAsia="zh-CN"/>
              </w:rPr>
              <w:t>符合性分析</w:t>
            </w:r>
          </w:p>
          <w:p w14:paraId="746AC9A7">
            <w:pPr>
              <w:pStyle w:val="281"/>
              <w:keepNext w:val="0"/>
              <w:keepLines w:val="0"/>
              <w:pageBreakBefore w:val="0"/>
              <w:widowControl w:val="0"/>
              <w:kinsoku/>
              <w:wordWrap/>
              <w:overflowPunct/>
              <w:topLinePunct w:val="0"/>
              <w:bidi w:val="0"/>
              <w:spacing w:line="360" w:lineRule="auto"/>
              <w:textAlignment w:val="auto"/>
              <w:rPr>
                <w:rFonts w:hint="default" w:cs="Times New Roman"/>
                <w:color w:val="00B050"/>
                <w:szCs w:val="24"/>
                <w:lang w:val="en-US" w:eastAsia="zh-CN"/>
              </w:rPr>
            </w:pPr>
            <w:r>
              <w:rPr>
                <w:rFonts w:hint="eastAsia" w:cs="Times New Roman"/>
                <w:color w:val="00B050"/>
                <w:szCs w:val="24"/>
                <w:lang w:val="en-US" w:eastAsia="zh-CN"/>
              </w:rPr>
              <w:t>本项目采用“两级活性炭”处理措施。对照《国家污染防治技术指导目录（2024年，限制类和淘汰类）》，本项目VOCs污染防治措施不属于《国家污染防治技术指导目录（2024年，限制类和淘汰类）》中的限制类和淘汰类防治措施。</w:t>
            </w:r>
          </w:p>
          <w:p w14:paraId="4C767F0E">
            <w:pPr>
              <w:pStyle w:val="53"/>
              <w:tabs>
                <w:tab w:val="left" w:pos="540"/>
                <w:tab w:val="left" w:pos="1080"/>
                <w:tab w:val="left" w:pos="1800"/>
              </w:tabs>
              <w:ind w:firstLine="480" w:firstLineChars="200"/>
              <w:rPr>
                <w:rFonts w:hint="default" w:ascii="Times New Roman" w:hAnsi="Times New Roman" w:cs="Times New Roman"/>
                <w:color w:val="auto"/>
                <w:sz w:val="24"/>
                <w:lang w:eastAsia="zh-CN"/>
              </w:rPr>
            </w:pPr>
          </w:p>
          <w:p w14:paraId="15C244C2">
            <w:pPr>
              <w:pStyle w:val="53"/>
              <w:tabs>
                <w:tab w:val="left" w:pos="540"/>
                <w:tab w:val="left" w:pos="1080"/>
                <w:tab w:val="left" w:pos="1800"/>
              </w:tabs>
              <w:ind w:firstLine="480" w:firstLineChars="200"/>
              <w:rPr>
                <w:rFonts w:hint="default" w:ascii="Times New Roman" w:hAnsi="Times New Roman" w:cs="Times New Roman"/>
                <w:color w:val="auto"/>
                <w:sz w:val="24"/>
                <w:lang w:eastAsia="zh-CN"/>
              </w:rPr>
            </w:pPr>
          </w:p>
          <w:p w14:paraId="2EF5431E">
            <w:pPr>
              <w:pStyle w:val="53"/>
              <w:tabs>
                <w:tab w:val="left" w:pos="540"/>
                <w:tab w:val="left" w:pos="1080"/>
                <w:tab w:val="left" w:pos="1800"/>
              </w:tabs>
              <w:ind w:firstLine="480" w:firstLineChars="200"/>
              <w:rPr>
                <w:rFonts w:hint="default" w:ascii="Times New Roman" w:hAnsi="Times New Roman" w:cs="Times New Roman"/>
                <w:color w:val="auto"/>
                <w:sz w:val="24"/>
                <w:lang w:eastAsia="zh-CN"/>
              </w:rPr>
            </w:pPr>
          </w:p>
          <w:p w14:paraId="00451FA0">
            <w:pPr>
              <w:pStyle w:val="53"/>
              <w:tabs>
                <w:tab w:val="left" w:pos="540"/>
                <w:tab w:val="left" w:pos="1080"/>
                <w:tab w:val="left" w:pos="1800"/>
              </w:tabs>
              <w:ind w:firstLine="480" w:firstLineChars="200"/>
              <w:rPr>
                <w:rFonts w:hint="default" w:ascii="Times New Roman" w:hAnsi="Times New Roman" w:cs="Times New Roman"/>
                <w:color w:val="auto"/>
                <w:sz w:val="24"/>
                <w:lang w:eastAsia="zh-CN"/>
              </w:rPr>
            </w:pPr>
          </w:p>
          <w:p w14:paraId="0BE45ECC">
            <w:pPr>
              <w:pStyle w:val="53"/>
              <w:tabs>
                <w:tab w:val="left" w:pos="540"/>
                <w:tab w:val="left" w:pos="1080"/>
                <w:tab w:val="left" w:pos="1800"/>
              </w:tabs>
              <w:ind w:firstLine="480" w:firstLineChars="200"/>
              <w:rPr>
                <w:rFonts w:hint="default" w:ascii="Times New Roman" w:hAnsi="Times New Roman" w:cs="Times New Roman"/>
                <w:color w:val="auto"/>
                <w:sz w:val="24"/>
                <w:lang w:eastAsia="zh-CN"/>
              </w:rPr>
            </w:pPr>
          </w:p>
          <w:p w14:paraId="0BA1E82B">
            <w:pPr>
              <w:pStyle w:val="53"/>
              <w:tabs>
                <w:tab w:val="left" w:pos="540"/>
                <w:tab w:val="left" w:pos="1080"/>
                <w:tab w:val="left" w:pos="1800"/>
              </w:tabs>
              <w:ind w:firstLine="480" w:firstLineChars="200"/>
              <w:rPr>
                <w:rFonts w:hint="default" w:ascii="Times New Roman" w:hAnsi="Times New Roman" w:cs="Times New Roman"/>
                <w:color w:val="auto"/>
                <w:sz w:val="24"/>
                <w:lang w:eastAsia="zh-CN"/>
              </w:rPr>
            </w:pPr>
          </w:p>
          <w:p w14:paraId="2F0EB3DE">
            <w:pPr>
              <w:pStyle w:val="53"/>
              <w:tabs>
                <w:tab w:val="left" w:pos="540"/>
                <w:tab w:val="left" w:pos="1080"/>
                <w:tab w:val="left" w:pos="1800"/>
              </w:tabs>
              <w:ind w:firstLine="480" w:firstLineChars="200"/>
              <w:rPr>
                <w:rFonts w:hint="default" w:ascii="Times New Roman" w:hAnsi="Times New Roman" w:cs="Times New Roman"/>
                <w:color w:val="auto"/>
                <w:sz w:val="24"/>
                <w:lang w:eastAsia="zh-CN"/>
              </w:rPr>
            </w:pPr>
          </w:p>
          <w:p w14:paraId="59CA09E8">
            <w:pPr>
              <w:pStyle w:val="53"/>
              <w:tabs>
                <w:tab w:val="left" w:pos="540"/>
                <w:tab w:val="left" w:pos="1080"/>
                <w:tab w:val="left" w:pos="1800"/>
              </w:tabs>
              <w:ind w:left="0" w:leftChars="0" w:firstLine="0" w:firstLineChars="0"/>
              <w:rPr>
                <w:rFonts w:hint="default" w:ascii="Times New Roman" w:hAnsi="Times New Roman" w:cs="Times New Roman"/>
                <w:color w:val="auto"/>
                <w:sz w:val="24"/>
                <w:lang w:eastAsia="zh-CN"/>
              </w:rPr>
            </w:pPr>
          </w:p>
        </w:tc>
      </w:tr>
    </w:tbl>
    <w:p w14:paraId="4F51A9D3">
      <w:pPr>
        <w:spacing w:line="360" w:lineRule="auto"/>
        <w:rPr>
          <w:rFonts w:hint="default" w:ascii="Times New Roman" w:hAnsi="Times New Roman" w:eastAsia="黑体" w:cs="Times New Roman"/>
          <w:color w:val="auto"/>
          <w:sz w:val="30"/>
        </w:rPr>
        <w:sectPr>
          <w:pgSz w:w="11906" w:h="16838"/>
          <w:pgMar w:top="1701" w:right="1531" w:bottom="1701" w:left="1531" w:header="851" w:footer="1077" w:gutter="0"/>
          <w:pgNumType w:fmt="decimal"/>
          <w:cols w:space="720" w:num="1"/>
          <w:docGrid w:linePitch="312" w:charSpace="0"/>
        </w:sectPr>
      </w:pPr>
    </w:p>
    <w:p w14:paraId="69D8F12F">
      <w:pPr>
        <w:pStyle w:val="31"/>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二、建设项目工程分析</w:t>
      </w:r>
    </w:p>
    <w:tbl>
      <w:tblPr>
        <w:tblStyle w:val="35"/>
        <w:tblW w:w="92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8795"/>
      </w:tblGrid>
      <w:tr w14:paraId="2B386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5" w:hRule="atLeast"/>
          <w:jc w:val="center"/>
        </w:trPr>
        <w:tc>
          <w:tcPr>
            <w:tcW w:w="499" w:type="dxa"/>
            <w:noWrap w:val="0"/>
            <w:vAlign w:val="center"/>
          </w:tcPr>
          <w:p w14:paraId="022EC9FE">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建设内容</w:t>
            </w:r>
          </w:p>
        </w:tc>
        <w:tc>
          <w:tcPr>
            <w:tcW w:w="8795" w:type="dxa"/>
            <w:noWrap w:val="0"/>
            <w:vAlign w:val="top"/>
          </w:tcPr>
          <w:p w14:paraId="4EF17E56">
            <w:pPr>
              <w:keepNext w:val="0"/>
              <w:keepLines w:val="0"/>
              <w:pageBreakBefore w:val="0"/>
              <w:kinsoku/>
              <w:wordWrap/>
              <w:overflowPunct/>
              <w:topLinePunct w:val="0"/>
              <w:bidi w:val="0"/>
              <w:adjustRightInd w:val="0"/>
              <w:snapToGrid w:val="0"/>
              <w:spacing w:line="360" w:lineRule="auto"/>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2.1 项目概况</w:t>
            </w:r>
          </w:p>
          <w:p w14:paraId="48817E99">
            <w:pPr>
              <w:keepNext w:val="0"/>
              <w:keepLines w:val="0"/>
              <w:pageBreakBefore w:val="0"/>
              <w:kinsoku/>
              <w:wordWrap/>
              <w:overflowPunct/>
              <w:topLinePunct w:val="0"/>
              <w:bidi w:val="0"/>
              <w:adjustRightInd w:val="0"/>
              <w:snapToGrid w:val="0"/>
              <w:spacing w:line="360" w:lineRule="auto"/>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2.1.1 项目由来</w:t>
            </w:r>
          </w:p>
          <w:p w14:paraId="2574898D">
            <w:pPr>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rPr>
              <w:t>达州荣利达精密塑胶有限公司</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以下简称“荣利达公司”</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成立于2020年11月，专门从事塑料零件及其他塑料制品制造</w:t>
            </w:r>
            <w:r>
              <w:rPr>
                <w:rFonts w:hint="default" w:ascii="Times New Roman" w:hAnsi="Times New Roman" w:cs="Times New Roman"/>
                <w:color w:val="auto"/>
                <w:sz w:val="24"/>
                <w:highlight w:val="none"/>
                <w:lang w:val="en-US" w:eastAsia="zh-CN"/>
              </w:rPr>
              <w:t>等</w:t>
            </w:r>
            <w:r>
              <w:rPr>
                <w:rFonts w:hint="default" w:ascii="Times New Roman" w:hAnsi="Times New Roman" w:cs="Times New Roman"/>
                <w:color w:val="auto"/>
                <w:sz w:val="24"/>
                <w:highlight w:val="none"/>
              </w:rPr>
              <w:t>工作。</w:t>
            </w:r>
            <w:r>
              <w:rPr>
                <w:rFonts w:hint="default" w:ascii="Times New Roman" w:hAnsi="Times New Roman" w:cs="Times New Roman"/>
                <w:color w:val="auto"/>
                <w:sz w:val="24"/>
                <w:highlight w:val="none"/>
                <w:lang w:val="en-US" w:eastAsia="zh-CN"/>
              </w:rPr>
              <w:t>荣利达公司</w:t>
            </w:r>
            <w:r>
              <w:rPr>
                <w:rFonts w:hint="eastAsia" w:cs="Times New Roman"/>
                <w:color w:val="auto"/>
                <w:sz w:val="24"/>
                <w:highlight w:val="none"/>
                <w:lang w:val="en-US" w:eastAsia="zh-CN"/>
              </w:rPr>
              <w:t>现</w:t>
            </w:r>
            <w:r>
              <w:rPr>
                <w:rFonts w:hint="default" w:ascii="Times New Roman" w:hAnsi="Times New Roman" w:cs="Times New Roman"/>
                <w:color w:val="0000FF"/>
                <w:sz w:val="24"/>
                <w:highlight w:val="none"/>
              </w:rPr>
              <w:t>位于</w:t>
            </w:r>
            <w:r>
              <w:rPr>
                <w:rFonts w:hint="default" w:ascii="Times New Roman" w:hAnsi="Times New Roman" w:cs="Times New Roman"/>
                <w:color w:val="0000FF"/>
                <w:sz w:val="24"/>
                <w:highlight w:val="none"/>
                <w:lang w:val="en-US" w:eastAsia="zh-CN"/>
              </w:rPr>
              <w:t>四川省达州市大竹县经济开发区永顺路西部鞋城一期D区D5、D6栋厂房</w:t>
            </w:r>
            <w:r>
              <w:rPr>
                <w:rFonts w:hint="eastAsia" w:cs="Times New Roman"/>
                <w:color w:val="0000FF"/>
                <w:sz w:val="24"/>
                <w:highlight w:val="none"/>
                <w:lang w:eastAsia="zh-CN"/>
              </w:rPr>
              <w:t>。</w:t>
            </w:r>
          </w:p>
          <w:p w14:paraId="7F06C372">
            <w:pPr>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0000FF"/>
                <w:sz w:val="24"/>
                <w:highlight w:val="none"/>
                <w:lang w:val="en-US" w:eastAsia="zh-CN"/>
              </w:rPr>
            </w:pPr>
            <w:r>
              <w:rPr>
                <w:rFonts w:hint="default" w:ascii="Times New Roman" w:hAnsi="Times New Roman" w:cs="Times New Roman"/>
                <w:color w:val="0000FF"/>
                <w:sz w:val="24"/>
                <w:highlight w:val="none"/>
                <w:lang w:val="en-US" w:eastAsia="zh-CN"/>
              </w:rPr>
              <w:t>荣利达公司</w:t>
            </w:r>
            <w:r>
              <w:rPr>
                <w:rFonts w:hint="eastAsia" w:cs="Times New Roman"/>
                <w:color w:val="0000FF"/>
                <w:sz w:val="24"/>
                <w:highlight w:val="none"/>
                <w:lang w:val="en-US" w:eastAsia="zh-CN"/>
              </w:rPr>
              <w:t>老厂区</w:t>
            </w:r>
            <w:r>
              <w:rPr>
                <w:rFonts w:hint="default" w:ascii="Times New Roman" w:hAnsi="Times New Roman" w:cs="Times New Roman"/>
                <w:color w:val="0000FF"/>
                <w:sz w:val="24"/>
                <w:highlight w:val="none"/>
              </w:rPr>
              <w:t>该厂区约</w:t>
            </w:r>
            <w:r>
              <w:rPr>
                <w:rFonts w:hint="default" w:ascii="Times New Roman" w:hAnsi="Times New Roman" w:cs="Times New Roman"/>
                <w:color w:val="0000FF"/>
                <w:sz w:val="24"/>
                <w:highlight w:val="none"/>
                <w:lang w:val="en-US" w:eastAsia="zh-CN"/>
              </w:rPr>
              <w:t>8000</w:t>
            </w:r>
            <w:r>
              <w:rPr>
                <w:rFonts w:hint="default" w:ascii="Times New Roman" w:hAnsi="Times New Roman" w:cs="Times New Roman"/>
                <w:color w:val="0000FF"/>
                <w:sz w:val="24"/>
                <w:highlight w:val="none"/>
              </w:rPr>
              <w:t>m</w:t>
            </w:r>
            <w:r>
              <w:rPr>
                <w:rFonts w:hint="default" w:ascii="Times New Roman" w:hAnsi="Times New Roman" w:cs="Times New Roman"/>
                <w:color w:val="0000FF"/>
                <w:sz w:val="24"/>
                <w:highlight w:val="none"/>
                <w:vertAlign w:val="superscript"/>
              </w:rPr>
              <w:t>2</w:t>
            </w:r>
            <w:r>
              <w:rPr>
                <w:rFonts w:hint="eastAsia" w:cs="Times New Roman"/>
                <w:color w:val="0000FF"/>
                <w:sz w:val="24"/>
                <w:highlight w:val="none"/>
                <w:lang w:eastAsia="zh-CN"/>
              </w:rPr>
              <w:t>，</w:t>
            </w:r>
            <w:r>
              <w:rPr>
                <w:rFonts w:hint="default" w:ascii="Times New Roman" w:hAnsi="Times New Roman" w:cs="Times New Roman"/>
                <w:color w:val="0000FF"/>
                <w:sz w:val="24"/>
                <w:highlight w:val="none"/>
              </w:rPr>
              <w:t>建设3条手机充电器塑胶外壳生产线，年产手机充电器塑胶外壳</w:t>
            </w:r>
            <w:r>
              <w:rPr>
                <w:rFonts w:hint="default" w:ascii="Times New Roman" w:hAnsi="Times New Roman" w:cs="Times New Roman"/>
                <w:color w:val="0000FF"/>
                <w:sz w:val="24"/>
                <w:highlight w:val="none"/>
                <w:lang w:val="en-US" w:eastAsia="zh-CN"/>
              </w:rPr>
              <w:t>6</w:t>
            </w:r>
            <w:r>
              <w:rPr>
                <w:rFonts w:hint="default" w:ascii="Times New Roman" w:hAnsi="Times New Roman" w:cs="Times New Roman"/>
                <w:color w:val="0000FF"/>
                <w:sz w:val="24"/>
                <w:highlight w:val="none"/>
              </w:rPr>
              <w:t>000万件</w:t>
            </w:r>
            <w:r>
              <w:rPr>
                <w:rFonts w:hint="eastAsia" w:cs="Times New Roman"/>
                <w:color w:val="0000FF"/>
                <w:sz w:val="24"/>
                <w:highlight w:val="none"/>
                <w:lang w:eastAsia="zh-CN"/>
              </w:rPr>
              <w:t>；</w:t>
            </w:r>
            <w:r>
              <w:rPr>
                <w:rFonts w:hint="eastAsia" w:cs="Times New Roman"/>
                <w:color w:val="0000FF"/>
                <w:sz w:val="24"/>
                <w:highlight w:val="none"/>
                <w:lang w:val="en-US" w:eastAsia="zh-CN"/>
              </w:rPr>
              <w:t>劳动定员60人；一班制，每班工作8小时。</w:t>
            </w:r>
          </w:p>
          <w:p w14:paraId="401D34D8">
            <w:pPr>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cs="Times New Roman"/>
                <w:color w:val="0000FF"/>
                <w:sz w:val="24"/>
                <w:highlight w:val="none"/>
              </w:rPr>
            </w:pPr>
            <w:r>
              <w:rPr>
                <w:rFonts w:hint="default" w:ascii="Times New Roman" w:hAnsi="Times New Roman" w:cs="Times New Roman"/>
                <w:color w:val="0000FF"/>
                <w:sz w:val="24"/>
                <w:highlight w:val="none"/>
              </w:rPr>
              <w:t>根据市场发展需要，荣利达公司计划扩大现有生成规模。由于现有场地不足，荣利达公司拟租用川渝合作（达州•大竹）示范园区A区三期标准化厂房1、2号楼，实施“达州荣利达精密塑胶整体迁建技改扩能项目”（以下简称“本项目”）。项目地理位置详见附图1。</w:t>
            </w:r>
          </w:p>
          <w:p w14:paraId="4DD40254">
            <w:pPr>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cs="Times New Roman"/>
                <w:color w:val="0000FF"/>
                <w:sz w:val="24"/>
                <w:highlight w:val="none"/>
              </w:rPr>
            </w:pPr>
            <w:r>
              <w:rPr>
                <w:rFonts w:hint="default" w:ascii="Times New Roman" w:hAnsi="Times New Roman" w:cs="Times New Roman"/>
                <w:color w:val="0000FF"/>
                <w:sz w:val="24"/>
                <w:highlight w:val="none"/>
              </w:rPr>
              <w:t>本项目主要建设内容和规模为：租用川渝合作（达州•大竹）示范园区A区三期标准化厂房1、2号楼，建筑面积30632.76</w:t>
            </w:r>
            <w:r>
              <w:rPr>
                <w:rFonts w:hint="eastAsia" w:ascii="Times New Roman" w:hAnsi="Times New Roman" w:cs="Times New Roman"/>
                <w:color w:val="0000FF"/>
                <w:sz w:val="24"/>
                <w:szCs w:val="24"/>
                <w:lang w:val="en-US" w:eastAsia="zh-CN"/>
              </w:rPr>
              <w:t>m</w:t>
            </w:r>
            <w:r>
              <w:rPr>
                <w:rFonts w:hint="eastAsia" w:ascii="Times New Roman" w:hAnsi="Times New Roman" w:cs="Times New Roman"/>
                <w:color w:val="0000FF"/>
                <w:sz w:val="24"/>
                <w:szCs w:val="24"/>
                <w:vertAlign w:val="superscript"/>
                <w:lang w:val="en-US" w:eastAsia="zh-CN"/>
              </w:rPr>
              <w:t>2</w:t>
            </w:r>
            <w:r>
              <w:rPr>
                <w:rFonts w:hint="default" w:ascii="Times New Roman" w:hAnsi="Times New Roman" w:cs="Times New Roman"/>
                <w:color w:val="0000FF"/>
                <w:sz w:val="24"/>
                <w:highlight w:val="none"/>
              </w:rPr>
              <w:t>，</w:t>
            </w:r>
            <w:r>
              <w:rPr>
                <w:rFonts w:hint="eastAsia" w:cs="Times New Roman"/>
                <w:color w:val="00B050"/>
                <w:sz w:val="24"/>
                <w:highlight w:val="none"/>
                <w:lang w:val="en-US" w:eastAsia="zh-CN"/>
              </w:rPr>
              <w:t>建设</w:t>
            </w:r>
            <w:r>
              <w:rPr>
                <w:rFonts w:hint="default" w:ascii="Times New Roman" w:hAnsi="Times New Roman" w:cs="Times New Roman"/>
                <w:color w:val="00B050"/>
                <w:sz w:val="24"/>
                <w:highlight w:val="none"/>
              </w:rPr>
              <w:t>注塑生产线</w:t>
            </w:r>
            <w:r>
              <w:rPr>
                <w:rFonts w:hint="eastAsia" w:cs="Times New Roman"/>
                <w:color w:val="00B050"/>
                <w:sz w:val="24"/>
                <w:highlight w:val="none"/>
                <w:lang w:val="en-US" w:eastAsia="zh-CN"/>
              </w:rPr>
              <w:t>8</w:t>
            </w:r>
            <w:r>
              <w:rPr>
                <w:rFonts w:hint="default" w:ascii="Times New Roman" w:hAnsi="Times New Roman" w:cs="Times New Roman"/>
                <w:color w:val="00B050"/>
                <w:sz w:val="24"/>
                <w:highlight w:val="none"/>
              </w:rPr>
              <w:t>条</w:t>
            </w:r>
            <w:r>
              <w:rPr>
                <w:rFonts w:hint="eastAsia" w:cs="Times New Roman"/>
                <w:color w:val="00B050"/>
                <w:sz w:val="24"/>
                <w:highlight w:val="none"/>
                <w:lang w:eastAsia="zh-CN"/>
              </w:rPr>
              <w:t>（</w:t>
            </w:r>
            <w:r>
              <w:rPr>
                <w:rFonts w:hint="eastAsia" w:cs="Times New Roman"/>
                <w:color w:val="00B050"/>
                <w:sz w:val="24"/>
                <w:highlight w:val="none"/>
                <w:lang w:val="en-US" w:eastAsia="zh-CN"/>
              </w:rPr>
              <w:t>其中利旧3条，新增5条</w:t>
            </w:r>
            <w:r>
              <w:rPr>
                <w:rFonts w:hint="eastAsia" w:cs="Times New Roman"/>
                <w:color w:val="00B050"/>
                <w:sz w:val="24"/>
                <w:highlight w:val="none"/>
                <w:lang w:eastAsia="zh-CN"/>
              </w:rPr>
              <w:t>）</w:t>
            </w:r>
            <w:r>
              <w:rPr>
                <w:rFonts w:hint="default" w:ascii="Times New Roman" w:hAnsi="Times New Roman" w:cs="Times New Roman"/>
                <w:color w:val="0000FF"/>
                <w:sz w:val="24"/>
                <w:highlight w:val="none"/>
              </w:rPr>
              <w:t>，新购置高端精密注塑机、机器人等相关配套设施设备100台套</w:t>
            </w:r>
            <w:r>
              <w:rPr>
                <w:rFonts w:hint="eastAsia" w:cs="Times New Roman"/>
                <w:color w:val="0000FF"/>
                <w:sz w:val="24"/>
                <w:highlight w:val="none"/>
                <w:lang w:eastAsia="zh-CN"/>
              </w:rPr>
              <w:t>，</w:t>
            </w:r>
            <w:r>
              <w:rPr>
                <w:rFonts w:hint="eastAsia" w:cs="Times New Roman"/>
                <w:color w:val="0000FF"/>
                <w:sz w:val="24"/>
                <w:highlight w:val="none"/>
                <w:lang w:val="en-US" w:eastAsia="zh-CN"/>
              </w:rPr>
              <w:t>年产手机充电器塑胶外壳15000万件，路由器1000万件</w:t>
            </w:r>
            <w:r>
              <w:rPr>
                <w:rFonts w:hint="default" w:ascii="Times New Roman" w:hAnsi="Times New Roman" w:cs="Times New Roman"/>
                <w:color w:val="0000FF"/>
                <w:sz w:val="24"/>
                <w:highlight w:val="none"/>
              </w:rPr>
              <w:t>。项目总投资</w:t>
            </w:r>
            <w:r>
              <w:rPr>
                <w:rFonts w:hint="default" w:ascii="Times New Roman" w:hAnsi="Times New Roman" w:cs="Times New Roman"/>
                <w:color w:val="0000FF"/>
                <w:sz w:val="24"/>
                <w:highlight w:val="none"/>
                <w:lang w:val="en-US" w:eastAsia="zh-CN"/>
              </w:rPr>
              <w:t>80</w:t>
            </w:r>
            <w:r>
              <w:rPr>
                <w:rFonts w:hint="default" w:ascii="Times New Roman" w:hAnsi="Times New Roman" w:cs="Times New Roman"/>
                <w:color w:val="0000FF"/>
                <w:sz w:val="24"/>
                <w:highlight w:val="none"/>
              </w:rPr>
              <w:t>00万元，其中环保投资</w:t>
            </w:r>
            <w:r>
              <w:rPr>
                <w:rFonts w:hint="eastAsia" w:cs="Times New Roman"/>
                <w:color w:val="0000FF"/>
                <w:sz w:val="24"/>
                <w:highlight w:val="none"/>
                <w:lang w:val="en-US" w:eastAsia="zh-CN"/>
              </w:rPr>
              <w:t>38</w:t>
            </w:r>
            <w:r>
              <w:rPr>
                <w:rFonts w:hint="default" w:ascii="Times New Roman" w:hAnsi="Times New Roman" w:cs="Times New Roman"/>
                <w:color w:val="0000FF"/>
                <w:sz w:val="24"/>
                <w:highlight w:val="none"/>
              </w:rPr>
              <w:t>万元。</w:t>
            </w:r>
          </w:p>
          <w:p w14:paraId="35AC6D7E">
            <w:pPr>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cs="Times New Roman"/>
                <w:color w:val="0000FF"/>
                <w:sz w:val="24"/>
                <w:highlight w:val="none"/>
                <w:lang w:eastAsia="zh-CN"/>
              </w:rPr>
            </w:pPr>
            <w:r>
              <w:rPr>
                <w:rFonts w:hint="default" w:ascii="Times New Roman" w:hAnsi="Times New Roman" w:cs="Times New Roman"/>
                <w:color w:val="0000FF"/>
                <w:sz w:val="24"/>
                <w:highlight w:val="none"/>
              </w:rPr>
              <w:t>本项目产品为</w:t>
            </w:r>
            <w:r>
              <w:rPr>
                <w:rFonts w:hint="eastAsia" w:cs="Times New Roman"/>
                <w:color w:val="0000FF"/>
                <w:sz w:val="24"/>
                <w:highlight w:val="none"/>
                <w:lang w:val="en-US" w:eastAsia="zh-CN"/>
              </w:rPr>
              <w:t>手机充电器塑胶外壳和路由器</w:t>
            </w:r>
            <w:r>
              <w:rPr>
                <w:rFonts w:hint="default" w:ascii="Times New Roman" w:hAnsi="Times New Roman" w:cs="Times New Roman"/>
                <w:color w:val="0000FF"/>
                <w:sz w:val="24"/>
                <w:highlight w:val="none"/>
              </w:rPr>
              <w:t>，生产采用注塑工艺、印刷</w:t>
            </w:r>
            <w:r>
              <w:rPr>
                <w:rFonts w:hint="eastAsia" w:cs="Times New Roman"/>
                <w:color w:val="0000FF"/>
                <w:sz w:val="24"/>
                <w:highlight w:val="none"/>
                <w:lang w:val="en-US" w:eastAsia="zh-CN"/>
              </w:rPr>
              <w:t>工艺</w:t>
            </w:r>
            <w:r>
              <w:rPr>
                <w:rFonts w:hint="default" w:ascii="Times New Roman" w:hAnsi="Times New Roman" w:cs="Times New Roman"/>
                <w:color w:val="0000FF"/>
                <w:sz w:val="24"/>
                <w:highlight w:val="none"/>
              </w:rPr>
              <w:t>。对照《国民经济行业分类》（GB/T4754-2017）（2019年修订），项目属于“C2319包装装潢及其他印刷”</w:t>
            </w:r>
            <w:r>
              <w:rPr>
                <w:rFonts w:hint="default" w:ascii="Times New Roman" w:hAnsi="Times New Roman" w:cs="Times New Roman"/>
                <w:color w:val="0000FF"/>
                <w:sz w:val="24"/>
                <w:highlight w:val="none"/>
                <w:lang w:val="en-US" w:eastAsia="zh-CN"/>
              </w:rPr>
              <w:t>和“C2929塑料零件及其他塑料制品制造”</w:t>
            </w:r>
            <w:r>
              <w:rPr>
                <w:rFonts w:hint="default" w:ascii="Times New Roman" w:hAnsi="Times New Roman" w:cs="Times New Roman"/>
                <w:color w:val="0000FF"/>
                <w:sz w:val="24"/>
                <w:highlight w:val="none"/>
              </w:rPr>
              <w:t>项目。根据《中华人民共和国环境影响评价法》和《建设项目环境保护管理条例》等有关环保法律法规和条例的规定，本项目应进行环境影响评价。对照《建设项目环境影响评价分类管理名录》（2021年版），项目</w:t>
            </w:r>
            <w:r>
              <w:rPr>
                <w:rFonts w:hint="eastAsia" w:cs="Times New Roman"/>
                <w:color w:val="0000FF"/>
                <w:sz w:val="24"/>
                <w:highlight w:val="none"/>
                <w:lang w:val="en-US" w:eastAsia="zh-CN"/>
              </w:rPr>
              <w:t>属于</w:t>
            </w:r>
            <w:r>
              <w:rPr>
                <w:rFonts w:hint="default" w:ascii="Times New Roman" w:hAnsi="Times New Roman" w:cs="Times New Roman"/>
                <w:color w:val="0000FF"/>
                <w:sz w:val="24"/>
                <w:highlight w:val="none"/>
              </w:rPr>
              <w:t>“二十、印刷和记录媒介复制业23其他（激光印刷除外；年使用低</w:t>
            </w:r>
            <w:r>
              <w:rPr>
                <w:rFonts w:hint="eastAsia" w:ascii="Times New Roman" w:hAnsi="Times New Roman" w:cs="Times New Roman"/>
                <w:color w:val="0000FF"/>
                <w:sz w:val="24"/>
                <w:highlight w:val="none"/>
                <w:lang w:eastAsia="zh-CN"/>
              </w:rPr>
              <w:t>VOCs</w:t>
            </w:r>
            <w:r>
              <w:rPr>
                <w:rFonts w:hint="default" w:ascii="Times New Roman" w:hAnsi="Times New Roman" w:cs="Times New Roman"/>
                <w:color w:val="0000FF"/>
                <w:sz w:val="24"/>
                <w:highlight w:val="none"/>
              </w:rPr>
              <w:t>含量10吨以下的印刷除外）</w:t>
            </w:r>
            <w:r>
              <w:rPr>
                <w:rFonts w:hint="eastAsia" w:ascii="Times New Roman" w:hAnsi="Times New Roman" w:cs="Times New Roman"/>
                <w:color w:val="0000FF"/>
                <w:sz w:val="24"/>
                <w:highlight w:val="none"/>
                <w:lang w:eastAsia="zh-CN"/>
              </w:rPr>
              <w:t>”“</w:t>
            </w:r>
            <w:r>
              <w:rPr>
                <w:rFonts w:hint="default" w:ascii="Times New Roman" w:hAnsi="Times New Roman" w:cs="Times New Roman"/>
                <w:color w:val="0000FF"/>
                <w:sz w:val="24"/>
                <w:highlight w:val="none"/>
              </w:rPr>
              <w:t>二十六、橡胶和塑料制品业53塑料制品业292其他（年使用非溶剂型低</w:t>
            </w:r>
            <w:r>
              <w:rPr>
                <w:rFonts w:hint="eastAsia" w:ascii="Times New Roman" w:hAnsi="Times New Roman" w:cs="Times New Roman"/>
                <w:color w:val="0000FF"/>
                <w:sz w:val="24"/>
                <w:highlight w:val="none"/>
                <w:lang w:eastAsia="zh-CN"/>
              </w:rPr>
              <w:t>VOCs</w:t>
            </w:r>
            <w:r>
              <w:rPr>
                <w:rFonts w:hint="default" w:ascii="Times New Roman" w:hAnsi="Times New Roman" w:cs="Times New Roman"/>
                <w:color w:val="0000FF"/>
                <w:sz w:val="24"/>
                <w:highlight w:val="none"/>
              </w:rPr>
              <w:t>含量涂料10吨以下的除外）”，应编制环境影响报告表。</w:t>
            </w:r>
          </w:p>
          <w:p w14:paraId="603BC69F">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因此，</w:t>
            </w:r>
            <w:r>
              <w:rPr>
                <w:rFonts w:hint="default" w:ascii="Times New Roman" w:hAnsi="Times New Roman" w:cs="Times New Roman"/>
                <w:color w:val="auto"/>
                <w:sz w:val="24"/>
                <w:highlight w:val="none"/>
                <w:lang w:val="en-US" w:eastAsia="zh-CN"/>
              </w:rPr>
              <w:t>达州荣利达精密塑胶有限公司</w:t>
            </w:r>
            <w:r>
              <w:rPr>
                <w:rFonts w:hint="default" w:ascii="Times New Roman" w:hAnsi="Times New Roman" w:cs="Times New Roman"/>
                <w:color w:val="auto"/>
                <w:sz w:val="24"/>
                <w:highlight w:val="none"/>
              </w:rPr>
              <w:t>委托重庆雅城环保科技有限公司编制该项目环境影响报告表。接受</w:t>
            </w:r>
            <w:r>
              <w:rPr>
                <w:rFonts w:hint="default" w:ascii="Times New Roman" w:hAnsi="Times New Roman" w:cs="Times New Roman"/>
                <w:color w:val="auto"/>
                <w:sz w:val="24"/>
                <w:highlight w:val="none"/>
                <w:lang w:val="en-US" w:eastAsia="zh-CN"/>
              </w:rPr>
              <w:t>达州荣利达精密塑胶有限公司</w:t>
            </w:r>
            <w:r>
              <w:rPr>
                <w:rFonts w:hint="default" w:ascii="Times New Roman" w:hAnsi="Times New Roman" w:cs="Times New Roman"/>
                <w:color w:val="auto"/>
                <w:sz w:val="24"/>
                <w:highlight w:val="none"/>
              </w:rPr>
              <w:t>委托后，我公司即刻组织评价人员深入现场，对项目周围环境状况、项目建设情况进行了实地调查，在收集有关资料的基础上，编制完成了《达州荣利达精密塑胶有限公司</w:t>
            </w:r>
            <w:r>
              <w:rPr>
                <w:rFonts w:hint="default" w:ascii="Times New Roman" w:hAnsi="Times New Roman" w:cs="Times New Roman"/>
                <w:color w:val="auto"/>
                <w:sz w:val="24"/>
                <w:highlight w:val="none"/>
                <w:lang w:val="en-US" w:eastAsia="zh-CN"/>
              </w:rPr>
              <w:t>达州荣利达精密塑胶整体迁建技改扩能项目</w:t>
            </w:r>
            <w:r>
              <w:rPr>
                <w:rFonts w:hint="default" w:ascii="Times New Roman" w:hAnsi="Times New Roman" w:cs="Times New Roman"/>
                <w:color w:val="auto"/>
                <w:sz w:val="24"/>
                <w:highlight w:val="none"/>
              </w:rPr>
              <w:t>环境影响报告表》。</w:t>
            </w:r>
          </w:p>
          <w:p w14:paraId="20B51959">
            <w:pPr>
              <w:keepNext w:val="0"/>
              <w:keepLines w:val="0"/>
              <w:pageBreakBefore w:val="0"/>
              <w:kinsoku/>
              <w:wordWrap/>
              <w:overflowPunct/>
              <w:topLinePunct w:val="0"/>
              <w:bidi w:val="0"/>
              <w:adjustRightInd w:val="0"/>
              <w:snapToGrid w:val="0"/>
              <w:spacing w:line="360" w:lineRule="auto"/>
              <w:textAlignment w:val="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2.2 项目建设内容</w:t>
            </w:r>
          </w:p>
          <w:p w14:paraId="00FEE666">
            <w:pPr>
              <w:keepNext w:val="0"/>
              <w:keepLines w:val="0"/>
              <w:pageBreakBefore w:val="0"/>
              <w:kinsoku/>
              <w:wordWrap/>
              <w:overflowPunct/>
              <w:topLinePunct w:val="0"/>
              <w:bidi w:val="0"/>
              <w:adjustRightInd w:val="0"/>
              <w:snapToGrid w:val="0"/>
              <w:spacing w:line="360" w:lineRule="auto"/>
              <w:textAlignment w:val="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2.2.1项目组成</w:t>
            </w:r>
          </w:p>
          <w:p w14:paraId="6DB60AB7">
            <w:pPr>
              <w:keepNext w:val="0"/>
              <w:keepLines w:val="0"/>
              <w:pageBreakBefore w:val="0"/>
              <w:kinsoku/>
              <w:wordWrap/>
              <w:overflowPunct/>
              <w:topLinePunct w:val="0"/>
              <w:bidi w:val="0"/>
              <w:adjustRightInd w:val="0"/>
              <w:snapToGrid w:val="0"/>
              <w:spacing w:line="360" w:lineRule="auto"/>
              <w:textAlignment w:val="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2.2.1.1 基本情况</w:t>
            </w:r>
          </w:p>
          <w:p w14:paraId="54329EAD">
            <w:pPr>
              <w:pStyle w:val="206"/>
              <w:keepNext w:val="0"/>
              <w:keepLines w:val="0"/>
              <w:pageBreakBefore w:val="0"/>
              <w:kinsoku/>
              <w:wordWrap/>
              <w:overflowPunct/>
              <w:topLinePunct w:val="0"/>
              <w:bidi w:val="0"/>
              <w:spacing w:line="360" w:lineRule="auto"/>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项目名称：达州荣利达精密塑胶整体迁建技改扩能项目；</w:t>
            </w:r>
          </w:p>
          <w:p w14:paraId="2D424D5C">
            <w:pPr>
              <w:pStyle w:val="49"/>
              <w:keepNext w:val="0"/>
              <w:keepLines w:val="0"/>
              <w:pageBreakBefore w:val="0"/>
              <w:kinsoku/>
              <w:wordWrap/>
              <w:overflowPunct/>
              <w:topLinePunct w:val="0"/>
              <w:bidi w:val="0"/>
              <w:ind w:firstLine="48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建设单位：达州荣利达精密塑胶有限公司；</w:t>
            </w:r>
          </w:p>
          <w:p w14:paraId="2C0707FD">
            <w:pPr>
              <w:pStyle w:val="49"/>
              <w:keepNext w:val="0"/>
              <w:keepLines w:val="0"/>
              <w:pageBreakBefore w:val="0"/>
              <w:kinsoku/>
              <w:wordWrap/>
              <w:overflowPunct/>
              <w:topLinePunct w:val="0"/>
              <w:bidi w:val="0"/>
              <w:ind w:firstLine="48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建设性质：新建（迁建）；</w:t>
            </w:r>
          </w:p>
          <w:p w14:paraId="6564801D">
            <w:pPr>
              <w:pStyle w:val="49"/>
              <w:keepNext w:val="0"/>
              <w:keepLines w:val="0"/>
              <w:pageBreakBefore w:val="0"/>
              <w:kinsoku/>
              <w:wordWrap/>
              <w:overflowPunct/>
              <w:topLinePunct w:val="0"/>
              <w:bidi w:val="0"/>
              <w:ind w:firstLine="48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建设地点：</w:t>
            </w:r>
            <w:r>
              <w:rPr>
                <w:rFonts w:hint="default" w:ascii="Times New Roman" w:hAnsi="Times New Roman" w:cs="Times New Roman"/>
                <w:color w:val="auto"/>
                <w:szCs w:val="24"/>
                <w:highlight w:val="none"/>
                <w:lang w:val="en-US" w:eastAsia="zh-CN"/>
              </w:rPr>
              <w:t>四川省达州市大竹县经开区川渝合作（达州•大竹）示范园区A区三期标准化厂房1、2号楼</w:t>
            </w:r>
            <w:r>
              <w:rPr>
                <w:rFonts w:hint="default" w:ascii="Times New Roman" w:hAnsi="Times New Roman" w:cs="Times New Roman"/>
                <w:color w:val="auto"/>
                <w:szCs w:val="24"/>
                <w:highlight w:val="none"/>
              </w:rPr>
              <w:t>；</w:t>
            </w:r>
          </w:p>
          <w:p w14:paraId="3CDB74EF">
            <w:pPr>
              <w:pStyle w:val="49"/>
              <w:keepNext w:val="0"/>
              <w:keepLines w:val="0"/>
              <w:pageBreakBefore w:val="0"/>
              <w:kinsoku/>
              <w:wordWrap/>
              <w:overflowPunct/>
              <w:topLinePunct w:val="0"/>
              <w:bidi w:val="0"/>
              <w:ind w:firstLine="48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highlight w:val="none"/>
              </w:rPr>
              <w:t>劳动定员及工作制度：1班制，8h/班，年工作日300</w:t>
            </w:r>
            <w:r>
              <w:rPr>
                <w:rFonts w:hint="default" w:ascii="Times New Roman" w:hAnsi="Times New Roman" w:cs="Times New Roman"/>
                <w:color w:val="auto"/>
                <w:highlight w:val="none"/>
                <w:lang w:val="en-US" w:eastAsia="zh-CN"/>
              </w:rPr>
              <w:t>d</w:t>
            </w:r>
            <w:r>
              <w:rPr>
                <w:rFonts w:hint="default" w:ascii="Times New Roman" w:hAnsi="Times New Roman" w:cs="Times New Roman"/>
                <w:color w:val="auto"/>
                <w:highlight w:val="none"/>
              </w:rPr>
              <w:t>；劳动定员</w:t>
            </w:r>
            <w:r>
              <w:rPr>
                <w:rFonts w:hint="default" w:ascii="Times New Roman" w:hAnsi="Times New Roman" w:cs="Times New Roman"/>
                <w:color w:val="auto"/>
                <w:highlight w:val="none"/>
                <w:lang w:val="en-US" w:eastAsia="zh-CN"/>
              </w:rPr>
              <w:t>400</w:t>
            </w:r>
            <w:r>
              <w:rPr>
                <w:rFonts w:hint="default" w:ascii="Times New Roman" w:hAnsi="Times New Roman" w:cs="Times New Roman"/>
                <w:color w:val="auto"/>
                <w:highlight w:val="none"/>
              </w:rPr>
              <w:t>人。</w:t>
            </w:r>
          </w:p>
          <w:p w14:paraId="66FD6F29">
            <w:pPr>
              <w:pStyle w:val="49"/>
              <w:keepNext w:val="0"/>
              <w:keepLines w:val="0"/>
              <w:pageBreakBefore w:val="0"/>
              <w:kinsoku/>
              <w:wordWrap/>
              <w:overflowPunct/>
              <w:topLinePunct w:val="0"/>
              <w:bidi w:val="0"/>
              <w:ind w:firstLine="48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项目投资：总投资</w:t>
            </w:r>
            <w:r>
              <w:rPr>
                <w:rFonts w:hint="default" w:ascii="Times New Roman" w:hAnsi="Times New Roman" w:cs="Times New Roman"/>
                <w:color w:val="auto"/>
                <w:szCs w:val="24"/>
                <w:highlight w:val="none"/>
                <w:lang w:val="en-US" w:eastAsia="zh-CN"/>
              </w:rPr>
              <w:t>8000</w:t>
            </w:r>
            <w:r>
              <w:rPr>
                <w:rFonts w:hint="default" w:ascii="Times New Roman" w:hAnsi="Times New Roman" w:cs="Times New Roman"/>
                <w:color w:val="auto"/>
                <w:szCs w:val="24"/>
                <w:highlight w:val="none"/>
              </w:rPr>
              <w:t>万</w:t>
            </w:r>
            <w:r>
              <w:rPr>
                <w:rFonts w:hint="eastAsia" w:ascii="Times New Roman" w:hAnsi="Times New Roman" w:cs="Times New Roman"/>
                <w:color w:val="auto"/>
                <w:szCs w:val="24"/>
                <w:highlight w:val="none"/>
                <w:lang w:val="en-US" w:eastAsia="zh-CN"/>
              </w:rPr>
              <w:t>元</w:t>
            </w:r>
            <w:r>
              <w:rPr>
                <w:rFonts w:hint="default" w:ascii="Times New Roman" w:hAnsi="Times New Roman" w:cs="Times New Roman"/>
                <w:color w:val="auto"/>
                <w:szCs w:val="24"/>
                <w:highlight w:val="none"/>
              </w:rPr>
              <w:t>，</w:t>
            </w:r>
            <w:r>
              <w:rPr>
                <w:rFonts w:hint="default" w:ascii="Times New Roman" w:hAnsi="Times New Roman" w:cs="Times New Roman"/>
                <w:color w:val="0000FF"/>
                <w:szCs w:val="24"/>
                <w:highlight w:val="none"/>
              </w:rPr>
              <w:t>其中环保投资</w:t>
            </w:r>
            <w:r>
              <w:rPr>
                <w:rFonts w:hint="eastAsia" w:cs="Times New Roman"/>
                <w:color w:val="0000FF"/>
                <w:szCs w:val="24"/>
                <w:highlight w:val="none"/>
                <w:lang w:val="en-US" w:eastAsia="zh-CN"/>
              </w:rPr>
              <w:t>38</w:t>
            </w:r>
            <w:r>
              <w:rPr>
                <w:rFonts w:hint="default" w:ascii="Times New Roman" w:hAnsi="Times New Roman" w:cs="Times New Roman"/>
                <w:color w:val="0000FF"/>
                <w:szCs w:val="24"/>
                <w:highlight w:val="none"/>
              </w:rPr>
              <w:t>万</w:t>
            </w:r>
            <w:r>
              <w:rPr>
                <w:rFonts w:hint="eastAsia" w:ascii="Times New Roman" w:hAnsi="Times New Roman" w:cs="Times New Roman"/>
                <w:color w:val="0000FF"/>
                <w:szCs w:val="24"/>
                <w:highlight w:val="none"/>
                <w:lang w:val="en-US" w:eastAsia="zh-CN"/>
              </w:rPr>
              <w:t>元</w:t>
            </w:r>
            <w:r>
              <w:rPr>
                <w:rFonts w:hint="default" w:ascii="Times New Roman" w:hAnsi="Times New Roman" w:cs="Times New Roman"/>
                <w:color w:val="auto"/>
                <w:szCs w:val="24"/>
                <w:highlight w:val="none"/>
              </w:rPr>
              <w:t>；</w:t>
            </w:r>
          </w:p>
          <w:p w14:paraId="6A7DD6B6">
            <w:pPr>
              <w:pStyle w:val="49"/>
              <w:keepNext w:val="0"/>
              <w:keepLines w:val="0"/>
              <w:pageBreakBefore w:val="0"/>
              <w:kinsoku/>
              <w:wordWrap/>
              <w:overflowPunct/>
              <w:topLinePunct w:val="0"/>
              <w:bidi w:val="0"/>
              <w:ind w:firstLine="48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建设工期：</w:t>
            </w:r>
            <w:r>
              <w:rPr>
                <w:rFonts w:hint="default" w:ascii="Times New Roman" w:hAnsi="Times New Roman" w:cs="Times New Roman"/>
                <w:color w:val="auto"/>
                <w:szCs w:val="24"/>
                <w:highlight w:val="none"/>
                <w:lang w:val="en-US" w:eastAsia="zh-CN"/>
              </w:rPr>
              <w:t>6</w:t>
            </w:r>
            <w:r>
              <w:rPr>
                <w:rFonts w:hint="default" w:ascii="Times New Roman" w:hAnsi="Times New Roman" w:cs="Times New Roman"/>
                <w:color w:val="auto"/>
                <w:szCs w:val="24"/>
                <w:highlight w:val="none"/>
              </w:rPr>
              <w:t>个月；</w:t>
            </w:r>
          </w:p>
          <w:p w14:paraId="1880BC7D">
            <w:pPr>
              <w:keepNext w:val="0"/>
              <w:keepLines w:val="0"/>
              <w:pageBreakBefore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FF"/>
                <w:sz w:val="24"/>
                <w:highlight w:val="none"/>
                <w:lang w:val="en-US" w:eastAsia="zh-CN"/>
              </w:rPr>
            </w:pPr>
            <w:r>
              <w:rPr>
                <w:rFonts w:hint="default" w:ascii="Times New Roman" w:hAnsi="Times New Roman" w:cs="Times New Roman"/>
                <w:color w:val="0000FF"/>
                <w:sz w:val="24"/>
                <w:highlight w:val="none"/>
              </w:rPr>
              <w:t>建设内容及规模：租用</w:t>
            </w:r>
            <w:r>
              <w:rPr>
                <w:rFonts w:hint="default" w:ascii="Times New Roman" w:hAnsi="Times New Roman" w:cs="Times New Roman"/>
                <w:color w:val="0000FF"/>
                <w:sz w:val="24"/>
                <w:highlight w:val="none"/>
                <w:lang w:val="en-US" w:eastAsia="zh-CN"/>
              </w:rPr>
              <w:t>标准化厂房约30632.76</w:t>
            </w:r>
            <w:r>
              <w:rPr>
                <w:rFonts w:hint="eastAsia" w:ascii="Times New Roman" w:hAnsi="Times New Roman" w:cs="Times New Roman"/>
                <w:color w:val="0000FF"/>
                <w:sz w:val="24"/>
                <w:szCs w:val="24"/>
                <w:lang w:val="en-US" w:eastAsia="zh-CN"/>
              </w:rPr>
              <w:t>m</w:t>
            </w:r>
            <w:r>
              <w:rPr>
                <w:rFonts w:hint="eastAsia" w:ascii="Times New Roman" w:hAnsi="Times New Roman" w:cs="Times New Roman"/>
                <w:color w:val="0000FF"/>
                <w:sz w:val="24"/>
                <w:szCs w:val="24"/>
                <w:vertAlign w:val="superscript"/>
                <w:lang w:val="en-US" w:eastAsia="zh-CN"/>
              </w:rPr>
              <w:t>2</w:t>
            </w:r>
            <w:r>
              <w:rPr>
                <w:rFonts w:hint="default" w:ascii="Times New Roman" w:hAnsi="Times New Roman" w:cs="Times New Roman"/>
                <w:color w:val="0000FF"/>
                <w:sz w:val="24"/>
                <w:highlight w:val="none"/>
              </w:rPr>
              <w:t>，</w:t>
            </w:r>
            <w:r>
              <w:rPr>
                <w:rFonts w:hint="default" w:ascii="Times New Roman" w:hAnsi="Times New Roman" w:cs="Times New Roman"/>
                <w:color w:val="00B050"/>
                <w:sz w:val="24"/>
                <w:highlight w:val="none"/>
              </w:rPr>
              <w:t>建设注塑生产线8条（</w:t>
            </w:r>
            <w:r>
              <w:rPr>
                <w:rFonts w:hint="eastAsia" w:cs="Times New Roman"/>
                <w:color w:val="00B050"/>
                <w:sz w:val="24"/>
                <w:highlight w:val="none"/>
                <w:lang w:val="en-US" w:eastAsia="zh-CN"/>
              </w:rPr>
              <w:t>其中</w:t>
            </w:r>
            <w:r>
              <w:rPr>
                <w:rFonts w:hint="default" w:ascii="Times New Roman" w:hAnsi="Times New Roman" w:cs="Times New Roman"/>
                <w:color w:val="00B050"/>
                <w:sz w:val="24"/>
                <w:highlight w:val="none"/>
              </w:rPr>
              <w:t>利旧3条，新增5条）</w:t>
            </w:r>
            <w:r>
              <w:rPr>
                <w:rFonts w:hint="default" w:ascii="Times New Roman" w:hAnsi="Times New Roman" w:cs="Times New Roman"/>
                <w:color w:val="0000FF"/>
                <w:sz w:val="24"/>
                <w:highlight w:val="none"/>
                <w:lang w:val="en-US" w:eastAsia="zh-CN"/>
              </w:rPr>
              <w:t>，新购置高端精密注塑机、机器人等相关配套设备100台套，年产手机充电器塑胶外壳15000万件、</w:t>
            </w:r>
            <w:r>
              <w:rPr>
                <w:rFonts w:hint="eastAsia" w:ascii="Times New Roman" w:hAnsi="Times New Roman" w:cs="Times New Roman"/>
                <w:color w:val="0000FF"/>
                <w:sz w:val="24"/>
                <w:highlight w:val="none"/>
                <w:lang w:val="en-US" w:eastAsia="zh-CN"/>
              </w:rPr>
              <w:t>路由器</w:t>
            </w:r>
            <w:r>
              <w:rPr>
                <w:rFonts w:hint="default" w:ascii="Times New Roman" w:hAnsi="Times New Roman" w:cs="Times New Roman"/>
                <w:color w:val="0000FF"/>
                <w:sz w:val="24"/>
                <w:highlight w:val="none"/>
                <w:lang w:val="en-US" w:eastAsia="zh-CN"/>
              </w:rPr>
              <w:t>产品1000万件。</w:t>
            </w:r>
          </w:p>
          <w:p w14:paraId="0A5344C6">
            <w:pPr>
              <w:keepNext w:val="0"/>
              <w:keepLines w:val="0"/>
              <w:pageBreakBefore w:val="0"/>
              <w:kinsoku/>
              <w:wordWrap/>
              <w:overflowPunct/>
              <w:topLinePunct w:val="0"/>
              <w:bidi w:val="0"/>
              <w:adjustRightInd w:val="0"/>
              <w:snapToGrid w:val="0"/>
              <w:spacing w:line="360" w:lineRule="auto"/>
              <w:textAlignment w:val="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2.2.1.2 项目组成</w:t>
            </w:r>
          </w:p>
          <w:p w14:paraId="55EE93DE">
            <w:pPr>
              <w:pStyle w:val="14"/>
              <w:keepNext w:val="0"/>
              <w:keepLines w:val="0"/>
              <w:pageBreakBefore w:val="0"/>
              <w:kinsoku/>
              <w:wordWrap/>
              <w:overflowPunct/>
              <w:topLinePunct w:val="0"/>
              <w:bidi w:val="0"/>
              <w:spacing w:before="0" w:after="0" w:line="360" w:lineRule="auto"/>
              <w:ind w:right="0" w:firstLine="480" w:firstLineChars="200"/>
              <w:textAlignment w:val="auto"/>
              <w:rPr>
                <w:rFonts w:hint="default" w:ascii="Times New Roman" w:hAnsi="Times New Roman" w:cs="Times New Roman"/>
                <w:bCs/>
                <w:snapToGrid w:val="0"/>
                <w:color w:val="auto"/>
                <w:spacing w:val="4"/>
                <w:sz w:val="24"/>
                <w:highlight w:val="none"/>
              </w:rPr>
            </w:pPr>
            <w:r>
              <w:rPr>
                <w:rFonts w:hint="default" w:ascii="Times New Roman" w:hAnsi="Times New Roman" w:cs="Times New Roman"/>
                <w:color w:val="auto"/>
                <w:sz w:val="24"/>
                <w:highlight w:val="none"/>
              </w:rPr>
              <w:t>本项目建设内容由主体工程、辅助工程、储运工程、公用工程等组成</w:t>
            </w:r>
            <w:r>
              <w:rPr>
                <w:rFonts w:hint="default" w:ascii="Times New Roman" w:hAnsi="Times New Roman" w:cs="Times New Roman"/>
                <w:bCs/>
                <w:snapToGrid w:val="0"/>
                <w:color w:val="auto"/>
                <w:spacing w:val="4"/>
                <w:sz w:val="24"/>
                <w:highlight w:val="none"/>
              </w:rPr>
              <w:t>。</w:t>
            </w:r>
            <w:r>
              <w:rPr>
                <w:rFonts w:hint="default" w:ascii="Times New Roman" w:hAnsi="Times New Roman" w:cs="Times New Roman"/>
                <w:bCs/>
                <w:snapToGrid w:val="0"/>
                <w:color w:val="0000FF"/>
                <w:spacing w:val="4"/>
                <w:sz w:val="24"/>
                <w:highlight w:val="none"/>
              </w:rPr>
              <w:t>项目不设置食堂及住宿，</w:t>
            </w:r>
            <w:r>
              <w:rPr>
                <w:rFonts w:hint="eastAsia" w:cs="Times New Roman"/>
                <w:bCs/>
                <w:snapToGrid w:val="0"/>
                <w:color w:val="0000FF"/>
                <w:spacing w:val="4"/>
                <w:sz w:val="24"/>
                <w:highlight w:val="none"/>
                <w:lang w:val="en-US" w:eastAsia="zh-CN"/>
              </w:rPr>
              <w:t>职工生活</w:t>
            </w:r>
            <w:r>
              <w:rPr>
                <w:rFonts w:hint="default" w:ascii="Times New Roman" w:hAnsi="Times New Roman" w:cs="Times New Roman"/>
                <w:bCs/>
                <w:snapToGrid w:val="0"/>
                <w:color w:val="0000FF"/>
                <w:spacing w:val="4"/>
                <w:sz w:val="24"/>
                <w:highlight w:val="none"/>
              </w:rPr>
              <w:t>依托周边现有设施。</w:t>
            </w:r>
            <w:r>
              <w:rPr>
                <w:rFonts w:hint="default" w:ascii="Times New Roman" w:hAnsi="Times New Roman" w:cs="Times New Roman"/>
                <w:bCs/>
                <w:snapToGrid w:val="0"/>
                <w:color w:val="auto"/>
                <w:spacing w:val="4"/>
                <w:sz w:val="24"/>
                <w:highlight w:val="none"/>
              </w:rPr>
              <w:t>本项目组成详见表</w:t>
            </w:r>
            <w:r>
              <w:rPr>
                <w:rFonts w:hint="default" w:ascii="Times New Roman" w:hAnsi="Times New Roman" w:cs="Times New Roman"/>
                <w:color w:val="auto"/>
                <w:sz w:val="24"/>
                <w:highlight w:val="none"/>
              </w:rPr>
              <w:t>2.2-1</w:t>
            </w:r>
            <w:r>
              <w:rPr>
                <w:rFonts w:hint="default" w:ascii="Times New Roman" w:hAnsi="Times New Roman" w:cs="Times New Roman"/>
                <w:bCs/>
                <w:snapToGrid w:val="0"/>
                <w:color w:val="auto"/>
                <w:spacing w:val="4"/>
                <w:sz w:val="24"/>
                <w:highlight w:val="none"/>
              </w:rPr>
              <w:t>。</w:t>
            </w:r>
          </w:p>
          <w:p w14:paraId="33D39C82">
            <w:pPr>
              <w:pStyle w:val="14"/>
              <w:spacing w:before="0" w:after="0" w:line="240" w:lineRule="auto"/>
              <w:jc w:val="center"/>
              <w:rPr>
                <w:rFonts w:hint="default" w:ascii="Times New Roman" w:hAnsi="Times New Roman" w:cs="Times New Roman"/>
                <w:b/>
                <w:color w:val="auto"/>
                <w:kern w:val="2"/>
                <w:sz w:val="24"/>
                <w:szCs w:val="24"/>
                <w:highlight w:val="none"/>
              </w:rPr>
            </w:pPr>
            <w:r>
              <w:rPr>
                <w:rFonts w:hint="default" w:ascii="Times New Roman" w:hAnsi="Times New Roman" w:cs="Times New Roman"/>
                <w:b/>
                <w:color w:val="auto"/>
                <w:kern w:val="2"/>
                <w:sz w:val="24"/>
                <w:szCs w:val="24"/>
                <w:highlight w:val="none"/>
              </w:rPr>
              <w:t>表2.2-1   本项目组成一览表</w:t>
            </w:r>
          </w:p>
          <w:tbl>
            <w:tblPr>
              <w:tblStyle w:val="35"/>
              <w:tblW w:w="8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1"/>
              <w:gridCol w:w="404"/>
              <w:gridCol w:w="903"/>
              <w:gridCol w:w="4451"/>
              <w:gridCol w:w="452"/>
              <w:gridCol w:w="839"/>
              <w:gridCol w:w="1207"/>
            </w:tblGrid>
            <w:tr w14:paraId="4A892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dxa"/>
                  <w:vMerge w:val="restart"/>
                  <w:noWrap w:val="0"/>
                  <w:vAlign w:val="center"/>
                </w:tcPr>
                <w:p w14:paraId="23FBB05C">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组成</w:t>
                  </w:r>
                </w:p>
              </w:tc>
              <w:tc>
                <w:tcPr>
                  <w:tcW w:w="1307" w:type="dxa"/>
                  <w:gridSpan w:val="2"/>
                  <w:vMerge w:val="restart"/>
                  <w:noWrap w:val="0"/>
                  <w:vAlign w:val="center"/>
                </w:tcPr>
                <w:p w14:paraId="25024F24">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类别</w:t>
                  </w:r>
                </w:p>
              </w:tc>
              <w:tc>
                <w:tcPr>
                  <w:tcW w:w="4451" w:type="dxa"/>
                  <w:vMerge w:val="restart"/>
                  <w:noWrap w:val="0"/>
                  <w:vAlign w:val="center"/>
                </w:tcPr>
                <w:p w14:paraId="65E6DA5B">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建设内容及规模</w:t>
                  </w:r>
                </w:p>
              </w:tc>
              <w:tc>
                <w:tcPr>
                  <w:tcW w:w="1291" w:type="dxa"/>
                  <w:gridSpan w:val="2"/>
                  <w:noWrap w:val="0"/>
                  <w:vAlign w:val="center"/>
                </w:tcPr>
                <w:p w14:paraId="709417DE">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主要环境问题</w:t>
                  </w:r>
                </w:p>
              </w:tc>
              <w:tc>
                <w:tcPr>
                  <w:tcW w:w="1207" w:type="dxa"/>
                  <w:vMerge w:val="restart"/>
                  <w:noWrap w:val="0"/>
                  <w:vAlign w:val="center"/>
                </w:tcPr>
                <w:p w14:paraId="7981FBE3">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备注</w:t>
                  </w:r>
                </w:p>
              </w:tc>
            </w:tr>
            <w:tr w14:paraId="7DBDF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1" w:type="dxa"/>
                  <w:vMerge w:val="continue"/>
                  <w:noWrap w:val="0"/>
                  <w:vAlign w:val="center"/>
                </w:tcPr>
                <w:p w14:paraId="00125423">
                  <w:pPr>
                    <w:jc w:val="center"/>
                    <w:rPr>
                      <w:rFonts w:hint="default" w:ascii="Times New Roman" w:hAnsi="Times New Roman" w:eastAsia="宋体" w:cs="Times New Roman"/>
                      <w:b/>
                      <w:bCs/>
                      <w:i w:val="0"/>
                      <w:iCs w:val="0"/>
                      <w:color w:val="0000FF"/>
                      <w:sz w:val="21"/>
                      <w:szCs w:val="21"/>
                      <w:u w:val="none"/>
                    </w:rPr>
                  </w:pPr>
                </w:p>
              </w:tc>
              <w:tc>
                <w:tcPr>
                  <w:tcW w:w="1307" w:type="dxa"/>
                  <w:gridSpan w:val="2"/>
                  <w:vMerge w:val="continue"/>
                  <w:noWrap w:val="0"/>
                  <w:vAlign w:val="center"/>
                </w:tcPr>
                <w:p w14:paraId="7EDCDC07">
                  <w:pPr>
                    <w:jc w:val="center"/>
                    <w:rPr>
                      <w:rFonts w:hint="default" w:ascii="Times New Roman" w:hAnsi="Times New Roman" w:eastAsia="宋体" w:cs="Times New Roman"/>
                      <w:b/>
                      <w:bCs/>
                      <w:i w:val="0"/>
                      <w:iCs w:val="0"/>
                      <w:color w:val="0000FF"/>
                      <w:sz w:val="21"/>
                      <w:szCs w:val="21"/>
                      <w:u w:val="none"/>
                    </w:rPr>
                  </w:pPr>
                </w:p>
              </w:tc>
              <w:tc>
                <w:tcPr>
                  <w:tcW w:w="4451" w:type="dxa"/>
                  <w:vMerge w:val="continue"/>
                  <w:noWrap w:val="0"/>
                  <w:vAlign w:val="center"/>
                </w:tcPr>
                <w:p w14:paraId="1F9968E5">
                  <w:pPr>
                    <w:jc w:val="center"/>
                    <w:rPr>
                      <w:rFonts w:hint="default" w:ascii="Times New Roman" w:hAnsi="Times New Roman" w:eastAsia="宋体" w:cs="Times New Roman"/>
                      <w:b/>
                      <w:bCs/>
                      <w:i w:val="0"/>
                      <w:iCs w:val="0"/>
                      <w:color w:val="0000FF"/>
                      <w:sz w:val="21"/>
                      <w:szCs w:val="21"/>
                      <w:u w:val="none"/>
                    </w:rPr>
                  </w:pPr>
                </w:p>
              </w:tc>
              <w:tc>
                <w:tcPr>
                  <w:tcW w:w="452" w:type="dxa"/>
                  <w:noWrap w:val="0"/>
                  <w:vAlign w:val="center"/>
                </w:tcPr>
                <w:p w14:paraId="21E2DE6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施工期</w:t>
                  </w:r>
                </w:p>
              </w:tc>
              <w:tc>
                <w:tcPr>
                  <w:tcW w:w="839" w:type="dxa"/>
                  <w:noWrap w:val="0"/>
                  <w:vAlign w:val="center"/>
                </w:tcPr>
                <w:p w14:paraId="31A8F54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运营期</w:t>
                  </w:r>
                </w:p>
              </w:tc>
              <w:tc>
                <w:tcPr>
                  <w:tcW w:w="1207" w:type="dxa"/>
                  <w:vMerge w:val="continue"/>
                  <w:noWrap w:val="0"/>
                  <w:vAlign w:val="center"/>
                </w:tcPr>
                <w:p w14:paraId="443ED157">
                  <w:pPr>
                    <w:jc w:val="center"/>
                    <w:rPr>
                      <w:rFonts w:hint="default" w:ascii="Times New Roman" w:hAnsi="Times New Roman" w:eastAsia="宋体" w:cs="Times New Roman"/>
                      <w:b/>
                      <w:bCs/>
                      <w:i w:val="0"/>
                      <w:iCs w:val="0"/>
                      <w:color w:val="0000FF"/>
                      <w:sz w:val="21"/>
                      <w:szCs w:val="21"/>
                      <w:u w:val="none"/>
                    </w:rPr>
                  </w:pPr>
                </w:p>
              </w:tc>
            </w:tr>
            <w:tr w14:paraId="7AF01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dxa"/>
                  <w:vMerge w:val="restart"/>
                  <w:noWrap w:val="0"/>
                  <w:vAlign w:val="center"/>
                </w:tcPr>
                <w:p w14:paraId="301D9B8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主体工程</w:t>
                  </w:r>
                </w:p>
              </w:tc>
              <w:tc>
                <w:tcPr>
                  <w:tcW w:w="5758" w:type="dxa"/>
                  <w:gridSpan w:val="3"/>
                  <w:noWrap w:val="0"/>
                  <w:vAlign w:val="center"/>
                </w:tcPr>
                <w:p w14:paraId="68040B1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r>
                    <w:rPr>
                      <w:rFonts w:hint="eastAsia" w:ascii="宋体" w:hAnsi="宋体" w:eastAsia="宋体" w:cs="宋体"/>
                      <w:i w:val="0"/>
                      <w:iCs w:val="0"/>
                      <w:color w:val="0000FF"/>
                      <w:kern w:val="0"/>
                      <w:sz w:val="21"/>
                      <w:szCs w:val="21"/>
                      <w:u w:val="none"/>
                      <w:lang w:val="en-US" w:eastAsia="zh-CN" w:bidi="ar"/>
                    </w:rPr>
                    <w:t>号厂房：建筑面积约</w:t>
                  </w:r>
                  <w:r>
                    <w:rPr>
                      <w:rFonts w:hint="default" w:ascii="Times New Roman" w:hAnsi="Times New Roman" w:eastAsia="宋体" w:cs="Times New Roman"/>
                      <w:i w:val="0"/>
                      <w:iCs w:val="0"/>
                      <w:color w:val="0000FF"/>
                      <w:kern w:val="0"/>
                      <w:sz w:val="21"/>
                      <w:szCs w:val="21"/>
                      <w:u w:val="none"/>
                      <w:lang w:val="en-US" w:eastAsia="zh-CN" w:bidi="ar"/>
                    </w:rPr>
                    <w:t>14400m</w:t>
                  </w:r>
                  <w:r>
                    <w:rPr>
                      <w:rFonts w:hint="default" w:ascii="Times New Roman" w:hAnsi="Times New Roman" w:eastAsia="宋体" w:cs="Times New Roman"/>
                      <w:i w:val="0"/>
                      <w:iCs w:val="0"/>
                      <w:color w:val="0000FF"/>
                      <w:kern w:val="0"/>
                      <w:sz w:val="21"/>
                      <w:szCs w:val="21"/>
                      <w:u w:val="none"/>
                      <w:vertAlign w:val="superscript"/>
                      <w:lang w:val="en-US" w:eastAsia="zh-CN" w:bidi="ar"/>
                    </w:rPr>
                    <w:t>2</w:t>
                  </w:r>
                  <w:r>
                    <w:rPr>
                      <w:rFonts w:hint="eastAsia" w:ascii="宋体" w:hAnsi="宋体" w:eastAsia="宋体" w:cs="宋体"/>
                      <w:i w:val="0"/>
                      <w:iCs w:val="0"/>
                      <w:color w:val="0000FF"/>
                      <w:kern w:val="0"/>
                      <w:sz w:val="21"/>
                      <w:szCs w:val="21"/>
                      <w:u w:val="none"/>
                      <w:lang w:val="en-US" w:eastAsia="zh-CN" w:bidi="ar"/>
                    </w:rPr>
                    <w:t>，</w:t>
                  </w:r>
                  <w:r>
                    <w:rPr>
                      <w:rFonts w:hint="default" w:ascii="Times New Roman" w:hAnsi="Times New Roman" w:eastAsia="宋体" w:cs="Times New Roman"/>
                      <w:i w:val="0"/>
                      <w:iCs w:val="0"/>
                      <w:color w:val="0000FF"/>
                      <w:kern w:val="0"/>
                      <w:sz w:val="21"/>
                      <w:szCs w:val="21"/>
                      <w:u w:val="none"/>
                      <w:lang w:val="en-US" w:eastAsia="zh-CN" w:bidi="ar"/>
                    </w:rPr>
                    <w:t>5F</w:t>
                  </w:r>
                  <w:r>
                    <w:rPr>
                      <w:rFonts w:hint="eastAsia" w:ascii="宋体" w:hAnsi="宋体" w:eastAsia="宋体" w:cs="宋体"/>
                      <w:i w:val="0"/>
                      <w:iCs w:val="0"/>
                      <w:color w:val="0000FF"/>
                      <w:kern w:val="0"/>
                      <w:sz w:val="21"/>
                      <w:szCs w:val="21"/>
                      <w:u w:val="none"/>
                      <w:lang w:val="en-US" w:eastAsia="zh-CN" w:bidi="ar"/>
                    </w:rPr>
                    <w:t>，楼高</w:t>
                  </w:r>
                  <w:r>
                    <w:rPr>
                      <w:rFonts w:hint="default" w:ascii="Times New Roman" w:hAnsi="Times New Roman" w:eastAsia="宋体" w:cs="Times New Roman"/>
                      <w:i w:val="0"/>
                      <w:iCs w:val="0"/>
                      <w:color w:val="0000FF"/>
                      <w:kern w:val="0"/>
                      <w:sz w:val="21"/>
                      <w:szCs w:val="21"/>
                      <w:u w:val="none"/>
                      <w:lang w:val="en-US" w:eastAsia="zh-CN" w:bidi="ar"/>
                    </w:rPr>
                    <w:t>29.7m</w:t>
                  </w:r>
                  <w:r>
                    <w:rPr>
                      <w:rFonts w:hint="eastAsia" w:ascii="宋体" w:hAnsi="宋体" w:eastAsia="宋体" w:cs="宋体"/>
                      <w:i w:val="0"/>
                      <w:iCs w:val="0"/>
                      <w:color w:val="0000FF"/>
                      <w:kern w:val="0"/>
                      <w:sz w:val="21"/>
                      <w:szCs w:val="21"/>
                      <w:u w:val="none"/>
                      <w:lang w:val="en-US" w:eastAsia="zh-CN" w:bidi="ar"/>
                    </w:rPr>
                    <w:t>。厂房内布设</w:t>
                  </w:r>
                  <w:r>
                    <w:rPr>
                      <w:rFonts w:hint="default" w:ascii="Times New Roman" w:hAnsi="Times New Roman" w:eastAsia="宋体" w:cs="Times New Roman"/>
                      <w:i w:val="0"/>
                      <w:iCs w:val="0"/>
                      <w:color w:val="0000FF"/>
                      <w:kern w:val="0"/>
                      <w:sz w:val="21"/>
                      <w:szCs w:val="21"/>
                      <w:u w:val="none"/>
                      <w:lang w:val="en-US" w:eastAsia="zh-CN" w:bidi="ar"/>
                    </w:rPr>
                    <w:t>4</w:t>
                  </w:r>
                  <w:r>
                    <w:rPr>
                      <w:rFonts w:hint="eastAsia" w:ascii="宋体" w:hAnsi="宋体" w:eastAsia="宋体" w:cs="宋体"/>
                      <w:i w:val="0"/>
                      <w:iCs w:val="0"/>
                      <w:color w:val="0000FF"/>
                      <w:kern w:val="0"/>
                      <w:sz w:val="21"/>
                      <w:szCs w:val="21"/>
                      <w:u w:val="none"/>
                      <w:lang w:val="en-US" w:eastAsia="zh-CN" w:bidi="ar"/>
                    </w:rPr>
                    <w:t>条注塑生产线，进行路由器注塑、移印工艺，年产</w:t>
                  </w:r>
                  <w:r>
                    <w:rPr>
                      <w:rFonts w:hint="eastAsia" w:ascii="宋体" w:hAnsi="宋体" w:cs="宋体"/>
                      <w:i w:val="0"/>
                      <w:iCs w:val="0"/>
                      <w:color w:val="0000FF"/>
                      <w:kern w:val="0"/>
                      <w:sz w:val="21"/>
                      <w:szCs w:val="21"/>
                      <w:u w:val="none"/>
                      <w:lang w:val="en-US" w:eastAsia="zh-CN" w:bidi="ar"/>
                    </w:rPr>
                    <w:t>路由器</w:t>
                  </w:r>
                  <w:r>
                    <w:rPr>
                      <w:rFonts w:hint="default" w:ascii="Times New Roman" w:hAnsi="Times New Roman" w:eastAsia="宋体" w:cs="Times New Roman"/>
                      <w:i w:val="0"/>
                      <w:iCs w:val="0"/>
                      <w:color w:val="0000FF"/>
                      <w:kern w:val="0"/>
                      <w:sz w:val="21"/>
                      <w:szCs w:val="21"/>
                      <w:u w:val="none"/>
                      <w:lang w:val="en-US" w:eastAsia="zh-CN" w:bidi="ar"/>
                    </w:rPr>
                    <w:t>1000</w:t>
                  </w:r>
                  <w:r>
                    <w:rPr>
                      <w:rFonts w:hint="eastAsia" w:ascii="宋体" w:hAnsi="宋体" w:eastAsia="宋体" w:cs="宋体"/>
                      <w:i w:val="0"/>
                      <w:iCs w:val="0"/>
                      <w:color w:val="0000FF"/>
                      <w:kern w:val="0"/>
                      <w:sz w:val="21"/>
                      <w:szCs w:val="21"/>
                      <w:u w:val="none"/>
                      <w:lang w:val="en-US" w:eastAsia="zh-CN" w:bidi="ar"/>
                    </w:rPr>
                    <w:t>万件。</w:t>
                  </w:r>
                </w:p>
              </w:tc>
              <w:tc>
                <w:tcPr>
                  <w:tcW w:w="452" w:type="dxa"/>
                  <w:vMerge w:val="restart"/>
                  <w:noWrap/>
                  <w:vAlign w:val="center"/>
                </w:tcPr>
                <w:p w14:paraId="67F7A78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施工废水、扬尘、噪声、固体废物等</w:t>
                  </w:r>
                </w:p>
              </w:tc>
              <w:tc>
                <w:tcPr>
                  <w:tcW w:w="839" w:type="dxa"/>
                  <w:noWrap w:val="0"/>
                  <w:vAlign w:val="center"/>
                </w:tcPr>
                <w:p w14:paraId="5CC576B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噪声、废气、固废</w:t>
                  </w:r>
                </w:p>
              </w:tc>
              <w:tc>
                <w:tcPr>
                  <w:tcW w:w="1207" w:type="dxa"/>
                  <w:noWrap w:val="0"/>
                  <w:vAlign w:val="center"/>
                </w:tcPr>
                <w:p w14:paraId="5052312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依托</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新建</w:t>
                  </w:r>
                </w:p>
              </w:tc>
            </w:tr>
            <w:tr w14:paraId="2122C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371" w:type="dxa"/>
                  <w:vMerge w:val="continue"/>
                  <w:noWrap w:val="0"/>
                  <w:vAlign w:val="center"/>
                </w:tcPr>
                <w:p w14:paraId="3388FEE3">
                  <w:pPr>
                    <w:jc w:val="center"/>
                    <w:rPr>
                      <w:rFonts w:hint="default" w:ascii="Times New Roman" w:hAnsi="Times New Roman" w:eastAsia="宋体" w:cs="Times New Roman"/>
                      <w:i w:val="0"/>
                      <w:iCs w:val="0"/>
                      <w:color w:val="0000FF"/>
                      <w:sz w:val="21"/>
                      <w:szCs w:val="21"/>
                      <w:u w:val="none"/>
                    </w:rPr>
                  </w:pPr>
                </w:p>
              </w:tc>
              <w:tc>
                <w:tcPr>
                  <w:tcW w:w="1307" w:type="dxa"/>
                  <w:gridSpan w:val="2"/>
                  <w:noWrap w:val="0"/>
                  <w:vAlign w:val="center"/>
                </w:tcPr>
                <w:p w14:paraId="77CB593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1F</w:t>
                  </w:r>
                </w:p>
              </w:tc>
              <w:tc>
                <w:tcPr>
                  <w:tcW w:w="4451" w:type="dxa"/>
                  <w:noWrap w:val="0"/>
                  <w:vAlign w:val="center"/>
                </w:tcPr>
                <w:p w14:paraId="35EFC944">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建筑面积约</w:t>
                  </w:r>
                  <w:r>
                    <w:rPr>
                      <w:rFonts w:hint="default" w:ascii="Times New Roman" w:hAnsi="Times New Roman" w:eastAsia="宋体" w:cs="Times New Roman"/>
                      <w:i w:val="0"/>
                      <w:iCs w:val="0"/>
                      <w:color w:val="0000FF"/>
                      <w:kern w:val="0"/>
                      <w:sz w:val="21"/>
                      <w:szCs w:val="21"/>
                      <w:u w:val="none"/>
                      <w:lang w:val="en-US" w:eastAsia="zh-CN" w:bidi="ar"/>
                    </w:rPr>
                    <w:t>2880m</w:t>
                  </w:r>
                  <w:r>
                    <w:rPr>
                      <w:rFonts w:hint="default" w:ascii="Times New Roman" w:hAnsi="Times New Roman" w:eastAsia="宋体" w:cs="Times New Roman"/>
                      <w:i w:val="0"/>
                      <w:iCs w:val="0"/>
                      <w:color w:val="0000FF"/>
                      <w:kern w:val="0"/>
                      <w:sz w:val="21"/>
                      <w:szCs w:val="21"/>
                      <w:u w:val="none"/>
                      <w:vertAlign w:val="superscript"/>
                      <w:lang w:val="en-US" w:eastAsia="zh-CN" w:bidi="ar"/>
                    </w:rPr>
                    <w:t>2</w:t>
                  </w:r>
                  <w:r>
                    <w:rPr>
                      <w:rFonts w:hint="eastAsia" w:ascii="宋体" w:hAnsi="宋体" w:eastAsia="宋体" w:cs="宋体"/>
                      <w:i w:val="0"/>
                      <w:iCs w:val="0"/>
                      <w:color w:val="0000FF"/>
                      <w:kern w:val="0"/>
                      <w:sz w:val="21"/>
                      <w:szCs w:val="21"/>
                      <w:u w:val="none"/>
                      <w:lang w:val="en-US" w:eastAsia="zh-CN" w:bidi="ar"/>
                    </w:rPr>
                    <w:t>，主要布置路由器注塑生产线</w:t>
                  </w:r>
                  <w:r>
                    <w:rPr>
                      <w:rFonts w:hint="default" w:ascii="Times New Roman" w:hAnsi="Times New Roman" w:eastAsia="宋体" w:cs="Times New Roman"/>
                      <w:i w:val="0"/>
                      <w:iCs w:val="0"/>
                      <w:color w:val="0000FF"/>
                      <w:kern w:val="0"/>
                      <w:sz w:val="21"/>
                      <w:szCs w:val="21"/>
                      <w:u w:val="none"/>
                      <w:lang w:val="en-US" w:eastAsia="zh-CN" w:bidi="ar"/>
                    </w:rPr>
                    <w:t>4</w:t>
                  </w:r>
                  <w:r>
                    <w:rPr>
                      <w:rFonts w:hint="eastAsia" w:ascii="宋体" w:hAnsi="宋体" w:eastAsia="宋体" w:cs="宋体"/>
                      <w:i w:val="0"/>
                      <w:iCs w:val="0"/>
                      <w:color w:val="0000FF"/>
                      <w:kern w:val="0"/>
                      <w:sz w:val="21"/>
                      <w:szCs w:val="21"/>
                      <w:u w:val="none"/>
                      <w:lang w:val="en-US" w:eastAsia="zh-CN" w:bidi="ar"/>
                    </w:rPr>
                    <w:t>条</w:t>
                  </w:r>
                  <w:r>
                    <w:rPr>
                      <w:rFonts w:hint="eastAsia" w:ascii="宋体" w:hAnsi="宋体" w:cs="宋体"/>
                      <w:i w:val="0"/>
                      <w:iCs w:val="0"/>
                      <w:color w:val="0000FF"/>
                      <w:kern w:val="0"/>
                      <w:sz w:val="21"/>
                      <w:szCs w:val="21"/>
                      <w:u w:val="none"/>
                      <w:lang w:val="en-US" w:eastAsia="zh-CN" w:bidi="ar"/>
                    </w:rPr>
                    <w:t>及</w:t>
                  </w:r>
                  <w:r>
                    <w:rPr>
                      <w:rFonts w:hint="eastAsia" w:ascii="宋体" w:hAnsi="宋体" w:eastAsia="宋体" w:cs="宋体"/>
                      <w:i w:val="0"/>
                      <w:iCs w:val="0"/>
                      <w:color w:val="0000FF"/>
                      <w:kern w:val="0"/>
                      <w:sz w:val="21"/>
                      <w:szCs w:val="21"/>
                      <w:u w:val="none"/>
                      <w:lang w:val="en-US" w:eastAsia="zh-CN" w:bidi="ar"/>
                    </w:rPr>
                    <w:t>配套设备。主要进行路由器产品注塑和加工，年产路由器</w:t>
                  </w:r>
                  <w:r>
                    <w:rPr>
                      <w:rFonts w:hint="default" w:ascii="Times New Roman" w:hAnsi="Times New Roman" w:eastAsia="宋体" w:cs="Times New Roman"/>
                      <w:i w:val="0"/>
                      <w:iCs w:val="0"/>
                      <w:color w:val="0000FF"/>
                      <w:kern w:val="0"/>
                      <w:sz w:val="21"/>
                      <w:szCs w:val="21"/>
                      <w:u w:val="none"/>
                      <w:lang w:val="en-US" w:eastAsia="zh-CN" w:bidi="ar"/>
                    </w:rPr>
                    <w:t>1000</w:t>
                  </w:r>
                  <w:r>
                    <w:rPr>
                      <w:rFonts w:hint="eastAsia" w:ascii="宋体" w:hAnsi="宋体" w:eastAsia="宋体" w:cs="宋体"/>
                      <w:i w:val="0"/>
                      <w:iCs w:val="0"/>
                      <w:color w:val="0000FF"/>
                      <w:kern w:val="0"/>
                      <w:sz w:val="21"/>
                      <w:szCs w:val="21"/>
                      <w:u w:val="none"/>
                      <w:lang w:val="en-US" w:eastAsia="zh-CN" w:bidi="ar"/>
                    </w:rPr>
                    <w:t>万件。</w:t>
                  </w:r>
                </w:p>
              </w:tc>
              <w:tc>
                <w:tcPr>
                  <w:tcW w:w="452" w:type="dxa"/>
                  <w:vMerge w:val="continue"/>
                  <w:noWrap/>
                  <w:vAlign w:val="center"/>
                </w:tcPr>
                <w:p w14:paraId="3DD1438A">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41EAA03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噪声、废气、固废</w:t>
                  </w:r>
                </w:p>
              </w:tc>
              <w:tc>
                <w:tcPr>
                  <w:tcW w:w="1207" w:type="dxa"/>
                  <w:noWrap w:val="0"/>
                  <w:vAlign w:val="center"/>
                </w:tcPr>
                <w:p w14:paraId="665DBF1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依托</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新建</w:t>
                  </w:r>
                </w:p>
              </w:tc>
            </w:tr>
            <w:tr w14:paraId="15BA7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371" w:type="dxa"/>
                  <w:vMerge w:val="continue"/>
                  <w:noWrap w:val="0"/>
                  <w:vAlign w:val="center"/>
                </w:tcPr>
                <w:p w14:paraId="3BAE40CA">
                  <w:pPr>
                    <w:jc w:val="center"/>
                    <w:rPr>
                      <w:rFonts w:hint="default" w:ascii="Times New Roman" w:hAnsi="Times New Roman" w:eastAsia="宋体" w:cs="Times New Roman"/>
                      <w:i w:val="0"/>
                      <w:iCs w:val="0"/>
                      <w:color w:val="0000FF"/>
                      <w:sz w:val="21"/>
                      <w:szCs w:val="21"/>
                      <w:u w:val="none"/>
                    </w:rPr>
                  </w:pPr>
                </w:p>
              </w:tc>
              <w:tc>
                <w:tcPr>
                  <w:tcW w:w="1307" w:type="dxa"/>
                  <w:gridSpan w:val="2"/>
                  <w:noWrap w:val="0"/>
                  <w:vAlign w:val="center"/>
                </w:tcPr>
                <w:p w14:paraId="574D72A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2F</w:t>
                  </w:r>
                </w:p>
              </w:tc>
              <w:tc>
                <w:tcPr>
                  <w:tcW w:w="4451" w:type="dxa"/>
                  <w:noWrap w:val="0"/>
                  <w:vAlign w:val="center"/>
                </w:tcPr>
                <w:p w14:paraId="03231921">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建筑面积约</w:t>
                  </w:r>
                  <w:r>
                    <w:rPr>
                      <w:rFonts w:hint="default" w:ascii="Times New Roman" w:hAnsi="Times New Roman" w:eastAsia="宋体" w:cs="Times New Roman"/>
                      <w:i w:val="0"/>
                      <w:iCs w:val="0"/>
                      <w:color w:val="0000FF"/>
                      <w:kern w:val="0"/>
                      <w:sz w:val="21"/>
                      <w:szCs w:val="21"/>
                      <w:u w:val="none"/>
                      <w:lang w:val="en-US" w:eastAsia="zh-CN" w:bidi="ar"/>
                    </w:rPr>
                    <w:t>2880m</w:t>
                  </w:r>
                  <w:r>
                    <w:rPr>
                      <w:rFonts w:hint="default" w:ascii="Times New Roman" w:hAnsi="Times New Roman" w:eastAsia="宋体" w:cs="Times New Roman"/>
                      <w:i w:val="0"/>
                      <w:iCs w:val="0"/>
                      <w:color w:val="0000FF"/>
                      <w:kern w:val="0"/>
                      <w:sz w:val="21"/>
                      <w:szCs w:val="21"/>
                      <w:u w:val="none"/>
                      <w:vertAlign w:val="superscript"/>
                      <w:lang w:val="en-US" w:eastAsia="zh-CN" w:bidi="ar"/>
                    </w:rPr>
                    <w:t>2</w:t>
                  </w:r>
                  <w:r>
                    <w:rPr>
                      <w:rFonts w:hint="eastAsia" w:ascii="宋体" w:hAnsi="宋体" w:eastAsia="宋体" w:cs="宋体"/>
                      <w:i w:val="0"/>
                      <w:iCs w:val="0"/>
                      <w:color w:val="0000FF"/>
                      <w:kern w:val="0"/>
                      <w:sz w:val="21"/>
                      <w:szCs w:val="21"/>
                      <w:u w:val="none"/>
                      <w:lang w:val="en-US" w:eastAsia="zh-CN" w:bidi="ar"/>
                    </w:rPr>
                    <w:t>，主要布置临时组装车间、</w:t>
                  </w:r>
                  <w:r>
                    <w:rPr>
                      <w:rFonts w:hint="eastAsia" w:ascii="宋体" w:hAnsi="宋体" w:cs="宋体"/>
                      <w:i w:val="0"/>
                      <w:iCs w:val="0"/>
                      <w:color w:val="0000FF"/>
                      <w:kern w:val="0"/>
                      <w:sz w:val="21"/>
                      <w:szCs w:val="21"/>
                      <w:u w:val="none"/>
                      <w:lang w:val="en-US" w:eastAsia="zh-CN" w:bidi="ar"/>
                    </w:rPr>
                    <w:t>待加工产品区</w:t>
                  </w:r>
                  <w:r>
                    <w:rPr>
                      <w:rFonts w:hint="eastAsia" w:ascii="宋体" w:hAnsi="宋体" w:eastAsia="宋体" w:cs="宋体"/>
                      <w:i w:val="0"/>
                      <w:iCs w:val="0"/>
                      <w:color w:val="0000FF"/>
                      <w:kern w:val="0"/>
                      <w:sz w:val="21"/>
                      <w:szCs w:val="21"/>
                      <w:u w:val="none"/>
                      <w:lang w:val="en-US" w:eastAsia="zh-CN" w:bidi="ar"/>
                    </w:rPr>
                    <w:t>、</w:t>
                  </w:r>
                  <w:r>
                    <w:rPr>
                      <w:rFonts w:hint="eastAsia" w:ascii="宋体" w:hAnsi="宋体" w:cs="宋体"/>
                      <w:i w:val="0"/>
                      <w:iCs w:val="0"/>
                      <w:color w:val="0000FF"/>
                      <w:kern w:val="0"/>
                      <w:sz w:val="21"/>
                      <w:szCs w:val="21"/>
                      <w:u w:val="none"/>
                      <w:lang w:val="en-US" w:eastAsia="zh-CN" w:bidi="ar"/>
                    </w:rPr>
                    <w:t>空箱放置区</w:t>
                  </w:r>
                  <w:r>
                    <w:rPr>
                      <w:rFonts w:hint="eastAsia" w:ascii="宋体" w:hAnsi="宋体" w:eastAsia="宋体" w:cs="宋体"/>
                      <w:i w:val="0"/>
                      <w:iCs w:val="0"/>
                      <w:color w:val="0000FF"/>
                      <w:kern w:val="0"/>
                      <w:sz w:val="21"/>
                      <w:szCs w:val="21"/>
                      <w:u w:val="none"/>
                      <w:lang w:val="en-US" w:eastAsia="zh-CN" w:bidi="ar"/>
                    </w:rPr>
                    <w:t>等，主要进行组装操作和</w:t>
                  </w:r>
                  <w:r>
                    <w:rPr>
                      <w:rFonts w:hint="eastAsia" w:ascii="宋体" w:hAnsi="宋体" w:cs="宋体"/>
                      <w:i w:val="0"/>
                      <w:iCs w:val="0"/>
                      <w:color w:val="0000FF"/>
                      <w:kern w:val="0"/>
                      <w:sz w:val="21"/>
                      <w:szCs w:val="21"/>
                      <w:u w:val="none"/>
                      <w:lang w:val="en-US" w:eastAsia="zh-CN" w:bidi="ar"/>
                    </w:rPr>
                    <w:t>放置待加工产品等</w:t>
                  </w:r>
                  <w:r>
                    <w:rPr>
                      <w:rFonts w:hint="eastAsia" w:ascii="宋体" w:hAnsi="宋体" w:eastAsia="宋体" w:cs="宋体"/>
                      <w:i w:val="0"/>
                      <w:iCs w:val="0"/>
                      <w:color w:val="0000FF"/>
                      <w:kern w:val="0"/>
                      <w:sz w:val="21"/>
                      <w:szCs w:val="21"/>
                      <w:u w:val="none"/>
                      <w:lang w:val="en-US" w:eastAsia="zh-CN" w:bidi="ar"/>
                    </w:rPr>
                    <w:t>。</w:t>
                  </w:r>
                </w:p>
              </w:tc>
              <w:tc>
                <w:tcPr>
                  <w:tcW w:w="452" w:type="dxa"/>
                  <w:vMerge w:val="continue"/>
                  <w:noWrap/>
                  <w:vAlign w:val="center"/>
                </w:tcPr>
                <w:p w14:paraId="49E271C6">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45B8513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噪声、废气、固废</w:t>
                  </w:r>
                </w:p>
              </w:tc>
              <w:tc>
                <w:tcPr>
                  <w:tcW w:w="1207" w:type="dxa"/>
                  <w:noWrap w:val="0"/>
                  <w:vAlign w:val="center"/>
                </w:tcPr>
                <w:p w14:paraId="27B14D6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依托</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新建</w:t>
                  </w:r>
                </w:p>
              </w:tc>
            </w:tr>
            <w:tr w14:paraId="69AC7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371" w:type="dxa"/>
                  <w:vMerge w:val="continue"/>
                  <w:noWrap w:val="0"/>
                  <w:vAlign w:val="center"/>
                </w:tcPr>
                <w:p w14:paraId="0F516025">
                  <w:pPr>
                    <w:jc w:val="center"/>
                    <w:rPr>
                      <w:rFonts w:hint="default" w:ascii="Times New Roman" w:hAnsi="Times New Roman" w:eastAsia="宋体" w:cs="Times New Roman"/>
                      <w:i w:val="0"/>
                      <w:iCs w:val="0"/>
                      <w:color w:val="0000FF"/>
                      <w:sz w:val="21"/>
                      <w:szCs w:val="21"/>
                      <w:u w:val="none"/>
                    </w:rPr>
                  </w:pPr>
                </w:p>
              </w:tc>
              <w:tc>
                <w:tcPr>
                  <w:tcW w:w="1307" w:type="dxa"/>
                  <w:gridSpan w:val="2"/>
                  <w:noWrap w:val="0"/>
                  <w:vAlign w:val="center"/>
                </w:tcPr>
                <w:p w14:paraId="16C6E25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3F</w:t>
                  </w:r>
                  <w:r>
                    <w:rPr>
                      <w:rFonts w:hint="eastAsia" w:ascii="宋体" w:hAnsi="宋体" w:eastAsia="宋体" w:cs="宋体"/>
                      <w:i w:val="0"/>
                      <w:iCs w:val="0"/>
                      <w:color w:val="0000FF"/>
                      <w:kern w:val="0"/>
                      <w:sz w:val="21"/>
                      <w:szCs w:val="21"/>
                      <w:u w:val="none"/>
                      <w:lang w:val="en-US" w:eastAsia="zh-CN" w:bidi="ar"/>
                    </w:rPr>
                    <w:t>、</w:t>
                  </w:r>
                  <w:r>
                    <w:rPr>
                      <w:rFonts w:hint="default" w:ascii="Times New Roman" w:hAnsi="Times New Roman" w:eastAsia="宋体" w:cs="Times New Roman"/>
                      <w:i w:val="0"/>
                      <w:iCs w:val="0"/>
                      <w:color w:val="0000FF"/>
                      <w:kern w:val="0"/>
                      <w:sz w:val="21"/>
                      <w:szCs w:val="21"/>
                      <w:u w:val="none"/>
                      <w:lang w:val="en-US" w:eastAsia="zh-CN" w:bidi="ar"/>
                    </w:rPr>
                    <w:t>4F</w:t>
                  </w:r>
                </w:p>
              </w:tc>
              <w:tc>
                <w:tcPr>
                  <w:tcW w:w="4451" w:type="dxa"/>
                  <w:noWrap w:val="0"/>
                  <w:vAlign w:val="center"/>
                </w:tcPr>
                <w:p w14:paraId="0A4B1966">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作为路由器成品房，建筑面积约</w:t>
                  </w:r>
                  <w:r>
                    <w:rPr>
                      <w:rFonts w:hint="default" w:ascii="Times New Roman" w:hAnsi="Times New Roman" w:eastAsia="宋体" w:cs="Times New Roman"/>
                      <w:i w:val="0"/>
                      <w:iCs w:val="0"/>
                      <w:color w:val="0000FF"/>
                      <w:kern w:val="0"/>
                      <w:sz w:val="21"/>
                      <w:szCs w:val="21"/>
                      <w:u w:val="none"/>
                      <w:lang w:val="en-US" w:eastAsia="zh-CN" w:bidi="ar"/>
                    </w:rPr>
                    <w:t>5760m</w:t>
                  </w:r>
                  <w:r>
                    <w:rPr>
                      <w:rFonts w:hint="default" w:ascii="Times New Roman" w:hAnsi="Times New Roman" w:eastAsia="宋体" w:cs="Times New Roman"/>
                      <w:i w:val="0"/>
                      <w:iCs w:val="0"/>
                      <w:color w:val="0000FF"/>
                      <w:kern w:val="0"/>
                      <w:sz w:val="21"/>
                      <w:szCs w:val="21"/>
                      <w:u w:val="none"/>
                      <w:vertAlign w:val="superscript"/>
                      <w:lang w:val="en-US" w:eastAsia="zh-CN" w:bidi="ar"/>
                    </w:rPr>
                    <w:t>2</w:t>
                  </w:r>
                  <w:r>
                    <w:rPr>
                      <w:rFonts w:hint="eastAsia" w:ascii="宋体" w:hAnsi="宋体" w:eastAsia="宋体" w:cs="宋体"/>
                      <w:i w:val="0"/>
                      <w:iCs w:val="0"/>
                      <w:color w:val="0000FF"/>
                      <w:kern w:val="0"/>
                      <w:sz w:val="21"/>
                      <w:szCs w:val="21"/>
                      <w:u w:val="none"/>
                      <w:lang w:val="en-US" w:eastAsia="zh-CN" w:bidi="ar"/>
                    </w:rPr>
                    <w:t>。</w:t>
                  </w:r>
                </w:p>
              </w:tc>
              <w:tc>
                <w:tcPr>
                  <w:tcW w:w="452" w:type="dxa"/>
                  <w:vMerge w:val="continue"/>
                  <w:noWrap/>
                  <w:vAlign w:val="center"/>
                </w:tcPr>
                <w:p w14:paraId="0711915B">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0CDC11C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07" w:type="dxa"/>
                  <w:noWrap w:val="0"/>
                  <w:vAlign w:val="center"/>
                </w:tcPr>
                <w:p w14:paraId="223B37A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依托</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新建</w:t>
                  </w:r>
                </w:p>
              </w:tc>
            </w:tr>
            <w:tr w14:paraId="0F08C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dxa"/>
                  <w:vMerge w:val="continue"/>
                  <w:noWrap w:val="0"/>
                  <w:vAlign w:val="center"/>
                </w:tcPr>
                <w:p w14:paraId="3B485358">
                  <w:pPr>
                    <w:jc w:val="center"/>
                    <w:rPr>
                      <w:rFonts w:hint="default" w:ascii="Times New Roman" w:hAnsi="Times New Roman" w:eastAsia="宋体" w:cs="Times New Roman"/>
                      <w:i w:val="0"/>
                      <w:iCs w:val="0"/>
                      <w:color w:val="0000FF"/>
                      <w:sz w:val="21"/>
                      <w:szCs w:val="21"/>
                      <w:u w:val="none"/>
                    </w:rPr>
                  </w:pPr>
                </w:p>
              </w:tc>
              <w:tc>
                <w:tcPr>
                  <w:tcW w:w="1307" w:type="dxa"/>
                  <w:gridSpan w:val="2"/>
                  <w:noWrap w:val="0"/>
                  <w:vAlign w:val="center"/>
                </w:tcPr>
                <w:p w14:paraId="67B7C7A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5F</w:t>
                  </w:r>
                </w:p>
              </w:tc>
              <w:tc>
                <w:tcPr>
                  <w:tcW w:w="4451" w:type="dxa"/>
                  <w:noWrap w:val="0"/>
                  <w:vAlign w:val="center"/>
                </w:tcPr>
                <w:p w14:paraId="6AD1141E">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空置</w:t>
                  </w:r>
                </w:p>
              </w:tc>
              <w:tc>
                <w:tcPr>
                  <w:tcW w:w="452" w:type="dxa"/>
                  <w:vMerge w:val="continue"/>
                  <w:noWrap/>
                  <w:vAlign w:val="center"/>
                </w:tcPr>
                <w:p w14:paraId="2CED01F3">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4FDDB50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07" w:type="dxa"/>
                  <w:noWrap w:val="0"/>
                  <w:vAlign w:val="center"/>
                </w:tcPr>
                <w:p w14:paraId="4E9AB9F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依托</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新建</w:t>
                  </w:r>
                </w:p>
              </w:tc>
            </w:tr>
            <w:tr w14:paraId="2B02E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1" w:type="dxa"/>
                  <w:vMerge w:val="continue"/>
                  <w:noWrap w:val="0"/>
                  <w:vAlign w:val="center"/>
                </w:tcPr>
                <w:p w14:paraId="78548986">
                  <w:pPr>
                    <w:jc w:val="center"/>
                    <w:rPr>
                      <w:rFonts w:hint="default" w:ascii="Times New Roman" w:hAnsi="Times New Roman" w:eastAsia="宋体" w:cs="Times New Roman"/>
                      <w:i w:val="0"/>
                      <w:iCs w:val="0"/>
                      <w:color w:val="0000FF"/>
                      <w:sz w:val="21"/>
                      <w:szCs w:val="21"/>
                      <w:u w:val="none"/>
                    </w:rPr>
                  </w:pPr>
                </w:p>
              </w:tc>
              <w:tc>
                <w:tcPr>
                  <w:tcW w:w="5758" w:type="dxa"/>
                  <w:gridSpan w:val="3"/>
                  <w:noWrap w:val="0"/>
                  <w:vAlign w:val="center"/>
                </w:tcPr>
                <w:p w14:paraId="6161C40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w:t>
                  </w:r>
                  <w:r>
                    <w:rPr>
                      <w:rFonts w:hint="eastAsia" w:ascii="宋体" w:hAnsi="宋体" w:eastAsia="宋体" w:cs="宋体"/>
                      <w:i w:val="0"/>
                      <w:iCs w:val="0"/>
                      <w:color w:val="0000FF"/>
                      <w:kern w:val="0"/>
                      <w:sz w:val="21"/>
                      <w:szCs w:val="21"/>
                      <w:u w:val="none"/>
                      <w:lang w:val="en-US" w:eastAsia="zh-CN" w:bidi="ar"/>
                    </w:rPr>
                    <w:t>号厂房：建筑面积约</w:t>
                  </w:r>
                  <w:r>
                    <w:rPr>
                      <w:rFonts w:hint="default" w:ascii="Times New Roman" w:hAnsi="Times New Roman" w:eastAsia="宋体" w:cs="Times New Roman"/>
                      <w:i w:val="0"/>
                      <w:iCs w:val="0"/>
                      <w:color w:val="0000FF"/>
                      <w:kern w:val="0"/>
                      <w:sz w:val="21"/>
                      <w:szCs w:val="21"/>
                      <w:u w:val="none"/>
                      <w:lang w:val="en-US" w:eastAsia="zh-CN" w:bidi="ar"/>
                    </w:rPr>
                    <w:t>14400m</w:t>
                  </w:r>
                  <w:r>
                    <w:rPr>
                      <w:rFonts w:hint="default" w:ascii="Times New Roman" w:hAnsi="Times New Roman" w:eastAsia="宋体" w:cs="Times New Roman"/>
                      <w:i w:val="0"/>
                      <w:iCs w:val="0"/>
                      <w:color w:val="0000FF"/>
                      <w:kern w:val="0"/>
                      <w:sz w:val="21"/>
                      <w:szCs w:val="21"/>
                      <w:u w:val="none"/>
                      <w:vertAlign w:val="superscript"/>
                      <w:lang w:val="en-US" w:eastAsia="zh-CN" w:bidi="ar"/>
                    </w:rPr>
                    <w:t>2</w:t>
                  </w:r>
                  <w:r>
                    <w:rPr>
                      <w:rFonts w:hint="eastAsia" w:ascii="宋体" w:hAnsi="宋体" w:eastAsia="宋体" w:cs="宋体"/>
                      <w:i w:val="0"/>
                      <w:iCs w:val="0"/>
                      <w:color w:val="0000FF"/>
                      <w:kern w:val="0"/>
                      <w:sz w:val="21"/>
                      <w:szCs w:val="21"/>
                      <w:u w:val="none"/>
                      <w:lang w:val="en-US" w:eastAsia="zh-CN" w:bidi="ar"/>
                    </w:rPr>
                    <w:t>，</w:t>
                  </w:r>
                  <w:r>
                    <w:rPr>
                      <w:rFonts w:hint="default" w:ascii="Times New Roman" w:hAnsi="Times New Roman" w:eastAsia="宋体" w:cs="Times New Roman"/>
                      <w:i w:val="0"/>
                      <w:iCs w:val="0"/>
                      <w:color w:val="0000FF"/>
                      <w:kern w:val="0"/>
                      <w:sz w:val="21"/>
                      <w:szCs w:val="21"/>
                      <w:u w:val="none"/>
                      <w:lang w:val="en-US" w:eastAsia="zh-CN" w:bidi="ar"/>
                    </w:rPr>
                    <w:t>5F</w:t>
                  </w:r>
                  <w:r>
                    <w:rPr>
                      <w:rFonts w:hint="eastAsia" w:ascii="宋体" w:hAnsi="宋体" w:eastAsia="宋体" w:cs="宋体"/>
                      <w:i w:val="0"/>
                      <w:iCs w:val="0"/>
                      <w:color w:val="0000FF"/>
                      <w:kern w:val="0"/>
                      <w:sz w:val="21"/>
                      <w:szCs w:val="21"/>
                      <w:u w:val="none"/>
                      <w:lang w:val="en-US" w:eastAsia="zh-CN" w:bidi="ar"/>
                    </w:rPr>
                    <w:t>，楼高</w:t>
                  </w:r>
                  <w:r>
                    <w:rPr>
                      <w:rFonts w:hint="default" w:ascii="Times New Roman" w:hAnsi="Times New Roman" w:eastAsia="宋体" w:cs="Times New Roman"/>
                      <w:i w:val="0"/>
                      <w:iCs w:val="0"/>
                      <w:color w:val="0000FF"/>
                      <w:kern w:val="0"/>
                      <w:sz w:val="21"/>
                      <w:szCs w:val="21"/>
                      <w:u w:val="none"/>
                      <w:lang w:val="en-US" w:eastAsia="zh-CN" w:bidi="ar"/>
                    </w:rPr>
                    <w:t>29.7m</w:t>
                  </w:r>
                  <w:r>
                    <w:rPr>
                      <w:rFonts w:hint="eastAsia" w:ascii="宋体" w:hAnsi="宋体" w:eastAsia="宋体" w:cs="宋体"/>
                      <w:i w:val="0"/>
                      <w:iCs w:val="0"/>
                      <w:color w:val="0000FF"/>
                      <w:kern w:val="0"/>
                      <w:sz w:val="21"/>
                      <w:szCs w:val="21"/>
                      <w:u w:val="none"/>
                      <w:lang w:val="en-US" w:eastAsia="zh-CN" w:bidi="ar"/>
                    </w:rPr>
                    <w:t>。厂房内布设</w:t>
                  </w:r>
                  <w:r>
                    <w:rPr>
                      <w:rFonts w:hint="default" w:ascii="Times New Roman" w:hAnsi="Times New Roman" w:eastAsia="宋体" w:cs="Times New Roman"/>
                      <w:i w:val="0"/>
                      <w:iCs w:val="0"/>
                      <w:color w:val="0000FF"/>
                      <w:kern w:val="0"/>
                      <w:sz w:val="21"/>
                      <w:szCs w:val="21"/>
                      <w:u w:val="none"/>
                      <w:lang w:val="en-US" w:eastAsia="zh-CN" w:bidi="ar"/>
                    </w:rPr>
                    <w:t>4</w:t>
                  </w:r>
                  <w:r>
                    <w:rPr>
                      <w:rFonts w:hint="eastAsia" w:ascii="宋体" w:hAnsi="宋体" w:eastAsia="宋体" w:cs="宋体"/>
                      <w:i w:val="0"/>
                      <w:iCs w:val="0"/>
                      <w:color w:val="0000FF"/>
                      <w:kern w:val="0"/>
                      <w:sz w:val="21"/>
                      <w:szCs w:val="21"/>
                      <w:u w:val="none"/>
                      <w:lang w:val="en-US" w:eastAsia="zh-CN" w:bidi="ar"/>
                    </w:rPr>
                    <w:t>条注塑生产线，进行手机充电器塑胶外壳注塑工艺，年产</w:t>
                  </w:r>
                  <w:r>
                    <w:rPr>
                      <w:rFonts w:hint="default" w:ascii="Times New Roman" w:hAnsi="Times New Roman" w:eastAsia="宋体" w:cs="Times New Roman"/>
                      <w:i w:val="0"/>
                      <w:iCs w:val="0"/>
                      <w:color w:val="0000FF"/>
                      <w:kern w:val="0"/>
                      <w:sz w:val="21"/>
                      <w:szCs w:val="21"/>
                      <w:u w:val="none"/>
                      <w:lang w:val="en-US" w:eastAsia="zh-CN" w:bidi="ar"/>
                    </w:rPr>
                    <w:t>15000</w:t>
                  </w:r>
                  <w:r>
                    <w:rPr>
                      <w:rFonts w:hint="eastAsia" w:ascii="宋体" w:hAnsi="宋体" w:eastAsia="宋体" w:cs="宋体"/>
                      <w:i w:val="0"/>
                      <w:iCs w:val="0"/>
                      <w:color w:val="0000FF"/>
                      <w:kern w:val="0"/>
                      <w:sz w:val="21"/>
                      <w:szCs w:val="21"/>
                      <w:u w:val="none"/>
                      <w:lang w:val="en-US" w:eastAsia="zh-CN" w:bidi="ar"/>
                    </w:rPr>
                    <w:t>万件。</w:t>
                  </w:r>
                </w:p>
              </w:tc>
              <w:tc>
                <w:tcPr>
                  <w:tcW w:w="452" w:type="dxa"/>
                  <w:vMerge w:val="continue"/>
                  <w:noWrap/>
                  <w:vAlign w:val="center"/>
                </w:tcPr>
                <w:p w14:paraId="3B4216AD">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58A65D1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噪声、废气、固废</w:t>
                  </w:r>
                </w:p>
              </w:tc>
              <w:tc>
                <w:tcPr>
                  <w:tcW w:w="1207" w:type="dxa"/>
                  <w:noWrap w:val="0"/>
                  <w:vAlign w:val="center"/>
                </w:tcPr>
                <w:p w14:paraId="534B4D9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依托</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新建</w:t>
                  </w:r>
                </w:p>
              </w:tc>
            </w:tr>
            <w:tr w14:paraId="0C355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371" w:type="dxa"/>
                  <w:vMerge w:val="continue"/>
                  <w:noWrap w:val="0"/>
                  <w:vAlign w:val="center"/>
                </w:tcPr>
                <w:p w14:paraId="5B35F1D8">
                  <w:pPr>
                    <w:jc w:val="center"/>
                    <w:rPr>
                      <w:rFonts w:hint="default" w:ascii="Times New Roman" w:hAnsi="Times New Roman" w:eastAsia="宋体" w:cs="Times New Roman"/>
                      <w:i w:val="0"/>
                      <w:iCs w:val="0"/>
                      <w:color w:val="0000FF"/>
                      <w:sz w:val="21"/>
                      <w:szCs w:val="21"/>
                      <w:u w:val="none"/>
                    </w:rPr>
                  </w:pPr>
                </w:p>
              </w:tc>
              <w:tc>
                <w:tcPr>
                  <w:tcW w:w="1307" w:type="dxa"/>
                  <w:gridSpan w:val="2"/>
                  <w:noWrap w:val="0"/>
                  <w:vAlign w:val="center"/>
                </w:tcPr>
                <w:p w14:paraId="4151061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1F</w:t>
                  </w:r>
                </w:p>
              </w:tc>
              <w:tc>
                <w:tcPr>
                  <w:tcW w:w="4451" w:type="dxa"/>
                  <w:noWrap w:val="0"/>
                  <w:vAlign w:val="center"/>
                </w:tcPr>
                <w:p w14:paraId="695F36C0">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建筑面积约</w:t>
                  </w:r>
                  <w:r>
                    <w:rPr>
                      <w:rFonts w:hint="default" w:ascii="Times New Roman" w:hAnsi="Times New Roman" w:eastAsia="宋体" w:cs="Times New Roman"/>
                      <w:i w:val="0"/>
                      <w:iCs w:val="0"/>
                      <w:color w:val="0000FF"/>
                      <w:kern w:val="0"/>
                      <w:sz w:val="21"/>
                      <w:szCs w:val="21"/>
                      <w:u w:val="none"/>
                      <w:lang w:val="en-US" w:eastAsia="zh-CN" w:bidi="ar"/>
                    </w:rPr>
                    <w:t>2880m</w:t>
                  </w:r>
                  <w:r>
                    <w:rPr>
                      <w:rFonts w:hint="default" w:ascii="Times New Roman" w:hAnsi="Times New Roman" w:eastAsia="宋体" w:cs="Times New Roman"/>
                      <w:i w:val="0"/>
                      <w:iCs w:val="0"/>
                      <w:color w:val="0000FF"/>
                      <w:kern w:val="0"/>
                      <w:sz w:val="21"/>
                      <w:szCs w:val="21"/>
                      <w:u w:val="none"/>
                      <w:vertAlign w:val="superscript"/>
                      <w:lang w:val="en-US" w:eastAsia="zh-CN" w:bidi="ar"/>
                    </w:rPr>
                    <w:t>2</w:t>
                  </w:r>
                  <w:r>
                    <w:rPr>
                      <w:rFonts w:hint="eastAsia" w:ascii="宋体" w:hAnsi="宋体" w:eastAsia="宋体" w:cs="宋体"/>
                      <w:i w:val="0"/>
                      <w:iCs w:val="0"/>
                      <w:color w:val="0000FF"/>
                      <w:kern w:val="0"/>
                      <w:sz w:val="21"/>
                      <w:szCs w:val="21"/>
                      <w:u w:val="none"/>
                      <w:lang w:val="en-US" w:eastAsia="zh-CN" w:bidi="ar"/>
                    </w:rPr>
                    <w:t>，主要布置手机充电器塑胶外壳注塑生产线</w:t>
                  </w:r>
                  <w:r>
                    <w:rPr>
                      <w:rFonts w:hint="default" w:ascii="Times New Roman" w:hAnsi="Times New Roman" w:eastAsia="宋体" w:cs="Times New Roman"/>
                      <w:i w:val="0"/>
                      <w:iCs w:val="0"/>
                      <w:color w:val="0000FF"/>
                      <w:kern w:val="0"/>
                      <w:sz w:val="21"/>
                      <w:szCs w:val="21"/>
                      <w:u w:val="none"/>
                      <w:lang w:val="en-US" w:eastAsia="zh-CN" w:bidi="ar"/>
                    </w:rPr>
                    <w:t>4</w:t>
                  </w:r>
                  <w:r>
                    <w:rPr>
                      <w:rFonts w:hint="eastAsia" w:ascii="宋体" w:hAnsi="宋体" w:eastAsia="宋体" w:cs="宋体"/>
                      <w:i w:val="0"/>
                      <w:iCs w:val="0"/>
                      <w:color w:val="0000FF"/>
                      <w:kern w:val="0"/>
                      <w:sz w:val="21"/>
                      <w:szCs w:val="21"/>
                      <w:u w:val="none"/>
                      <w:lang w:val="en-US" w:eastAsia="zh-CN" w:bidi="ar"/>
                    </w:rPr>
                    <w:t>条</w:t>
                  </w:r>
                  <w:r>
                    <w:rPr>
                      <w:rFonts w:hint="eastAsia" w:ascii="宋体" w:hAnsi="宋体" w:cs="宋体"/>
                      <w:i w:val="0"/>
                      <w:iCs w:val="0"/>
                      <w:color w:val="0000FF"/>
                      <w:kern w:val="0"/>
                      <w:sz w:val="21"/>
                      <w:szCs w:val="21"/>
                      <w:u w:val="none"/>
                      <w:lang w:val="en-US" w:eastAsia="zh-CN" w:bidi="ar"/>
                    </w:rPr>
                    <w:t>及</w:t>
                  </w:r>
                  <w:r>
                    <w:rPr>
                      <w:rFonts w:hint="eastAsia" w:ascii="宋体" w:hAnsi="宋体" w:eastAsia="宋体" w:cs="宋体"/>
                      <w:i w:val="0"/>
                      <w:iCs w:val="0"/>
                      <w:color w:val="0000FF"/>
                      <w:kern w:val="0"/>
                      <w:sz w:val="21"/>
                      <w:szCs w:val="21"/>
                      <w:u w:val="none"/>
                      <w:lang w:val="en-US" w:eastAsia="zh-CN" w:bidi="ar"/>
                    </w:rPr>
                    <w:t>配套设备。主要进行手机充电器塑胶外壳产品注塑和加工，年产塑胶外壳</w:t>
                  </w:r>
                  <w:r>
                    <w:rPr>
                      <w:rFonts w:hint="default" w:ascii="Times New Roman" w:hAnsi="Times New Roman" w:eastAsia="宋体" w:cs="Times New Roman"/>
                      <w:i w:val="0"/>
                      <w:iCs w:val="0"/>
                      <w:color w:val="0000FF"/>
                      <w:kern w:val="0"/>
                      <w:sz w:val="21"/>
                      <w:szCs w:val="21"/>
                      <w:u w:val="none"/>
                      <w:lang w:val="en-US" w:eastAsia="zh-CN" w:bidi="ar"/>
                    </w:rPr>
                    <w:t>15000</w:t>
                  </w:r>
                  <w:r>
                    <w:rPr>
                      <w:rFonts w:hint="eastAsia" w:ascii="宋体" w:hAnsi="宋体" w:eastAsia="宋体" w:cs="宋体"/>
                      <w:i w:val="0"/>
                      <w:iCs w:val="0"/>
                      <w:color w:val="0000FF"/>
                      <w:kern w:val="0"/>
                      <w:sz w:val="21"/>
                      <w:szCs w:val="21"/>
                      <w:u w:val="none"/>
                      <w:lang w:val="en-US" w:eastAsia="zh-CN" w:bidi="ar"/>
                    </w:rPr>
                    <w:t>万件。</w:t>
                  </w:r>
                </w:p>
              </w:tc>
              <w:tc>
                <w:tcPr>
                  <w:tcW w:w="452" w:type="dxa"/>
                  <w:vMerge w:val="continue"/>
                  <w:noWrap/>
                  <w:vAlign w:val="center"/>
                </w:tcPr>
                <w:p w14:paraId="51785E2B">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43EA5C4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噪声、废气、固废</w:t>
                  </w:r>
                </w:p>
              </w:tc>
              <w:tc>
                <w:tcPr>
                  <w:tcW w:w="1207" w:type="dxa"/>
                  <w:noWrap w:val="0"/>
                  <w:vAlign w:val="center"/>
                </w:tcPr>
                <w:p w14:paraId="4D41E3F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依托</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新建</w:t>
                  </w:r>
                </w:p>
              </w:tc>
            </w:tr>
            <w:tr w14:paraId="6DB2C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371" w:type="dxa"/>
                  <w:vMerge w:val="continue"/>
                  <w:noWrap w:val="0"/>
                  <w:vAlign w:val="center"/>
                </w:tcPr>
                <w:p w14:paraId="46D1C223">
                  <w:pPr>
                    <w:jc w:val="center"/>
                    <w:rPr>
                      <w:rFonts w:hint="default" w:ascii="Times New Roman" w:hAnsi="Times New Roman" w:eastAsia="宋体" w:cs="Times New Roman"/>
                      <w:i w:val="0"/>
                      <w:iCs w:val="0"/>
                      <w:color w:val="0000FF"/>
                      <w:sz w:val="21"/>
                      <w:szCs w:val="21"/>
                      <w:u w:val="none"/>
                    </w:rPr>
                  </w:pPr>
                </w:p>
              </w:tc>
              <w:tc>
                <w:tcPr>
                  <w:tcW w:w="1307" w:type="dxa"/>
                  <w:gridSpan w:val="2"/>
                  <w:noWrap w:val="0"/>
                  <w:vAlign w:val="center"/>
                </w:tcPr>
                <w:p w14:paraId="648C831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2F</w:t>
                  </w:r>
                </w:p>
              </w:tc>
              <w:tc>
                <w:tcPr>
                  <w:tcW w:w="4451" w:type="dxa"/>
                  <w:noWrap w:val="0"/>
                  <w:vAlign w:val="center"/>
                </w:tcPr>
                <w:p w14:paraId="2F5A9501">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建筑面积约</w:t>
                  </w:r>
                  <w:r>
                    <w:rPr>
                      <w:rFonts w:hint="default" w:ascii="Times New Roman" w:hAnsi="Times New Roman" w:eastAsia="宋体" w:cs="Times New Roman"/>
                      <w:i w:val="0"/>
                      <w:iCs w:val="0"/>
                      <w:color w:val="0000FF"/>
                      <w:kern w:val="0"/>
                      <w:sz w:val="21"/>
                      <w:szCs w:val="21"/>
                      <w:u w:val="none"/>
                      <w:lang w:val="en-US" w:eastAsia="zh-CN" w:bidi="ar"/>
                    </w:rPr>
                    <w:t>2880m</w:t>
                  </w:r>
                  <w:r>
                    <w:rPr>
                      <w:rFonts w:hint="default" w:ascii="Times New Roman" w:hAnsi="Times New Roman" w:eastAsia="宋体" w:cs="Times New Roman"/>
                      <w:i w:val="0"/>
                      <w:iCs w:val="0"/>
                      <w:color w:val="0000FF"/>
                      <w:kern w:val="0"/>
                      <w:sz w:val="21"/>
                      <w:szCs w:val="21"/>
                      <w:u w:val="none"/>
                      <w:vertAlign w:val="superscript"/>
                      <w:lang w:val="en-US" w:eastAsia="zh-CN" w:bidi="ar"/>
                    </w:rPr>
                    <w:t>2</w:t>
                  </w:r>
                  <w:r>
                    <w:rPr>
                      <w:rFonts w:hint="eastAsia" w:ascii="宋体" w:hAnsi="宋体" w:eastAsia="宋体" w:cs="宋体"/>
                      <w:i w:val="0"/>
                      <w:iCs w:val="0"/>
                      <w:color w:val="0000FF"/>
                      <w:kern w:val="0"/>
                      <w:sz w:val="21"/>
                      <w:szCs w:val="21"/>
                      <w:u w:val="none"/>
                      <w:lang w:val="en-US" w:eastAsia="zh-CN" w:bidi="ar"/>
                    </w:rPr>
                    <w:t>，主要布置原材料仓库、五金仓库等；同时设置办公场所。</w:t>
                  </w:r>
                </w:p>
              </w:tc>
              <w:tc>
                <w:tcPr>
                  <w:tcW w:w="452" w:type="dxa"/>
                  <w:vMerge w:val="continue"/>
                  <w:noWrap/>
                  <w:vAlign w:val="center"/>
                </w:tcPr>
                <w:p w14:paraId="09029FEA">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1C064C4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噪声、废水、固废</w:t>
                  </w:r>
                </w:p>
              </w:tc>
              <w:tc>
                <w:tcPr>
                  <w:tcW w:w="1207" w:type="dxa"/>
                  <w:noWrap w:val="0"/>
                  <w:vAlign w:val="center"/>
                </w:tcPr>
                <w:p w14:paraId="78BAB84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依托</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新建</w:t>
                  </w:r>
                </w:p>
              </w:tc>
            </w:tr>
            <w:tr w14:paraId="3736A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371" w:type="dxa"/>
                  <w:vMerge w:val="continue"/>
                  <w:noWrap w:val="0"/>
                  <w:vAlign w:val="center"/>
                </w:tcPr>
                <w:p w14:paraId="5C98BEBD">
                  <w:pPr>
                    <w:jc w:val="center"/>
                    <w:rPr>
                      <w:rFonts w:hint="default" w:ascii="Times New Roman" w:hAnsi="Times New Roman" w:eastAsia="宋体" w:cs="Times New Roman"/>
                      <w:i w:val="0"/>
                      <w:iCs w:val="0"/>
                      <w:color w:val="0000FF"/>
                      <w:sz w:val="21"/>
                      <w:szCs w:val="21"/>
                      <w:u w:val="none"/>
                    </w:rPr>
                  </w:pPr>
                </w:p>
              </w:tc>
              <w:tc>
                <w:tcPr>
                  <w:tcW w:w="1307" w:type="dxa"/>
                  <w:gridSpan w:val="2"/>
                  <w:noWrap w:val="0"/>
                  <w:vAlign w:val="center"/>
                </w:tcPr>
                <w:p w14:paraId="693A378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3F</w:t>
                  </w:r>
                  <w:r>
                    <w:rPr>
                      <w:rFonts w:hint="eastAsia" w:ascii="宋体" w:hAnsi="宋体" w:eastAsia="宋体" w:cs="宋体"/>
                      <w:i w:val="0"/>
                      <w:iCs w:val="0"/>
                      <w:color w:val="0000FF"/>
                      <w:kern w:val="0"/>
                      <w:sz w:val="21"/>
                      <w:szCs w:val="21"/>
                      <w:u w:val="none"/>
                      <w:lang w:val="en-US" w:eastAsia="zh-CN" w:bidi="ar"/>
                    </w:rPr>
                    <w:t>、</w:t>
                  </w:r>
                  <w:r>
                    <w:rPr>
                      <w:rFonts w:hint="default" w:ascii="Times New Roman" w:hAnsi="Times New Roman" w:eastAsia="宋体" w:cs="Times New Roman"/>
                      <w:i w:val="0"/>
                      <w:iCs w:val="0"/>
                      <w:color w:val="0000FF"/>
                      <w:kern w:val="0"/>
                      <w:sz w:val="21"/>
                      <w:szCs w:val="21"/>
                      <w:u w:val="none"/>
                      <w:lang w:val="en-US" w:eastAsia="zh-CN" w:bidi="ar"/>
                    </w:rPr>
                    <w:t>4F</w:t>
                  </w:r>
                </w:p>
              </w:tc>
              <w:tc>
                <w:tcPr>
                  <w:tcW w:w="4451" w:type="dxa"/>
                  <w:noWrap w:val="0"/>
                  <w:vAlign w:val="center"/>
                </w:tcPr>
                <w:p w14:paraId="27F9BA20">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作为手机充电器塑胶外壳成品房，建筑面积约</w:t>
                  </w:r>
                  <w:r>
                    <w:rPr>
                      <w:rFonts w:hint="default" w:ascii="Times New Roman" w:hAnsi="Times New Roman" w:eastAsia="宋体" w:cs="Times New Roman"/>
                      <w:i w:val="0"/>
                      <w:iCs w:val="0"/>
                      <w:color w:val="0000FF"/>
                      <w:kern w:val="0"/>
                      <w:sz w:val="21"/>
                      <w:szCs w:val="21"/>
                      <w:u w:val="none"/>
                      <w:lang w:val="en-US" w:eastAsia="zh-CN" w:bidi="ar"/>
                    </w:rPr>
                    <w:t>5760m</w:t>
                  </w:r>
                  <w:r>
                    <w:rPr>
                      <w:rFonts w:hint="default" w:ascii="Times New Roman" w:hAnsi="Times New Roman" w:eastAsia="宋体" w:cs="Times New Roman"/>
                      <w:i w:val="0"/>
                      <w:iCs w:val="0"/>
                      <w:color w:val="0000FF"/>
                      <w:kern w:val="0"/>
                      <w:sz w:val="21"/>
                      <w:szCs w:val="21"/>
                      <w:u w:val="none"/>
                      <w:vertAlign w:val="superscript"/>
                      <w:lang w:val="en-US" w:eastAsia="zh-CN" w:bidi="ar"/>
                    </w:rPr>
                    <w:t>2</w:t>
                  </w:r>
                  <w:r>
                    <w:rPr>
                      <w:rFonts w:hint="eastAsia" w:ascii="宋体" w:hAnsi="宋体" w:eastAsia="宋体" w:cs="宋体"/>
                      <w:i w:val="0"/>
                      <w:iCs w:val="0"/>
                      <w:color w:val="0000FF"/>
                      <w:kern w:val="0"/>
                      <w:sz w:val="21"/>
                      <w:szCs w:val="21"/>
                      <w:u w:val="none"/>
                      <w:lang w:val="en-US" w:eastAsia="zh-CN" w:bidi="ar"/>
                    </w:rPr>
                    <w:t>。</w:t>
                  </w:r>
                </w:p>
              </w:tc>
              <w:tc>
                <w:tcPr>
                  <w:tcW w:w="452" w:type="dxa"/>
                  <w:vMerge w:val="continue"/>
                  <w:noWrap/>
                  <w:vAlign w:val="center"/>
                </w:tcPr>
                <w:p w14:paraId="3E5831C8">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36FE2D8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07" w:type="dxa"/>
                  <w:noWrap w:val="0"/>
                  <w:vAlign w:val="center"/>
                </w:tcPr>
                <w:p w14:paraId="1CD2FD8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依托</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新建</w:t>
                  </w:r>
                </w:p>
              </w:tc>
            </w:tr>
            <w:tr w14:paraId="25F4B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dxa"/>
                  <w:vMerge w:val="continue"/>
                  <w:noWrap w:val="0"/>
                  <w:vAlign w:val="center"/>
                </w:tcPr>
                <w:p w14:paraId="483B1880">
                  <w:pPr>
                    <w:jc w:val="center"/>
                    <w:rPr>
                      <w:rFonts w:hint="default" w:ascii="Times New Roman" w:hAnsi="Times New Roman" w:eastAsia="宋体" w:cs="Times New Roman"/>
                      <w:i w:val="0"/>
                      <w:iCs w:val="0"/>
                      <w:color w:val="0000FF"/>
                      <w:sz w:val="21"/>
                      <w:szCs w:val="21"/>
                      <w:u w:val="none"/>
                    </w:rPr>
                  </w:pPr>
                </w:p>
              </w:tc>
              <w:tc>
                <w:tcPr>
                  <w:tcW w:w="1307" w:type="dxa"/>
                  <w:gridSpan w:val="2"/>
                  <w:noWrap w:val="0"/>
                  <w:vAlign w:val="center"/>
                </w:tcPr>
                <w:p w14:paraId="2878B41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5F</w:t>
                  </w:r>
                </w:p>
              </w:tc>
              <w:tc>
                <w:tcPr>
                  <w:tcW w:w="4451" w:type="dxa"/>
                  <w:noWrap w:val="0"/>
                  <w:vAlign w:val="center"/>
                </w:tcPr>
                <w:p w14:paraId="67F675E5">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空置</w:t>
                  </w:r>
                </w:p>
              </w:tc>
              <w:tc>
                <w:tcPr>
                  <w:tcW w:w="452" w:type="dxa"/>
                  <w:vMerge w:val="continue"/>
                  <w:noWrap/>
                  <w:vAlign w:val="center"/>
                </w:tcPr>
                <w:p w14:paraId="338A200F">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5B23784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07" w:type="dxa"/>
                  <w:noWrap w:val="0"/>
                  <w:vAlign w:val="center"/>
                </w:tcPr>
                <w:p w14:paraId="1F14B05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依托</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新建</w:t>
                  </w:r>
                </w:p>
              </w:tc>
            </w:tr>
            <w:tr w14:paraId="493D3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1" w:type="dxa"/>
                  <w:vMerge w:val="restart"/>
                  <w:noWrap w:val="0"/>
                  <w:vAlign w:val="center"/>
                </w:tcPr>
                <w:p w14:paraId="09FD762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辅助工程</w:t>
                  </w:r>
                </w:p>
              </w:tc>
              <w:tc>
                <w:tcPr>
                  <w:tcW w:w="5758" w:type="dxa"/>
                  <w:gridSpan w:val="3"/>
                  <w:noWrap w:val="0"/>
                  <w:vAlign w:val="center"/>
                </w:tcPr>
                <w:p w14:paraId="01EEEF0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lang w:val="en-US"/>
                    </w:rPr>
                  </w:pPr>
                  <w:r>
                    <w:rPr>
                      <w:rFonts w:hint="default" w:ascii="Times New Roman" w:hAnsi="Times New Roman" w:eastAsia="宋体" w:cs="Times New Roman"/>
                      <w:i w:val="0"/>
                      <w:iCs w:val="0"/>
                      <w:color w:val="0000FF"/>
                      <w:kern w:val="0"/>
                      <w:sz w:val="21"/>
                      <w:szCs w:val="21"/>
                      <w:u w:val="none"/>
                      <w:lang w:val="en-US" w:eastAsia="zh-CN" w:bidi="ar"/>
                    </w:rPr>
                    <w:t>1</w:t>
                  </w:r>
                  <w:r>
                    <w:rPr>
                      <w:rFonts w:hint="eastAsia" w:ascii="宋体" w:hAnsi="宋体" w:eastAsia="宋体" w:cs="宋体"/>
                      <w:i w:val="0"/>
                      <w:iCs w:val="0"/>
                      <w:color w:val="0000FF"/>
                      <w:kern w:val="0"/>
                      <w:sz w:val="21"/>
                      <w:szCs w:val="21"/>
                      <w:u w:val="none"/>
                      <w:lang w:val="en-US" w:eastAsia="zh-CN" w:bidi="ar"/>
                    </w:rPr>
                    <w:t>号厂房</w:t>
                  </w:r>
                </w:p>
              </w:tc>
              <w:tc>
                <w:tcPr>
                  <w:tcW w:w="452" w:type="dxa"/>
                  <w:vMerge w:val="continue"/>
                  <w:noWrap/>
                  <w:vAlign w:val="center"/>
                </w:tcPr>
                <w:p w14:paraId="3193FDEB">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3E9B46C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07" w:type="dxa"/>
                  <w:noWrap w:val="0"/>
                  <w:vAlign w:val="center"/>
                </w:tcPr>
                <w:p w14:paraId="03A6D28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r>
            <w:tr w14:paraId="40C19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1" w:type="dxa"/>
                  <w:vMerge w:val="continue"/>
                  <w:noWrap w:val="0"/>
                  <w:vAlign w:val="center"/>
                </w:tcPr>
                <w:p w14:paraId="062F7E60">
                  <w:pPr>
                    <w:jc w:val="center"/>
                    <w:rPr>
                      <w:rFonts w:hint="default" w:ascii="Times New Roman" w:hAnsi="Times New Roman" w:eastAsia="宋体" w:cs="Times New Roman"/>
                      <w:i w:val="0"/>
                      <w:iCs w:val="0"/>
                      <w:color w:val="0000FF"/>
                      <w:sz w:val="21"/>
                      <w:szCs w:val="21"/>
                      <w:u w:val="none"/>
                    </w:rPr>
                  </w:pPr>
                </w:p>
              </w:tc>
              <w:tc>
                <w:tcPr>
                  <w:tcW w:w="1307" w:type="dxa"/>
                  <w:gridSpan w:val="2"/>
                  <w:noWrap w:val="0"/>
                  <w:vAlign w:val="center"/>
                </w:tcPr>
                <w:p w14:paraId="5C49455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检验区</w:t>
                  </w:r>
                </w:p>
              </w:tc>
              <w:tc>
                <w:tcPr>
                  <w:tcW w:w="4451" w:type="dxa"/>
                  <w:noWrap w:val="0"/>
                  <w:vAlign w:val="center"/>
                </w:tcPr>
                <w:p w14:paraId="003CDE74">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r>
                    <w:rPr>
                      <w:rFonts w:hint="eastAsia" w:ascii="宋体" w:hAnsi="宋体" w:eastAsia="宋体" w:cs="宋体"/>
                      <w:i w:val="0"/>
                      <w:iCs w:val="0"/>
                      <w:color w:val="0000FF"/>
                      <w:kern w:val="0"/>
                      <w:sz w:val="21"/>
                      <w:szCs w:val="21"/>
                      <w:u w:val="none"/>
                      <w:lang w:val="en-US" w:eastAsia="zh-CN" w:bidi="ar"/>
                    </w:rPr>
                    <w:t>号厂房</w:t>
                  </w:r>
                  <w:r>
                    <w:rPr>
                      <w:rFonts w:hint="default" w:ascii="Times New Roman" w:hAnsi="Times New Roman" w:eastAsia="宋体" w:cs="Times New Roman"/>
                      <w:i w:val="0"/>
                      <w:iCs w:val="0"/>
                      <w:color w:val="0000FF"/>
                      <w:kern w:val="0"/>
                      <w:sz w:val="21"/>
                      <w:szCs w:val="21"/>
                      <w:u w:val="none"/>
                      <w:lang w:val="en-US" w:eastAsia="zh-CN" w:bidi="ar"/>
                    </w:rPr>
                    <w:t>1F</w:t>
                  </w:r>
                  <w:r>
                    <w:rPr>
                      <w:rFonts w:hint="eastAsia" w:ascii="宋体" w:hAnsi="宋体" w:eastAsia="宋体" w:cs="宋体"/>
                      <w:i w:val="0"/>
                      <w:iCs w:val="0"/>
                      <w:color w:val="0000FF"/>
                      <w:kern w:val="0"/>
                      <w:sz w:val="21"/>
                      <w:szCs w:val="21"/>
                      <w:u w:val="none"/>
                      <w:lang w:val="en-US" w:eastAsia="zh-CN" w:bidi="ar"/>
                    </w:rPr>
                    <w:t>，布置有盐雾实验室、品质测量室、</w:t>
                  </w:r>
                  <w:r>
                    <w:rPr>
                      <w:rFonts w:hint="default" w:ascii="Times New Roman" w:hAnsi="Times New Roman" w:eastAsia="宋体" w:cs="Times New Roman"/>
                      <w:i w:val="0"/>
                      <w:iCs w:val="0"/>
                      <w:color w:val="0000FF"/>
                      <w:kern w:val="0"/>
                      <w:sz w:val="21"/>
                      <w:szCs w:val="21"/>
                      <w:u w:val="none"/>
                      <w:lang w:val="en-US" w:eastAsia="zh-CN" w:bidi="ar"/>
                    </w:rPr>
                    <w:t>OQC</w:t>
                  </w:r>
                  <w:r>
                    <w:rPr>
                      <w:rFonts w:hint="eastAsia" w:ascii="宋体" w:hAnsi="宋体" w:eastAsia="宋体" w:cs="宋体"/>
                      <w:i w:val="0"/>
                      <w:iCs w:val="0"/>
                      <w:color w:val="0000FF"/>
                      <w:kern w:val="0"/>
                      <w:sz w:val="21"/>
                      <w:szCs w:val="21"/>
                      <w:u w:val="none"/>
                      <w:lang w:val="en-US" w:eastAsia="zh-CN" w:bidi="ar"/>
                    </w:rPr>
                    <w:t>检查区等。主要对产品进行物理检验。</w:t>
                  </w:r>
                </w:p>
              </w:tc>
              <w:tc>
                <w:tcPr>
                  <w:tcW w:w="452" w:type="dxa"/>
                  <w:vMerge w:val="continue"/>
                  <w:noWrap/>
                  <w:vAlign w:val="center"/>
                </w:tcPr>
                <w:p w14:paraId="4B3E9315">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04D4EAF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噪声、固废、废水</w:t>
                  </w:r>
                </w:p>
              </w:tc>
              <w:tc>
                <w:tcPr>
                  <w:tcW w:w="1207" w:type="dxa"/>
                  <w:noWrap w:val="0"/>
                  <w:vAlign w:val="center"/>
                </w:tcPr>
                <w:p w14:paraId="38E4D0B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依托</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新建</w:t>
                  </w:r>
                </w:p>
              </w:tc>
            </w:tr>
            <w:tr w14:paraId="69DC4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1" w:type="dxa"/>
                  <w:vMerge w:val="continue"/>
                  <w:noWrap w:val="0"/>
                  <w:vAlign w:val="center"/>
                </w:tcPr>
                <w:p w14:paraId="79CA8054">
                  <w:pPr>
                    <w:jc w:val="center"/>
                    <w:rPr>
                      <w:rFonts w:hint="default" w:ascii="Times New Roman" w:hAnsi="Times New Roman" w:eastAsia="宋体" w:cs="Times New Roman"/>
                      <w:i w:val="0"/>
                      <w:iCs w:val="0"/>
                      <w:color w:val="0000FF"/>
                      <w:sz w:val="21"/>
                      <w:szCs w:val="21"/>
                      <w:u w:val="none"/>
                    </w:rPr>
                  </w:pPr>
                </w:p>
              </w:tc>
              <w:tc>
                <w:tcPr>
                  <w:tcW w:w="1307" w:type="dxa"/>
                  <w:gridSpan w:val="2"/>
                  <w:noWrap w:val="0"/>
                  <w:vAlign w:val="center"/>
                </w:tcPr>
                <w:p w14:paraId="0BB752E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模具备件房</w:t>
                  </w:r>
                </w:p>
              </w:tc>
              <w:tc>
                <w:tcPr>
                  <w:tcW w:w="4451" w:type="dxa"/>
                  <w:noWrap w:val="0"/>
                  <w:vAlign w:val="center"/>
                </w:tcPr>
                <w:p w14:paraId="51D601CA">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r>
                    <w:rPr>
                      <w:rFonts w:hint="eastAsia" w:ascii="宋体" w:hAnsi="宋体" w:eastAsia="宋体" w:cs="宋体"/>
                      <w:i w:val="0"/>
                      <w:iCs w:val="0"/>
                      <w:color w:val="0000FF"/>
                      <w:kern w:val="0"/>
                      <w:sz w:val="21"/>
                      <w:szCs w:val="21"/>
                      <w:u w:val="none"/>
                      <w:lang w:val="en-US" w:eastAsia="zh-CN" w:bidi="ar"/>
                    </w:rPr>
                    <w:t>号厂房</w:t>
                  </w:r>
                  <w:r>
                    <w:rPr>
                      <w:rFonts w:hint="default" w:ascii="Times New Roman" w:hAnsi="Times New Roman" w:eastAsia="宋体" w:cs="Times New Roman"/>
                      <w:i w:val="0"/>
                      <w:iCs w:val="0"/>
                      <w:color w:val="0000FF"/>
                      <w:kern w:val="0"/>
                      <w:sz w:val="21"/>
                      <w:szCs w:val="21"/>
                      <w:u w:val="none"/>
                      <w:lang w:val="en-US" w:eastAsia="zh-CN" w:bidi="ar"/>
                    </w:rPr>
                    <w:t>1F</w:t>
                  </w:r>
                  <w:r>
                    <w:rPr>
                      <w:rFonts w:hint="eastAsia" w:ascii="宋体" w:hAnsi="宋体" w:eastAsia="宋体" w:cs="宋体"/>
                      <w:i w:val="0"/>
                      <w:iCs w:val="0"/>
                      <w:color w:val="0000FF"/>
                      <w:kern w:val="0"/>
                      <w:sz w:val="21"/>
                      <w:szCs w:val="21"/>
                      <w:u w:val="none"/>
                      <w:lang w:val="en-US" w:eastAsia="zh-CN" w:bidi="ar"/>
                    </w:rPr>
                    <w:t>，建筑面积约</w:t>
                  </w:r>
                  <w:r>
                    <w:rPr>
                      <w:rFonts w:hint="default" w:ascii="Times New Roman" w:hAnsi="Times New Roman" w:eastAsia="宋体" w:cs="Times New Roman"/>
                      <w:i w:val="0"/>
                      <w:iCs w:val="0"/>
                      <w:color w:val="0000FF"/>
                      <w:kern w:val="0"/>
                      <w:sz w:val="21"/>
                      <w:szCs w:val="21"/>
                      <w:u w:val="none"/>
                      <w:lang w:val="en-US" w:eastAsia="zh-CN" w:bidi="ar"/>
                    </w:rPr>
                    <w:t>20m</w:t>
                  </w:r>
                  <w:r>
                    <w:rPr>
                      <w:rFonts w:hint="default" w:ascii="Times New Roman" w:hAnsi="Times New Roman" w:eastAsia="宋体" w:cs="Times New Roman"/>
                      <w:i w:val="0"/>
                      <w:iCs w:val="0"/>
                      <w:color w:val="0000FF"/>
                      <w:kern w:val="0"/>
                      <w:sz w:val="21"/>
                      <w:szCs w:val="21"/>
                      <w:u w:val="none"/>
                      <w:vertAlign w:val="superscript"/>
                      <w:lang w:val="en-US" w:eastAsia="zh-CN" w:bidi="ar"/>
                    </w:rPr>
                    <w:t>2</w:t>
                  </w:r>
                  <w:r>
                    <w:rPr>
                      <w:rFonts w:hint="eastAsia" w:ascii="宋体" w:hAnsi="宋体" w:eastAsia="宋体" w:cs="宋体"/>
                      <w:i w:val="0"/>
                      <w:iCs w:val="0"/>
                      <w:color w:val="0000FF"/>
                      <w:kern w:val="0"/>
                      <w:sz w:val="21"/>
                      <w:szCs w:val="21"/>
                      <w:u w:val="none"/>
                      <w:lang w:val="en-US" w:eastAsia="zh-CN" w:bidi="ar"/>
                    </w:rPr>
                    <w:t>。用于存放模具。</w:t>
                  </w:r>
                </w:p>
              </w:tc>
              <w:tc>
                <w:tcPr>
                  <w:tcW w:w="452" w:type="dxa"/>
                  <w:vMerge w:val="continue"/>
                  <w:noWrap/>
                  <w:vAlign w:val="center"/>
                </w:tcPr>
                <w:p w14:paraId="3A03A892">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717A4EE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07" w:type="dxa"/>
                  <w:noWrap w:val="0"/>
                  <w:vAlign w:val="center"/>
                </w:tcPr>
                <w:p w14:paraId="7C8A2B0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依托</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新建</w:t>
                  </w:r>
                </w:p>
              </w:tc>
            </w:tr>
            <w:tr w14:paraId="4F6C8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1" w:type="dxa"/>
                  <w:vMerge w:val="continue"/>
                  <w:noWrap w:val="0"/>
                  <w:vAlign w:val="center"/>
                </w:tcPr>
                <w:p w14:paraId="459E28CD">
                  <w:pPr>
                    <w:jc w:val="center"/>
                    <w:rPr>
                      <w:rFonts w:hint="default" w:ascii="Times New Roman" w:hAnsi="Times New Roman" w:eastAsia="宋体" w:cs="Times New Roman"/>
                      <w:i w:val="0"/>
                      <w:iCs w:val="0"/>
                      <w:color w:val="0000FF"/>
                      <w:sz w:val="21"/>
                      <w:szCs w:val="21"/>
                      <w:u w:val="none"/>
                    </w:rPr>
                  </w:pPr>
                </w:p>
              </w:tc>
              <w:tc>
                <w:tcPr>
                  <w:tcW w:w="1307" w:type="dxa"/>
                  <w:gridSpan w:val="2"/>
                  <w:noWrap w:val="0"/>
                  <w:vAlign w:val="center"/>
                </w:tcPr>
                <w:p w14:paraId="6B18971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待加工产品区</w:t>
                  </w:r>
                </w:p>
              </w:tc>
              <w:tc>
                <w:tcPr>
                  <w:tcW w:w="4451" w:type="dxa"/>
                  <w:noWrap w:val="0"/>
                  <w:vAlign w:val="center"/>
                </w:tcPr>
                <w:p w14:paraId="7F306519">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r>
                    <w:rPr>
                      <w:rFonts w:hint="eastAsia" w:ascii="宋体" w:hAnsi="宋体" w:eastAsia="宋体" w:cs="宋体"/>
                      <w:i w:val="0"/>
                      <w:iCs w:val="0"/>
                      <w:color w:val="0000FF"/>
                      <w:kern w:val="0"/>
                      <w:sz w:val="21"/>
                      <w:szCs w:val="21"/>
                      <w:u w:val="none"/>
                      <w:lang w:val="en-US" w:eastAsia="zh-CN" w:bidi="ar"/>
                    </w:rPr>
                    <w:t>号厂房</w:t>
                  </w:r>
                  <w:r>
                    <w:rPr>
                      <w:rFonts w:hint="default" w:ascii="Times New Roman" w:hAnsi="Times New Roman" w:eastAsia="宋体" w:cs="Times New Roman"/>
                      <w:i w:val="0"/>
                      <w:iCs w:val="0"/>
                      <w:color w:val="0000FF"/>
                      <w:kern w:val="0"/>
                      <w:sz w:val="21"/>
                      <w:szCs w:val="21"/>
                      <w:u w:val="none"/>
                      <w:lang w:val="en-US" w:eastAsia="zh-CN" w:bidi="ar"/>
                    </w:rPr>
                    <w:t>2F</w:t>
                  </w:r>
                  <w:r>
                    <w:rPr>
                      <w:rFonts w:hint="eastAsia" w:ascii="宋体" w:hAnsi="宋体" w:eastAsia="宋体" w:cs="宋体"/>
                      <w:i w:val="0"/>
                      <w:iCs w:val="0"/>
                      <w:color w:val="0000FF"/>
                      <w:kern w:val="0"/>
                      <w:sz w:val="21"/>
                      <w:szCs w:val="21"/>
                      <w:u w:val="none"/>
                      <w:lang w:val="en-US" w:eastAsia="zh-CN" w:bidi="ar"/>
                    </w:rPr>
                    <w:t>，建筑面积约</w:t>
                  </w:r>
                  <w:r>
                    <w:rPr>
                      <w:rFonts w:hint="default" w:ascii="Times New Roman" w:hAnsi="Times New Roman" w:eastAsia="宋体" w:cs="Times New Roman"/>
                      <w:i w:val="0"/>
                      <w:iCs w:val="0"/>
                      <w:color w:val="0000FF"/>
                      <w:kern w:val="0"/>
                      <w:sz w:val="21"/>
                      <w:szCs w:val="21"/>
                      <w:u w:val="none"/>
                      <w:lang w:val="en-US" w:eastAsia="zh-CN" w:bidi="ar"/>
                    </w:rPr>
                    <w:t>290m</w:t>
                  </w:r>
                  <w:r>
                    <w:rPr>
                      <w:rFonts w:hint="default" w:ascii="Times New Roman" w:hAnsi="Times New Roman" w:eastAsia="宋体" w:cs="Times New Roman"/>
                      <w:i w:val="0"/>
                      <w:iCs w:val="0"/>
                      <w:color w:val="0000FF"/>
                      <w:kern w:val="0"/>
                      <w:sz w:val="21"/>
                      <w:szCs w:val="21"/>
                      <w:u w:val="none"/>
                      <w:vertAlign w:val="superscript"/>
                      <w:lang w:val="en-US" w:eastAsia="zh-CN" w:bidi="ar"/>
                    </w:rPr>
                    <w:t>2</w:t>
                  </w:r>
                  <w:r>
                    <w:rPr>
                      <w:rFonts w:hint="eastAsia" w:ascii="宋体" w:hAnsi="宋体" w:eastAsia="宋体" w:cs="宋体"/>
                      <w:i w:val="0"/>
                      <w:iCs w:val="0"/>
                      <w:color w:val="0000FF"/>
                      <w:kern w:val="0"/>
                      <w:sz w:val="21"/>
                      <w:szCs w:val="21"/>
                      <w:u w:val="none"/>
                      <w:lang w:val="en-US" w:eastAsia="zh-CN" w:bidi="ar"/>
                    </w:rPr>
                    <w:t>。用于存放待加工产品。</w:t>
                  </w:r>
                </w:p>
              </w:tc>
              <w:tc>
                <w:tcPr>
                  <w:tcW w:w="452" w:type="dxa"/>
                  <w:vMerge w:val="continue"/>
                  <w:noWrap/>
                  <w:vAlign w:val="center"/>
                </w:tcPr>
                <w:p w14:paraId="33A7A104">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1B20F01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07" w:type="dxa"/>
                  <w:noWrap w:val="0"/>
                  <w:vAlign w:val="center"/>
                </w:tcPr>
                <w:p w14:paraId="1046957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依托</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新建</w:t>
                  </w:r>
                </w:p>
              </w:tc>
            </w:tr>
            <w:tr w14:paraId="3F739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dxa"/>
                  <w:vMerge w:val="continue"/>
                  <w:noWrap w:val="0"/>
                  <w:vAlign w:val="center"/>
                </w:tcPr>
                <w:p w14:paraId="31AEAC64">
                  <w:pPr>
                    <w:jc w:val="center"/>
                    <w:rPr>
                      <w:rFonts w:hint="default" w:ascii="Times New Roman" w:hAnsi="Times New Roman" w:eastAsia="宋体" w:cs="Times New Roman"/>
                      <w:i w:val="0"/>
                      <w:iCs w:val="0"/>
                      <w:color w:val="0000FF"/>
                      <w:sz w:val="21"/>
                      <w:szCs w:val="21"/>
                      <w:u w:val="none"/>
                    </w:rPr>
                  </w:pPr>
                </w:p>
              </w:tc>
              <w:tc>
                <w:tcPr>
                  <w:tcW w:w="1307" w:type="dxa"/>
                  <w:gridSpan w:val="2"/>
                  <w:noWrap w:val="0"/>
                  <w:vAlign w:val="center"/>
                </w:tcPr>
                <w:p w14:paraId="328302D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空箱放置区</w:t>
                  </w:r>
                </w:p>
              </w:tc>
              <w:tc>
                <w:tcPr>
                  <w:tcW w:w="4451" w:type="dxa"/>
                  <w:noWrap w:val="0"/>
                  <w:vAlign w:val="center"/>
                </w:tcPr>
                <w:p w14:paraId="7A2922CF">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lang w:val="en-US"/>
                    </w:rPr>
                  </w:pPr>
                  <w:r>
                    <w:rPr>
                      <w:rFonts w:hint="default" w:ascii="Times New Roman" w:hAnsi="Times New Roman" w:eastAsia="宋体" w:cs="Times New Roman"/>
                      <w:i w:val="0"/>
                      <w:iCs w:val="0"/>
                      <w:color w:val="0000FF"/>
                      <w:kern w:val="0"/>
                      <w:sz w:val="21"/>
                      <w:szCs w:val="21"/>
                      <w:u w:val="none"/>
                      <w:lang w:val="en-US" w:eastAsia="zh-CN" w:bidi="ar"/>
                    </w:rPr>
                    <w:t>1</w:t>
                  </w:r>
                  <w:r>
                    <w:rPr>
                      <w:rFonts w:hint="eastAsia" w:ascii="宋体" w:hAnsi="宋体" w:eastAsia="宋体" w:cs="宋体"/>
                      <w:i w:val="0"/>
                      <w:iCs w:val="0"/>
                      <w:color w:val="0000FF"/>
                      <w:kern w:val="0"/>
                      <w:sz w:val="21"/>
                      <w:szCs w:val="21"/>
                      <w:u w:val="none"/>
                      <w:lang w:val="en-US" w:eastAsia="zh-CN" w:bidi="ar"/>
                    </w:rPr>
                    <w:t>号厂房</w:t>
                  </w:r>
                  <w:r>
                    <w:rPr>
                      <w:rFonts w:hint="default" w:ascii="Times New Roman" w:hAnsi="Times New Roman" w:eastAsia="宋体" w:cs="Times New Roman"/>
                      <w:i w:val="0"/>
                      <w:iCs w:val="0"/>
                      <w:color w:val="0000FF"/>
                      <w:kern w:val="0"/>
                      <w:sz w:val="21"/>
                      <w:szCs w:val="21"/>
                      <w:u w:val="none"/>
                      <w:lang w:val="en-US" w:eastAsia="zh-CN" w:bidi="ar"/>
                    </w:rPr>
                    <w:t>2F</w:t>
                  </w:r>
                  <w:r>
                    <w:rPr>
                      <w:rFonts w:hint="eastAsia" w:ascii="宋体" w:hAnsi="宋体" w:eastAsia="宋体" w:cs="宋体"/>
                      <w:i w:val="0"/>
                      <w:iCs w:val="0"/>
                      <w:color w:val="0000FF"/>
                      <w:kern w:val="0"/>
                      <w:sz w:val="21"/>
                      <w:szCs w:val="21"/>
                      <w:u w:val="none"/>
                      <w:lang w:val="en-US" w:eastAsia="zh-CN" w:bidi="ar"/>
                    </w:rPr>
                    <w:t>，建筑面积约</w:t>
                  </w:r>
                  <w:r>
                    <w:rPr>
                      <w:rFonts w:hint="default" w:ascii="Times New Roman" w:hAnsi="Times New Roman" w:eastAsia="宋体" w:cs="Times New Roman"/>
                      <w:i w:val="0"/>
                      <w:iCs w:val="0"/>
                      <w:color w:val="0000FF"/>
                      <w:kern w:val="0"/>
                      <w:sz w:val="21"/>
                      <w:szCs w:val="21"/>
                      <w:u w:val="none"/>
                      <w:lang w:val="en-US" w:eastAsia="zh-CN" w:bidi="ar"/>
                    </w:rPr>
                    <w:t>500m</w:t>
                  </w:r>
                  <w:r>
                    <w:rPr>
                      <w:rFonts w:hint="default" w:ascii="Times New Roman" w:hAnsi="Times New Roman" w:eastAsia="宋体" w:cs="Times New Roman"/>
                      <w:i w:val="0"/>
                      <w:iCs w:val="0"/>
                      <w:color w:val="0000FF"/>
                      <w:kern w:val="0"/>
                      <w:sz w:val="21"/>
                      <w:szCs w:val="21"/>
                      <w:u w:val="none"/>
                      <w:vertAlign w:val="superscript"/>
                      <w:lang w:val="en-US" w:eastAsia="zh-CN" w:bidi="ar"/>
                    </w:rPr>
                    <w:t>2</w:t>
                  </w:r>
                  <w:r>
                    <w:rPr>
                      <w:rFonts w:hint="eastAsia" w:ascii="宋体" w:hAnsi="宋体" w:eastAsia="宋体" w:cs="宋体"/>
                      <w:i w:val="0"/>
                      <w:iCs w:val="0"/>
                      <w:color w:val="0000FF"/>
                      <w:kern w:val="0"/>
                      <w:sz w:val="21"/>
                      <w:szCs w:val="21"/>
                      <w:u w:val="none"/>
                      <w:lang w:val="en-US" w:eastAsia="zh-CN" w:bidi="ar"/>
                    </w:rPr>
                    <w:t>。用于存放空箱。</w:t>
                  </w:r>
                </w:p>
              </w:tc>
              <w:tc>
                <w:tcPr>
                  <w:tcW w:w="452" w:type="dxa"/>
                  <w:vMerge w:val="continue"/>
                  <w:noWrap/>
                  <w:vAlign w:val="center"/>
                </w:tcPr>
                <w:p w14:paraId="114F2268">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1B18A5E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07" w:type="dxa"/>
                  <w:noWrap w:val="0"/>
                  <w:vAlign w:val="center"/>
                </w:tcPr>
                <w:p w14:paraId="444BF2C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依托</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新建</w:t>
                  </w:r>
                </w:p>
              </w:tc>
            </w:tr>
            <w:tr w14:paraId="7A95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1" w:type="dxa"/>
                  <w:vMerge w:val="continue"/>
                  <w:noWrap w:val="0"/>
                  <w:vAlign w:val="center"/>
                </w:tcPr>
                <w:p w14:paraId="39E8CA8A">
                  <w:pPr>
                    <w:jc w:val="center"/>
                    <w:rPr>
                      <w:rFonts w:hint="default" w:ascii="Times New Roman" w:hAnsi="Times New Roman" w:eastAsia="宋体" w:cs="Times New Roman"/>
                      <w:i w:val="0"/>
                      <w:iCs w:val="0"/>
                      <w:color w:val="0000FF"/>
                      <w:sz w:val="21"/>
                      <w:szCs w:val="21"/>
                      <w:u w:val="none"/>
                    </w:rPr>
                  </w:pPr>
                </w:p>
              </w:tc>
              <w:tc>
                <w:tcPr>
                  <w:tcW w:w="1307" w:type="dxa"/>
                  <w:gridSpan w:val="2"/>
                  <w:noWrap w:val="0"/>
                  <w:vAlign w:val="center"/>
                </w:tcPr>
                <w:p w14:paraId="33146CA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待整理包材区</w:t>
                  </w:r>
                </w:p>
              </w:tc>
              <w:tc>
                <w:tcPr>
                  <w:tcW w:w="4451" w:type="dxa"/>
                  <w:noWrap w:val="0"/>
                  <w:vAlign w:val="center"/>
                </w:tcPr>
                <w:p w14:paraId="4FB893BB">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r>
                    <w:rPr>
                      <w:rFonts w:hint="eastAsia" w:ascii="宋体" w:hAnsi="宋体" w:eastAsia="宋体" w:cs="宋体"/>
                      <w:i w:val="0"/>
                      <w:iCs w:val="0"/>
                      <w:color w:val="0000FF"/>
                      <w:kern w:val="0"/>
                      <w:sz w:val="21"/>
                      <w:szCs w:val="21"/>
                      <w:u w:val="none"/>
                      <w:lang w:val="en-US" w:eastAsia="zh-CN" w:bidi="ar"/>
                    </w:rPr>
                    <w:t>号厂房</w:t>
                  </w:r>
                  <w:r>
                    <w:rPr>
                      <w:rFonts w:hint="default" w:ascii="Times New Roman" w:hAnsi="Times New Roman" w:eastAsia="宋体" w:cs="Times New Roman"/>
                      <w:i w:val="0"/>
                      <w:iCs w:val="0"/>
                      <w:color w:val="0000FF"/>
                      <w:kern w:val="0"/>
                      <w:sz w:val="21"/>
                      <w:szCs w:val="21"/>
                      <w:u w:val="none"/>
                      <w:lang w:val="en-US" w:eastAsia="zh-CN" w:bidi="ar"/>
                    </w:rPr>
                    <w:t>2F</w:t>
                  </w:r>
                  <w:r>
                    <w:rPr>
                      <w:rFonts w:hint="eastAsia" w:ascii="宋体" w:hAnsi="宋体" w:eastAsia="宋体" w:cs="宋体"/>
                      <w:i w:val="0"/>
                      <w:iCs w:val="0"/>
                      <w:color w:val="0000FF"/>
                      <w:kern w:val="0"/>
                      <w:sz w:val="21"/>
                      <w:szCs w:val="21"/>
                      <w:u w:val="none"/>
                      <w:lang w:val="en-US" w:eastAsia="zh-CN" w:bidi="ar"/>
                    </w:rPr>
                    <w:t>，建筑面积约</w:t>
                  </w:r>
                  <w:r>
                    <w:rPr>
                      <w:rFonts w:hint="default" w:ascii="Times New Roman" w:hAnsi="Times New Roman" w:eastAsia="宋体" w:cs="Times New Roman"/>
                      <w:i w:val="0"/>
                      <w:iCs w:val="0"/>
                      <w:color w:val="0000FF"/>
                      <w:kern w:val="0"/>
                      <w:sz w:val="21"/>
                      <w:szCs w:val="21"/>
                      <w:u w:val="none"/>
                      <w:lang w:val="en-US" w:eastAsia="zh-CN" w:bidi="ar"/>
                    </w:rPr>
                    <w:t>300m</w:t>
                  </w:r>
                  <w:r>
                    <w:rPr>
                      <w:rFonts w:hint="default" w:ascii="Times New Roman" w:hAnsi="Times New Roman" w:eastAsia="宋体" w:cs="Times New Roman"/>
                      <w:i w:val="0"/>
                      <w:iCs w:val="0"/>
                      <w:color w:val="0000FF"/>
                      <w:kern w:val="0"/>
                      <w:sz w:val="21"/>
                      <w:szCs w:val="21"/>
                      <w:u w:val="none"/>
                      <w:vertAlign w:val="superscript"/>
                      <w:lang w:val="en-US" w:eastAsia="zh-CN" w:bidi="ar"/>
                    </w:rPr>
                    <w:t>2</w:t>
                  </w:r>
                  <w:r>
                    <w:rPr>
                      <w:rFonts w:hint="eastAsia" w:ascii="宋体" w:hAnsi="宋体" w:eastAsia="宋体" w:cs="宋体"/>
                      <w:i w:val="0"/>
                      <w:iCs w:val="0"/>
                      <w:color w:val="0000FF"/>
                      <w:kern w:val="0"/>
                      <w:sz w:val="21"/>
                      <w:szCs w:val="21"/>
                      <w:u w:val="none"/>
                      <w:lang w:val="en-US" w:eastAsia="zh-CN" w:bidi="ar"/>
                    </w:rPr>
                    <w:t>。用于存放待整理包装材料。</w:t>
                  </w:r>
                </w:p>
              </w:tc>
              <w:tc>
                <w:tcPr>
                  <w:tcW w:w="452" w:type="dxa"/>
                  <w:vMerge w:val="continue"/>
                  <w:noWrap/>
                  <w:vAlign w:val="center"/>
                </w:tcPr>
                <w:p w14:paraId="08372CBB">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11684AD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07" w:type="dxa"/>
                  <w:noWrap w:val="0"/>
                  <w:vAlign w:val="center"/>
                </w:tcPr>
                <w:p w14:paraId="3F57FB6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依托</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新建</w:t>
                  </w:r>
                </w:p>
              </w:tc>
            </w:tr>
            <w:tr w14:paraId="23507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1" w:type="dxa"/>
                  <w:vMerge w:val="continue"/>
                  <w:noWrap w:val="0"/>
                  <w:vAlign w:val="center"/>
                </w:tcPr>
                <w:p w14:paraId="4916ADAE">
                  <w:pPr>
                    <w:jc w:val="center"/>
                    <w:rPr>
                      <w:rFonts w:hint="default" w:ascii="Times New Roman" w:hAnsi="Times New Roman" w:eastAsia="宋体" w:cs="Times New Roman"/>
                      <w:i w:val="0"/>
                      <w:iCs w:val="0"/>
                      <w:color w:val="0000FF"/>
                      <w:sz w:val="21"/>
                      <w:szCs w:val="21"/>
                      <w:u w:val="none"/>
                    </w:rPr>
                  </w:pPr>
                </w:p>
              </w:tc>
              <w:tc>
                <w:tcPr>
                  <w:tcW w:w="1307" w:type="dxa"/>
                  <w:gridSpan w:val="2"/>
                  <w:noWrap w:val="0"/>
                  <w:vAlign w:val="center"/>
                </w:tcPr>
                <w:p w14:paraId="2B261F6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整理包材区</w:t>
                  </w:r>
                </w:p>
              </w:tc>
              <w:tc>
                <w:tcPr>
                  <w:tcW w:w="4451" w:type="dxa"/>
                  <w:noWrap w:val="0"/>
                  <w:vAlign w:val="center"/>
                </w:tcPr>
                <w:p w14:paraId="09A3483A">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r>
                    <w:rPr>
                      <w:rFonts w:hint="eastAsia" w:ascii="宋体" w:hAnsi="宋体" w:eastAsia="宋体" w:cs="宋体"/>
                      <w:i w:val="0"/>
                      <w:iCs w:val="0"/>
                      <w:color w:val="0000FF"/>
                      <w:kern w:val="0"/>
                      <w:sz w:val="21"/>
                      <w:szCs w:val="21"/>
                      <w:u w:val="none"/>
                      <w:lang w:val="en-US" w:eastAsia="zh-CN" w:bidi="ar"/>
                    </w:rPr>
                    <w:t>号厂房</w:t>
                  </w:r>
                  <w:r>
                    <w:rPr>
                      <w:rFonts w:hint="default" w:ascii="Times New Roman" w:hAnsi="Times New Roman" w:eastAsia="宋体" w:cs="Times New Roman"/>
                      <w:i w:val="0"/>
                      <w:iCs w:val="0"/>
                      <w:color w:val="0000FF"/>
                      <w:kern w:val="0"/>
                      <w:sz w:val="21"/>
                      <w:szCs w:val="21"/>
                      <w:u w:val="none"/>
                      <w:lang w:val="en-US" w:eastAsia="zh-CN" w:bidi="ar"/>
                    </w:rPr>
                    <w:t>2F</w:t>
                  </w:r>
                  <w:r>
                    <w:rPr>
                      <w:rFonts w:hint="eastAsia" w:ascii="宋体" w:hAnsi="宋体" w:eastAsia="宋体" w:cs="宋体"/>
                      <w:i w:val="0"/>
                      <w:iCs w:val="0"/>
                      <w:color w:val="0000FF"/>
                      <w:kern w:val="0"/>
                      <w:sz w:val="21"/>
                      <w:szCs w:val="21"/>
                      <w:u w:val="none"/>
                      <w:lang w:val="en-US" w:eastAsia="zh-CN" w:bidi="ar"/>
                    </w:rPr>
                    <w:t>，建筑面积约</w:t>
                  </w:r>
                  <w:r>
                    <w:rPr>
                      <w:rFonts w:hint="default" w:ascii="Times New Roman" w:hAnsi="Times New Roman" w:eastAsia="宋体" w:cs="Times New Roman"/>
                      <w:i w:val="0"/>
                      <w:iCs w:val="0"/>
                      <w:color w:val="0000FF"/>
                      <w:kern w:val="0"/>
                      <w:sz w:val="21"/>
                      <w:szCs w:val="21"/>
                      <w:u w:val="none"/>
                      <w:lang w:val="en-US" w:eastAsia="zh-CN" w:bidi="ar"/>
                    </w:rPr>
                    <w:t>390m</w:t>
                  </w:r>
                  <w:r>
                    <w:rPr>
                      <w:rFonts w:hint="default" w:ascii="Times New Roman" w:hAnsi="Times New Roman" w:eastAsia="宋体" w:cs="Times New Roman"/>
                      <w:i w:val="0"/>
                      <w:iCs w:val="0"/>
                      <w:color w:val="0000FF"/>
                      <w:kern w:val="0"/>
                      <w:sz w:val="21"/>
                      <w:szCs w:val="21"/>
                      <w:u w:val="none"/>
                      <w:vertAlign w:val="superscript"/>
                      <w:lang w:val="en-US" w:eastAsia="zh-CN" w:bidi="ar"/>
                    </w:rPr>
                    <w:t>2</w:t>
                  </w:r>
                  <w:r>
                    <w:rPr>
                      <w:rFonts w:hint="eastAsia" w:ascii="宋体" w:hAnsi="宋体" w:eastAsia="宋体" w:cs="宋体"/>
                      <w:i w:val="0"/>
                      <w:iCs w:val="0"/>
                      <w:color w:val="0000FF"/>
                      <w:kern w:val="0"/>
                      <w:sz w:val="21"/>
                      <w:szCs w:val="21"/>
                      <w:u w:val="none"/>
                      <w:lang w:val="en-US" w:eastAsia="zh-CN" w:bidi="ar"/>
                    </w:rPr>
                    <w:t>。用于存放整理好的包装材料。</w:t>
                  </w:r>
                </w:p>
              </w:tc>
              <w:tc>
                <w:tcPr>
                  <w:tcW w:w="452" w:type="dxa"/>
                  <w:vMerge w:val="continue"/>
                  <w:noWrap/>
                  <w:vAlign w:val="center"/>
                </w:tcPr>
                <w:p w14:paraId="41525552">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3ACB400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07" w:type="dxa"/>
                  <w:noWrap w:val="0"/>
                  <w:vAlign w:val="center"/>
                </w:tcPr>
                <w:p w14:paraId="02EDD5C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依托</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新建</w:t>
                  </w:r>
                </w:p>
              </w:tc>
            </w:tr>
            <w:tr w14:paraId="572FE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1" w:type="dxa"/>
                  <w:vMerge w:val="continue"/>
                  <w:noWrap w:val="0"/>
                  <w:vAlign w:val="center"/>
                </w:tcPr>
                <w:p w14:paraId="2385DCC4">
                  <w:pPr>
                    <w:jc w:val="center"/>
                    <w:rPr>
                      <w:rFonts w:hint="default" w:ascii="Times New Roman" w:hAnsi="Times New Roman" w:eastAsia="宋体" w:cs="Times New Roman"/>
                      <w:i w:val="0"/>
                      <w:iCs w:val="0"/>
                      <w:color w:val="0000FF"/>
                      <w:sz w:val="21"/>
                      <w:szCs w:val="21"/>
                      <w:u w:val="none"/>
                    </w:rPr>
                  </w:pPr>
                </w:p>
              </w:tc>
              <w:tc>
                <w:tcPr>
                  <w:tcW w:w="1307" w:type="dxa"/>
                  <w:gridSpan w:val="2"/>
                  <w:noWrap w:val="0"/>
                  <w:vAlign w:val="center"/>
                </w:tcPr>
                <w:p w14:paraId="58FBA91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吸塑盒放置区</w:t>
                  </w:r>
                </w:p>
              </w:tc>
              <w:tc>
                <w:tcPr>
                  <w:tcW w:w="4451" w:type="dxa"/>
                  <w:noWrap w:val="0"/>
                  <w:vAlign w:val="center"/>
                </w:tcPr>
                <w:p w14:paraId="70676BD4">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r>
                    <w:rPr>
                      <w:rFonts w:hint="eastAsia" w:ascii="宋体" w:hAnsi="宋体" w:eastAsia="宋体" w:cs="宋体"/>
                      <w:i w:val="0"/>
                      <w:iCs w:val="0"/>
                      <w:color w:val="0000FF"/>
                      <w:kern w:val="0"/>
                      <w:sz w:val="21"/>
                      <w:szCs w:val="21"/>
                      <w:u w:val="none"/>
                      <w:lang w:val="en-US" w:eastAsia="zh-CN" w:bidi="ar"/>
                    </w:rPr>
                    <w:t>号厂房</w:t>
                  </w:r>
                  <w:r>
                    <w:rPr>
                      <w:rFonts w:hint="default" w:ascii="Times New Roman" w:hAnsi="Times New Roman" w:eastAsia="宋体" w:cs="Times New Roman"/>
                      <w:i w:val="0"/>
                      <w:iCs w:val="0"/>
                      <w:color w:val="0000FF"/>
                      <w:kern w:val="0"/>
                      <w:sz w:val="21"/>
                      <w:szCs w:val="21"/>
                      <w:u w:val="none"/>
                      <w:lang w:val="en-US" w:eastAsia="zh-CN" w:bidi="ar"/>
                    </w:rPr>
                    <w:t>2F</w:t>
                  </w:r>
                  <w:r>
                    <w:rPr>
                      <w:rFonts w:hint="eastAsia" w:ascii="宋体" w:hAnsi="宋体" w:eastAsia="宋体" w:cs="宋体"/>
                      <w:i w:val="0"/>
                      <w:iCs w:val="0"/>
                      <w:color w:val="0000FF"/>
                      <w:kern w:val="0"/>
                      <w:sz w:val="21"/>
                      <w:szCs w:val="21"/>
                      <w:u w:val="none"/>
                      <w:lang w:val="en-US" w:eastAsia="zh-CN" w:bidi="ar"/>
                    </w:rPr>
                    <w:t>，建筑面积约</w:t>
                  </w:r>
                  <w:r>
                    <w:rPr>
                      <w:rFonts w:hint="default" w:ascii="Times New Roman" w:hAnsi="Times New Roman" w:eastAsia="宋体" w:cs="Times New Roman"/>
                      <w:i w:val="0"/>
                      <w:iCs w:val="0"/>
                      <w:color w:val="0000FF"/>
                      <w:kern w:val="0"/>
                      <w:sz w:val="21"/>
                      <w:szCs w:val="21"/>
                      <w:u w:val="none"/>
                      <w:lang w:val="en-US" w:eastAsia="zh-CN" w:bidi="ar"/>
                    </w:rPr>
                    <w:t>50m</w:t>
                  </w:r>
                  <w:r>
                    <w:rPr>
                      <w:rFonts w:hint="default" w:ascii="Times New Roman" w:hAnsi="Times New Roman" w:eastAsia="宋体" w:cs="Times New Roman"/>
                      <w:i w:val="0"/>
                      <w:iCs w:val="0"/>
                      <w:color w:val="0000FF"/>
                      <w:kern w:val="0"/>
                      <w:sz w:val="21"/>
                      <w:szCs w:val="21"/>
                      <w:u w:val="none"/>
                      <w:vertAlign w:val="superscript"/>
                      <w:lang w:val="en-US" w:eastAsia="zh-CN" w:bidi="ar"/>
                    </w:rPr>
                    <w:t>2</w:t>
                  </w:r>
                  <w:r>
                    <w:rPr>
                      <w:rFonts w:hint="eastAsia" w:ascii="宋体" w:hAnsi="宋体" w:eastAsia="宋体" w:cs="宋体"/>
                      <w:i w:val="0"/>
                      <w:iCs w:val="0"/>
                      <w:color w:val="0000FF"/>
                      <w:kern w:val="0"/>
                      <w:sz w:val="21"/>
                      <w:szCs w:val="21"/>
                      <w:u w:val="none"/>
                      <w:lang w:val="en-US" w:eastAsia="zh-CN" w:bidi="ar"/>
                    </w:rPr>
                    <w:t>。用于存放吸塑盒。</w:t>
                  </w:r>
                </w:p>
              </w:tc>
              <w:tc>
                <w:tcPr>
                  <w:tcW w:w="452" w:type="dxa"/>
                  <w:vMerge w:val="continue"/>
                  <w:noWrap/>
                  <w:vAlign w:val="center"/>
                </w:tcPr>
                <w:p w14:paraId="559F2D35">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4EDF90E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07" w:type="dxa"/>
                  <w:noWrap w:val="0"/>
                  <w:vAlign w:val="center"/>
                </w:tcPr>
                <w:p w14:paraId="5EBDEDD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依托</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新建</w:t>
                  </w:r>
                </w:p>
              </w:tc>
            </w:tr>
            <w:tr w14:paraId="52967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1" w:type="dxa"/>
                  <w:vMerge w:val="continue"/>
                  <w:noWrap w:val="0"/>
                  <w:vAlign w:val="center"/>
                </w:tcPr>
                <w:p w14:paraId="16D7D210">
                  <w:pPr>
                    <w:jc w:val="center"/>
                    <w:rPr>
                      <w:rFonts w:hint="default" w:ascii="Times New Roman" w:hAnsi="Times New Roman" w:eastAsia="宋体" w:cs="Times New Roman"/>
                      <w:i w:val="0"/>
                      <w:iCs w:val="0"/>
                      <w:color w:val="0000FF"/>
                      <w:sz w:val="21"/>
                      <w:szCs w:val="21"/>
                      <w:u w:val="none"/>
                    </w:rPr>
                  </w:pPr>
                </w:p>
              </w:tc>
              <w:tc>
                <w:tcPr>
                  <w:tcW w:w="5758" w:type="dxa"/>
                  <w:gridSpan w:val="3"/>
                  <w:noWrap w:val="0"/>
                  <w:vAlign w:val="center"/>
                </w:tcPr>
                <w:p w14:paraId="08F8722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w:t>
                  </w:r>
                  <w:r>
                    <w:rPr>
                      <w:rFonts w:hint="eastAsia" w:ascii="宋体" w:hAnsi="宋体" w:eastAsia="宋体" w:cs="宋体"/>
                      <w:i w:val="0"/>
                      <w:iCs w:val="0"/>
                      <w:color w:val="0000FF"/>
                      <w:kern w:val="0"/>
                      <w:sz w:val="21"/>
                      <w:szCs w:val="21"/>
                      <w:u w:val="none"/>
                      <w:lang w:val="en-US" w:eastAsia="zh-CN" w:bidi="ar"/>
                    </w:rPr>
                    <w:t>号厂房</w:t>
                  </w:r>
                </w:p>
              </w:tc>
              <w:tc>
                <w:tcPr>
                  <w:tcW w:w="452" w:type="dxa"/>
                  <w:vMerge w:val="continue"/>
                  <w:noWrap/>
                  <w:vAlign w:val="center"/>
                </w:tcPr>
                <w:p w14:paraId="29FC1CCF">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24480CC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07" w:type="dxa"/>
                  <w:noWrap w:val="0"/>
                  <w:vAlign w:val="center"/>
                </w:tcPr>
                <w:p w14:paraId="36D85E5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r>
            <w:tr w14:paraId="214AD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371" w:type="dxa"/>
                  <w:vMerge w:val="continue"/>
                  <w:noWrap w:val="0"/>
                  <w:vAlign w:val="center"/>
                </w:tcPr>
                <w:p w14:paraId="63453EFA">
                  <w:pPr>
                    <w:jc w:val="center"/>
                    <w:rPr>
                      <w:rFonts w:hint="default" w:ascii="Times New Roman" w:hAnsi="Times New Roman" w:eastAsia="宋体" w:cs="Times New Roman"/>
                      <w:i w:val="0"/>
                      <w:iCs w:val="0"/>
                      <w:color w:val="0000FF"/>
                      <w:sz w:val="21"/>
                      <w:szCs w:val="21"/>
                      <w:u w:val="none"/>
                    </w:rPr>
                  </w:pPr>
                </w:p>
              </w:tc>
              <w:tc>
                <w:tcPr>
                  <w:tcW w:w="1307" w:type="dxa"/>
                  <w:gridSpan w:val="2"/>
                  <w:noWrap w:val="0"/>
                  <w:vAlign w:val="center"/>
                </w:tcPr>
                <w:p w14:paraId="1558690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五金回收区</w:t>
                  </w:r>
                </w:p>
              </w:tc>
              <w:tc>
                <w:tcPr>
                  <w:tcW w:w="4451" w:type="dxa"/>
                  <w:noWrap w:val="0"/>
                  <w:vAlign w:val="center"/>
                </w:tcPr>
                <w:p w14:paraId="02B731E4">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w:t>
                  </w:r>
                  <w:r>
                    <w:rPr>
                      <w:rFonts w:hint="eastAsia" w:ascii="宋体" w:hAnsi="宋体" w:eastAsia="宋体" w:cs="宋体"/>
                      <w:i w:val="0"/>
                      <w:iCs w:val="0"/>
                      <w:color w:val="0000FF"/>
                      <w:kern w:val="0"/>
                      <w:sz w:val="21"/>
                      <w:szCs w:val="21"/>
                      <w:u w:val="none"/>
                      <w:lang w:val="en-US" w:eastAsia="zh-CN" w:bidi="ar"/>
                    </w:rPr>
                    <w:t>号厂房</w:t>
                  </w:r>
                  <w:r>
                    <w:rPr>
                      <w:rFonts w:hint="default" w:ascii="Times New Roman" w:hAnsi="Times New Roman" w:eastAsia="宋体" w:cs="Times New Roman"/>
                      <w:i w:val="0"/>
                      <w:iCs w:val="0"/>
                      <w:color w:val="0000FF"/>
                      <w:kern w:val="0"/>
                      <w:sz w:val="21"/>
                      <w:szCs w:val="21"/>
                      <w:u w:val="none"/>
                      <w:lang w:val="en-US" w:eastAsia="zh-CN" w:bidi="ar"/>
                    </w:rPr>
                    <w:t>1F</w:t>
                  </w:r>
                  <w:r>
                    <w:rPr>
                      <w:rFonts w:hint="eastAsia" w:ascii="宋体" w:hAnsi="宋体" w:eastAsia="宋体" w:cs="宋体"/>
                      <w:i w:val="0"/>
                      <w:iCs w:val="0"/>
                      <w:color w:val="0000FF"/>
                      <w:kern w:val="0"/>
                      <w:sz w:val="21"/>
                      <w:szCs w:val="21"/>
                      <w:u w:val="none"/>
                      <w:lang w:val="en-US" w:eastAsia="zh-CN" w:bidi="ar"/>
                    </w:rPr>
                    <w:t>，建筑面积约</w:t>
                  </w:r>
                  <w:r>
                    <w:rPr>
                      <w:rFonts w:hint="default" w:ascii="Times New Roman" w:hAnsi="Times New Roman" w:eastAsia="宋体" w:cs="Times New Roman"/>
                      <w:i w:val="0"/>
                      <w:iCs w:val="0"/>
                      <w:color w:val="0000FF"/>
                      <w:kern w:val="0"/>
                      <w:sz w:val="21"/>
                      <w:szCs w:val="21"/>
                      <w:u w:val="none"/>
                      <w:lang w:val="en-US" w:eastAsia="zh-CN" w:bidi="ar"/>
                    </w:rPr>
                    <w:t>35m</w:t>
                  </w:r>
                  <w:r>
                    <w:rPr>
                      <w:rFonts w:hint="default" w:ascii="Times New Roman" w:hAnsi="Times New Roman" w:eastAsia="宋体" w:cs="Times New Roman"/>
                      <w:i w:val="0"/>
                      <w:iCs w:val="0"/>
                      <w:color w:val="0000FF"/>
                      <w:kern w:val="0"/>
                      <w:sz w:val="21"/>
                      <w:szCs w:val="21"/>
                      <w:u w:val="none"/>
                      <w:vertAlign w:val="superscript"/>
                      <w:lang w:val="en-US" w:eastAsia="zh-CN" w:bidi="ar"/>
                    </w:rPr>
                    <w:t>2</w:t>
                  </w:r>
                  <w:r>
                    <w:rPr>
                      <w:rFonts w:hint="eastAsia" w:ascii="宋体" w:hAnsi="宋体" w:eastAsia="宋体" w:cs="宋体"/>
                      <w:i w:val="0"/>
                      <w:iCs w:val="0"/>
                      <w:color w:val="0000FF"/>
                      <w:kern w:val="0"/>
                      <w:sz w:val="21"/>
                      <w:szCs w:val="21"/>
                      <w:u w:val="none"/>
                      <w:lang w:val="en-US" w:eastAsia="zh-CN" w:bidi="ar"/>
                    </w:rPr>
                    <w:t>。用于回收注塑不合格品的五金件（黄铜、铝片）。</w:t>
                  </w:r>
                </w:p>
              </w:tc>
              <w:tc>
                <w:tcPr>
                  <w:tcW w:w="452" w:type="dxa"/>
                  <w:vMerge w:val="continue"/>
                  <w:noWrap/>
                  <w:vAlign w:val="center"/>
                </w:tcPr>
                <w:p w14:paraId="7A79C9AB">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78ED59D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07" w:type="dxa"/>
                  <w:noWrap w:val="0"/>
                  <w:vAlign w:val="center"/>
                </w:tcPr>
                <w:p w14:paraId="10F3A89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依托</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新建</w:t>
                  </w:r>
                </w:p>
              </w:tc>
            </w:tr>
            <w:tr w14:paraId="337AC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371" w:type="dxa"/>
                  <w:vMerge w:val="continue"/>
                  <w:noWrap w:val="0"/>
                  <w:vAlign w:val="center"/>
                </w:tcPr>
                <w:p w14:paraId="0D21EB83">
                  <w:pPr>
                    <w:jc w:val="center"/>
                    <w:rPr>
                      <w:rFonts w:hint="default" w:ascii="Times New Roman" w:hAnsi="Times New Roman" w:eastAsia="宋体" w:cs="Times New Roman"/>
                      <w:i w:val="0"/>
                      <w:iCs w:val="0"/>
                      <w:color w:val="0000FF"/>
                      <w:sz w:val="21"/>
                      <w:szCs w:val="21"/>
                      <w:u w:val="none"/>
                    </w:rPr>
                  </w:pPr>
                </w:p>
              </w:tc>
              <w:tc>
                <w:tcPr>
                  <w:tcW w:w="1307" w:type="dxa"/>
                  <w:gridSpan w:val="2"/>
                  <w:noWrap w:val="0"/>
                  <w:vAlign w:val="center"/>
                </w:tcPr>
                <w:p w14:paraId="1A6F46D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生产消耗品放置区</w:t>
                  </w:r>
                </w:p>
              </w:tc>
              <w:tc>
                <w:tcPr>
                  <w:tcW w:w="4451" w:type="dxa"/>
                  <w:noWrap w:val="0"/>
                  <w:vAlign w:val="center"/>
                </w:tcPr>
                <w:p w14:paraId="0D47B0B5">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w:t>
                  </w:r>
                  <w:r>
                    <w:rPr>
                      <w:rFonts w:hint="eastAsia" w:ascii="宋体" w:hAnsi="宋体" w:eastAsia="宋体" w:cs="宋体"/>
                      <w:i w:val="0"/>
                      <w:iCs w:val="0"/>
                      <w:color w:val="0000FF"/>
                      <w:kern w:val="0"/>
                      <w:sz w:val="21"/>
                      <w:szCs w:val="21"/>
                      <w:u w:val="none"/>
                      <w:lang w:val="en-US" w:eastAsia="zh-CN" w:bidi="ar"/>
                    </w:rPr>
                    <w:t>号厂房</w:t>
                  </w:r>
                  <w:r>
                    <w:rPr>
                      <w:rFonts w:hint="default" w:ascii="Times New Roman" w:hAnsi="Times New Roman" w:eastAsia="宋体" w:cs="Times New Roman"/>
                      <w:i w:val="0"/>
                      <w:iCs w:val="0"/>
                      <w:color w:val="0000FF"/>
                      <w:kern w:val="0"/>
                      <w:sz w:val="21"/>
                      <w:szCs w:val="21"/>
                      <w:u w:val="none"/>
                      <w:lang w:val="en-US" w:eastAsia="zh-CN" w:bidi="ar"/>
                    </w:rPr>
                    <w:t>1F</w:t>
                  </w:r>
                  <w:r>
                    <w:rPr>
                      <w:rFonts w:hint="eastAsia" w:ascii="宋体" w:hAnsi="宋体" w:eastAsia="宋体" w:cs="宋体"/>
                      <w:i w:val="0"/>
                      <w:iCs w:val="0"/>
                      <w:color w:val="0000FF"/>
                      <w:kern w:val="0"/>
                      <w:sz w:val="21"/>
                      <w:szCs w:val="21"/>
                      <w:u w:val="none"/>
                      <w:lang w:val="en-US" w:eastAsia="zh-CN" w:bidi="ar"/>
                    </w:rPr>
                    <w:t>，建筑面积约</w:t>
                  </w:r>
                  <w:r>
                    <w:rPr>
                      <w:rFonts w:hint="default" w:ascii="Times New Roman" w:hAnsi="Times New Roman" w:eastAsia="宋体" w:cs="Times New Roman"/>
                      <w:i w:val="0"/>
                      <w:iCs w:val="0"/>
                      <w:color w:val="0000FF"/>
                      <w:kern w:val="0"/>
                      <w:sz w:val="21"/>
                      <w:szCs w:val="21"/>
                      <w:u w:val="none"/>
                      <w:lang w:val="en-US" w:eastAsia="zh-CN" w:bidi="ar"/>
                    </w:rPr>
                    <w:t>70m</w:t>
                  </w:r>
                  <w:r>
                    <w:rPr>
                      <w:rFonts w:hint="default" w:ascii="Times New Roman" w:hAnsi="Times New Roman" w:eastAsia="宋体" w:cs="Times New Roman"/>
                      <w:i w:val="0"/>
                      <w:iCs w:val="0"/>
                      <w:color w:val="0000FF"/>
                      <w:kern w:val="0"/>
                      <w:sz w:val="21"/>
                      <w:szCs w:val="21"/>
                      <w:u w:val="none"/>
                      <w:vertAlign w:val="superscript"/>
                      <w:lang w:val="en-US" w:eastAsia="zh-CN" w:bidi="ar"/>
                    </w:rPr>
                    <w:t>2</w:t>
                  </w:r>
                  <w:r>
                    <w:rPr>
                      <w:rFonts w:hint="eastAsia" w:ascii="宋体" w:hAnsi="宋体" w:eastAsia="宋体" w:cs="宋体"/>
                      <w:i w:val="0"/>
                      <w:iCs w:val="0"/>
                      <w:color w:val="0000FF"/>
                      <w:kern w:val="0"/>
                      <w:sz w:val="21"/>
                      <w:szCs w:val="21"/>
                      <w:u w:val="none"/>
                      <w:lang w:val="en-US" w:eastAsia="zh-CN" w:bidi="ar"/>
                    </w:rPr>
                    <w:t>。用于放置生产过程中的消耗品。</w:t>
                  </w:r>
                </w:p>
              </w:tc>
              <w:tc>
                <w:tcPr>
                  <w:tcW w:w="452" w:type="dxa"/>
                  <w:vMerge w:val="continue"/>
                  <w:noWrap/>
                  <w:vAlign w:val="center"/>
                </w:tcPr>
                <w:p w14:paraId="0D8A7958">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6CBE2C2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07" w:type="dxa"/>
                  <w:noWrap w:val="0"/>
                  <w:vAlign w:val="center"/>
                </w:tcPr>
                <w:p w14:paraId="2646044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依托</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新建</w:t>
                  </w:r>
                </w:p>
              </w:tc>
            </w:tr>
            <w:tr w14:paraId="32578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371" w:type="dxa"/>
                  <w:vMerge w:val="continue"/>
                  <w:noWrap w:val="0"/>
                  <w:vAlign w:val="center"/>
                </w:tcPr>
                <w:p w14:paraId="36899977">
                  <w:pPr>
                    <w:jc w:val="center"/>
                    <w:rPr>
                      <w:rFonts w:hint="default" w:ascii="Times New Roman" w:hAnsi="Times New Roman" w:eastAsia="宋体" w:cs="Times New Roman"/>
                      <w:i w:val="0"/>
                      <w:iCs w:val="0"/>
                      <w:color w:val="0000FF"/>
                      <w:sz w:val="21"/>
                      <w:szCs w:val="21"/>
                      <w:u w:val="none"/>
                    </w:rPr>
                  </w:pPr>
                </w:p>
              </w:tc>
              <w:tc>
                <w:tcPr>
                  <w:tcW w:w="1307" w:type="dxa"/>
                  <w:gridSpan w:val="2"/>
                  <w:noWrap w:val="0"/>
                  <w:vAlign w:val="center"/>
                </w:tcPr>
                <w:p w14:paraId="52FB2D3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机修工具房</w:t>
                  </w:r>
                </w:p>
              </w:tc>
              <w:tc>
                <w:tcPr>
                  <w:tcW w:w="4451" w:type="dxa"/>
                  <w:noWrap w:val="0"/>
                  <w:vAlign w:val="center"/>
                </w:tcPr>
                <w:p w14:paraId="343D6CBB">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w:t>
                  </w:r>
                  <w:r>
                    <w:rPr>
                      <w:rFonts w:hint="eastAsia" w:ascii="宋体" w:hAnsi="宋体" w:eastAsia="宋体" w:cs="宋体"/>
                      <w:i w:val="0"/>
                      <w:iCs w:val="0"/>
                      <w:color w:val="0000FF"/>
                      <w:kern w:val="0"/>
                      <w:sz w:val="21"/>
                      <w:szCs w:val="21"/>
                      <w:u w:val="none"/>
                      <w:lang w:val="en-US" w:eastAsia="zh-CN" w:bidi="ar"/>
                    </w:rPr>
                    <w:t>号厂房</w:t>
                  </w:r>
                  <w:r>
                    <w:rPr>
                      <w:rFonts w:hint="default" w:ascii="Times New Roman" w:hAnsi="Times New Roman" w:eastAsia="宋体" w:cs="Times New Roman"/>
                      <w:i w:val="0"/>
                      <w:iCs w:val="0"/>
                      <w:color w:val="0000FF"/>
                      <w:kern w:val="0"/>
                      <w:sz w:val="21"/>
                      <w:szCs w:val="21"/>
                      <w:u w:val="none"/>
                      <w:lang w:val="en-US" w:eastAsia="zh-CN" w:bidi="ar"/>
                    </w:rPr>
                    <w:t>1F</w:t>
                  </w:r>
                  <w:r>
                    <w:rPr>
                      <w:rFonts w:hint="eastAsia" w:ascii="宋体" w:hAnsi="宋体" w:eastAsia="宋体" w:cs="宋体"/>
                      <w:i w:val="0"/>
                      <w:iCs w:val="0"/>
                      <w:color w:val="0000FF"/>
                      <w:kern w:val="0"/>
                      <w:sz w:val="21"/>
                      <w:szCs w:val="21"/>
                      <w:u w:val="none"/>
                      <w:lang w:val="en-US" w:eastAsia="zh-CN" w:bidi="ar"/>
                    </w:rPr>
                    <w:t>，建筑面积约</w:t>
                  </w:r>
                  <w:r>
                    <w:rPr>
                      <w:rFonts w:hint="default" w:ascii="Times New Roman" w:hAnsi="Times New Roman" w:eastAsia="宋体" w:cs="Times New Roman"/>
                      <w:i w:val="0"/>
                      <w:iCs w:val="0"/>
                      <w:color w:val="0000FF"/>
                      <w:kern w:val="0"/>
                      <w:sz w:val="21"/>
                      <w:szCs w:val="21"/>
                      <w:u w:val="none"/>
                      <w:lang w:val="en-US" w:eastAsia="zh-CN" w:bidi="ar"/>
                    </w:rPr>
                    <w:t>10m</w:t>
                  </w:r>
                  <w:r>
                    <w:rPr>
                      <w:rFonts w:hint="default" w:ascii="Times New Roman" w:hAnsi="Times New Roman" w:eastAsia="宋体" w:cs="Times New Roman"/>
                      <w:i w:val="0"/>
                      <w:iCs w:val="0"/>
                      <w:color w:val="0000FF"/>
                      <w:kern w:val="0"/>
                      <w:sz w:val="21"/>
                      <w:szCs w:val="21"/>
                      <w:u w:val="none"/>
                      <w:vertAlign w:val="superscript"/>
                      <w:lang w:val="en-US" w:eastAsia="zh-CN" w:bidi="ar"/>
                    </w:rPr>
                    <w:t>2</w:t>
                  </w:r>
                  <w:r>
                    <w:rPr>
                      <w:rFonts w:hint="eastAsia" w:ascii="宋体" w:hAnsi="宋体" w:eastAsia="宋体" w:cs="宋体"/>
                      <w:i w:val="0"/>
                      <w:iCs w:val="0"/>
                      <w:color w:val="0000FF"/>
                      <w:kern w:val="0"/>
                      <w:sz w:val="21"/>
                      <w:szCs w:val="21"/>
                      <w:u w:val="none"/>
                      <w:lang w:val="en-US" w:eastAsia="zh-CN" w:bidi="ar"/>
                    </w:rPr>
                    <w:t>。主要用于对设备的简单维修。</w:t>
                  </w:r>
                </w:p>
              </w:tc>
              <w:tc>
                <w:tcPr>
                  <w:tcW w:w="452" w:type="dxa"/>
                  <w:vMerge w:val="continue"/>
                  <w:noWrap/>
                  <w:vAlign w:val="center"/>
                </w:tcPr>
                <w:p w14:paraId="361FD93B">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31B1889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07" w:type="dxa"/>
                  <w:noWrap w:val="0"/>
                  <w:vAlign w:val="center"/>
                </w:tcPr>
                <w:p w14:paraId="34BAC6B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依托</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新建</w:t>
                  </w:r>
                </w:p>
              </w:tc>
            </w:tr>
            <w:tr w14:paraId="3807E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dxa"/>
                  <w:vMerge w:val="continue"/>
                  <w:noWrap w:val="0"/>
                  <w:vAlign w:val="center"/>
                </w:tcPr>
                <w:p w14:paraId="042F21AC">
                  <w:pPr>
                    <w:jc w:val="center"/>
                    <w:rPr>
                      <w:rFonts w:hint="default" w:ascii="Times New Roman" w:hAnsi="Times New Roman" w:eastAsia="宋体" w:cs="Times New Roman"/>
                      <w:i w:val="0"/>
                      <w:iCs w:val="0"/>
                      <w:color w:val="0000FF"/>
                      <w:sz w:val="21"/>
                      <w:szCs w:val="21"/>
                      <w:u w:val="none"/>
                    </w:rPr>
                  </w:pPr>
                </w:p>
              </w:tc>
              <w:tc>
                <w:tcPr>
                  <w:tcW w:w="1307" w:type="dxa"/>
                  <w:gridSpan w:val="2"/>
                  <w:noWrap w:val="0"/>
                  <w:vAlign w:val="center"/>
                </w:tcPr>
                <w:p w14:paraId="67A2907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lang w:val="en-US"/>
                    </w:rPr>
                  </w:pPr>
                  <w:r>
                    <w:rPr>
                      <w:rFonts w:hint="eastAsia" w:ascii="宋体" w:hAnsi="宋体" w:eastAsia="宋体" w:cs="宋体"/>
                      <w:i w:val="0"/>
                      <w:iCs w:val="0"/>
                      <w:color w:val="0000FF"/>
                      <w:kern w:val="0"/>
                      <w:sz w:val="21"/>
                      <w:szCs w:val="21"/>
                      <w:u w:val="none"/>
                      <w:lang w:val="en-US" w:eastAsia="zh-CN" w:bidi="ar"/>
                    </w:rPr>
                    <w:t>生产工具房</w:t>
                  </w:r>
                </w:p>
              </w:tc>
              <w:tc>
                <w:tcPr>
                  <w:tcW w:w="4451" w:type="dxa"/>
                  <w:noWrap w:val="0"/>
                  <w:vAlign w:val="center"/>
                </w:tcPr>
                <w:p w14:paraId="2864C9B5">
                  <w:pPr>
                    <w:keepNext w:val="0"/>
                    <w:keepLines w:val="0"/>
                    <w:widowControl/>
                    <w:suppressLineNumbers w:val="0"/>
                    <w:jc w:val="both"/>
                    <w:textAlignment w:val="center"/>
                    <w:rPr>
                      <w:color w:val="0000FF"/>
                    </w:rPr>
                  </w:pPr>
                  <w:r>
                    <w:rPr>
                      <w:rFonts w:hint="default" w:ascii="Times New Roman" w:hAnsi="Times New Roman" w:eastAsia="宋体" w:cs="Times New Roman"/>
                      <w:i w:val="0"/>
                      <w:iCs w:val="0"/>
                      <w:color w:val="0000FF"/>
                      <w:kern w:val="0"/>
                      <w:sz w:val="21"/>
                      <w:szCs w:val="21"/>
                      <w:u w:val="none"/>
                      <w:lang w:val="en-US" w:eastAsia="zh-CN" w:bidi="ar"/>
                    </w:rPr>
                    <w:t>2</w:t>
                  </w:r>
                  <w:r>
                    <w:rPr>
                      <w:rFonts w:hint="eastAsia" w:ascii="宋体" w:hAnsi="宋体" w:eastAsia="宋体" w:cs="宋体"/>
                      <w:i w:val="0"/>
                      <w:iCs w:val="0"/>
                      <w:color w:val="0000FF"/>
                      <w:kern w:val="0"/>
                      <w:sz w:val="21"/>
                      <w:szCs w:val="21"/>
                      <w:u w:val="none"/>
                      <w:lang w:val="en-US" w:eastAsia="zh-CN" w:bidi="ar"/>
                    </w:rPr>
                    <w:t>号厂房</w:t>
                  </w:r>
                  <w:r>
                    <w:rPr>
                      <w:rFonts w:hint="default" w:ascii="Times New Roman" w:hAnsi="Times New Roman" w:eastAsia="宋体" w:cs="Times New Roman"/>
                      <w:i w:val="0"/>
                      <w:iCs w:val="0"/>
                      <w:color w:val="0000FF"/>
                      <w:kern w:val="0"/>
                      <w:sz w:val="21"/>
                      <w:szCs w:val="21"/>
                      <w:u w:val="none"/>
                      <w:lang w:val="en-US" w:eastAsia="zh-CN" w:bidi="ar"/>
                    </w:rPr>
                    <w:t>1F</w:t>
                  </w:r>
                  <w:r>
                    <w:rPr>
                      <w:rFonts w:hint="eastAsia" w:ascii="宋体" w:hAnsi="宋体" w:eastAsia="宋体" w:cs="宋体"/>
                      <w:i w:val="0"/>
                      <w:iCs w:val="0"/>
                      <w:color w:val="0000FF"/>
                      <w:kern w:val="0"/>
                      <w:sz w:val="21"/>
                      <w:szCs w:val="21"/>
                      <w:u w:val="none"/>
                      <w:lang w:val="en-US" w:eastAsia="zh-CN" w:bidi="ar"/>
                    </w:rPr>
                    <w:t>，建筑面积约</w:t>
                  </w:r>
                  <w:r>
                    <w:rPr>
                      <w:rFonts w:hint="default" w:ascii="Times New Roman" w:hAnsi="Times New Roman" w:eastAsia="宋体" w:cs="Times New Roman"/>
                      <w:i w:val="0"/>
                      <w:iCs w:val="0"/>
                      <w:color w:val="0000FF"/>
                      <w:kern w:val="0"/>
                      <w:sz w:val="21"/>
                      <w:szCs w:val="21"/>
                      <w:u w:val="none"/>
                      <w:lang w:val="en-US" w:eastAsia="zh-CN" w:bidi="ar"/>
                    </w:rPr>
                    <w:t>40m</w:t>
                  </w:r>
                  <w:r>
                    <w:rPr>
                      <w:rFonts w:hint="default" w:ascii="Times New Roman" w:hAnsi="Times New Roman" w:eastAsia="宋体" w:cs="Times New Roman"/>
                      <w:i w:val="0"/>
                      <w:iCs w:val="0"/>
                      <w:color w:val="0000FF"/>
                      <w:kern w:val="0"/>
                      <w:sz w:val="21"/>
                      <w:szCs w:val="21"/>
                      <w:u w:val="none"/>
                      <w:vertAlign w:val="superscript"/>
                      <w:lang w:val="en-US" w:eastAsia="zh-CN" w:bidi="ar"/>
                    </w:rPr>
                    <w:t>2</w:t>
                  </w:r>
                  <w:r>
                    <w:rPr>
                      <w:rFonts w:hint="eastAsia" w:ascii="宋体" w:hAnsi="宋体" w:eastAsia="宋体" w:cs="宋体"/>
                      <w:i w:val="0"/>
                      <w:iCs w:val="0"/>
                      <w:color w:val="0000FF"/>
                      <w:kern w:val="0"/>
                      <w:sz w:val="21"/>
                      <w:szCs w:val="21"/>
                      <w:u w:val="none"/>
                      <w:lang w:val="en-US" w:eastAsia="zh-CN" w:bidi="ar"/>
                    </w:rPr>
                    <w:t>。用于存放生产工具。</w:t>
                  </w:r>
                </w:p>
              </w:tc>
              <w:tc>
                <w:tcPr>
                  <w:tcW w:w="452" w:type="dxa"/>
                  <w:vMerge w:val="continue"/>
                  <w:noWrap/>
                  <w:vAlign w:val="center"/>
                </w:tcPr>
                <w:p w14:paraId="3CD3056D">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5EB5D0E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07" w:type="dxa"/>
                  <w:noWrap w:val="0"/>
                  <w:vAlign w:val="center"/>
                </w:tcPr>
                <w:p w14:paraId="6B3D291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依托</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新建</w:t>
                  </w:r>
                </w:p>
              </w:tc>
            </w:tr>
            <w:tr w14:paraId="693A8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1" w:type="dxa"/>
                  <w:vMerge w:val="continue"/>
                  <w:noWrap w:val="0"/>
                  <w:vAlign w:val="center"/>
                </w:tcPr>
                <w:p w14:paraId="0BEB458E">
                  <w:pPr>
                    <w:jc w:val="center"/>
                    <w:rPr>
                      <w:rFonts w:hint="default" w:ascii="Times New Roman" w:hAnsi="Times New Roman" w:eastAsia="宋体" w:cs="Times New Roman"/>
                      <w:i w:val="0"/>
                      <w:iCs w:val="0"/>
                      <w:color w:val="0000FF"/>
                      <w:sz w:val="21"/>
                      <w:szCs w:val="21"/>
                      <w:u w:val="none"/>
                    </w:rPr>
                  </w:pPr>
                </w:p>
              </w:tc>
              <w:tc>
                <w:tcPr>
                  <w:tcW w:w="1307" w:type="dxa"/>
                  <w:gridSpan w:val="2"/>
                  <w:noWrap w:val="0"/>
                  <w:vAlign w:val="center"/>
                </w:tcPr>
                <w:p w14:paraId="1D3F5BF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生产备件房</w:t>
                  </w:r>
                </w:p>
              </w:tc>
              <w:tc>
                <w:tcPr>
                  <w:tcW w:w="4451" w:type="dxa"/>
                  <w:noWrap w:val="0"/>
                  <w:vAlign w:val="center"/>
                </w:tcPr>
                <w:p w14:paraId="14330059">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w:t>
                  </w:r>
                  <w:r>
                    <w:rPr>
                      <w:rFonts w:hint="eastAsia" w:ascii="宋体" w:hAnsi="宋体" w:eastAsia="宋体" w:cs="宋体"/>
                      <w:i w:val="0"/>
                      <w:iCs w:val="0"/>
                      <w:color w:val="0000FF"/>
                      <w:kern w:val="0"/>
                      <w:sz w:val="21"/>
                      <w:szCs w:val="21"/>
                      <w:u w:val="none"/>
                      <w:lang w:val="en-US" w:eastAsia="zh-CN" w:bidi="ar"/>
                    </w:rPr>
                    <w:t>号厂房</w:t>
                  </w:r>
                  <w:r>
                    <w:rPr>
                      <w:rFonts w:hint="default" w:ascii="Times New Roman" w:hAnsi="Times New Roman" w:eastAsia="宋体" w:cs="Times New Roman"/>
                      <w:i w:val="0"/>
                      <w:iCs w:val="0"/>
                      <w:color w:val="0000FF"/>
                      <w:kern w:val="0"/>
                      <w:sz w:val="21"/>
                      <w:szCs w:val="21"/>
                      <w:u w:val="none"/>
                      <w:lang w:val="en-US" w:eastAsia="zh-CN" w:bidi="ar"/>
                    </w:rPr>
                    <w:t>1F</w:t>
                  </w:r>
                  <w:r>
                    <w:rPr>
                      <w:rFonts w:hint="eastAsia" w:ascii="宋体" w:hAnsi="宋体" w:eastAsia="宋体" w:cs="宋体"/>
                      <w:i w:val="0"/>
                      <w:iCs w:val="0"/>
                      <w:color w:val="0000FF"/>
                      <w:kern w:val="0"/>
                      <w:sz w:val="21"/>
                      <w:szCs w:val="21"/>
                      <w:u w:val="none"/>
                      <w:lang w:val="en-US" w:eastAsia="zh-CN" w:bidi="ar"/>
                    </w:rPr>
                    <w:t>，建筑面积约</w:t>
                  </w:r>
                  <w:r>
                    <w:rPr>
                      <w:rFonts w:hint="default" w:ascii="Times New Roman" w:hAnsi="Times New Roman" w:eastAsia="宋体" w:cs="Times New Roman"/>
                      <w:i w:val="0"/>
                      <w:iCs w:val="0"/>
                      <w:color w:val="0000FF"/>
                      <w:kern w:val="0"/>
                      <w:sz w:val="21"/>
                      <w:szCs w:val="21"/>
                      <w:u w:val="none"/>
                      <w:lang w:val="en-US" w:eastAsia="zh-CN" w:bidi="ar"/>
                    </w:rPr>
                    <w:t>45m</w:t>
                  </w:r>
                  <w:r>
                    <w:rPr>
                      <w:rFonts w:hint="default" w:ascii="Times New Roman" w:hAnsi="Times New Roman" w:eastAsia="宋体" w:cs="Times New Roman"/>
                      <w:i w:val="0"/>
                      <w:iCs w:val="0"/>
                      <w:color w:val="0000FF"/>
                      <w:kern w:val="0"/>
                      <w:sz w:val="21"/>
                      <w:szCs w:val="21"/>
                      <w:u w:val="none"/>
                      <w:vertAlign w:val="superscript"/>
                      <w:lang w:val="en-US" w:eastAsia="zh-CN" w:bidi="ar"/>
                    </w:rPr>
                    <w:t>2</w:t>
                  </w:r>
                  <w:r>
                    <w:rPr>
                      <w:rFonts w:hint="eastAsia" w:ascii="宋体" w:hAnsi="宋体" w:eastAsia="宋体" w:cs="宋体"/>
                      <w:i w:val="0"/>
                      <w:iCs w:val="0"/>
                      <w:color w:val="0000FF"/>
                      <w:kern w:val="0"/>
                      <w:sz w:val="21"/>
                      <w:szCs w:val="21"/>
                      <w:u w:val="none"/>
                      <w:lang w:val="en-US" w:eastAsia="zh-CN" w:bidi="ar"/>
                    </w:rPr>
                    <w:t>。用于存放生产备用件。</w:t>
                  </w:r>
                </w:p>
              </w:tc>
              <w:tc>
                <w:tcPr>
                  <w:tcW w:w="452" w:type="dxa"/>
                  <w:vMerge w:val="continue"/>
                  <w:noWrap/>
                  <w:vAlign w:val="center"/>
                </w:tcPr>
                <w:p w14:paraId="527846DE">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56AA351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lang w:val="en-US"/>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07" w:type="dxa"/>
                  <w:noWrap w:val="0"/>
                  <w:vAlign w:val="center"/>
                </w:tcPr>
                <w:p w14:paraId="78B1769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依托</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新建</w:t>
                  </w:r>
                </w:p>
              </w:tc>
            </w:tr>
            <w:tr w14:paraId="1D50E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1" w:type="dxa"/>
                  <w:vMerge w:val="restart"/>
                  <w:noWrap w:val="0"/>
                  <w:vAlign w:val="center"/>
                </w:tcPr>
                <w:p w14:paraId="7EEB03F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公用工程</w:t>
                  </w:r>
                </w:p>
              </w:tc>
              <w:tc>
                <w:tcPr>
                  <w:tcW w:w="1307" w:type="dxa"/>
                  <w:gridSpan w:val="2"/>
                  <w:noWrap w:val="0"/>
                  <w:vAlign w:val="center"/>
                </w:tcPr>
                <w:p w14:paraId="0A930B2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给水</w:t>
                  </w:r>
                </w:p>
              </w:tc>
              <w:tc>
                <w:tcPr>
                  <w:tcW w:w="4451" w:type="dxa"/>
                  <w:noWrap w:val="0"/>
                  <w:vAlign w:val="center"/>
                </w:tcPr>
                <w:p w14:paraId="1A240571">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lang w:val="en-US"/>
                    </w:rPr>
                  </w:pPr>
                  <w:r>
                    <w:rPr>
                      <w:rFonts w:hint="eastAsia" w:ascii="宋体" w:hAnsi="宋体" w:eastAsia="宋体" w:cs="宋体"/>
                      <w:i w:val="0"/>
                      <w:iCs w:val="0"/>
                      <w:color w:val="0000FF"/>
                      <w:kern w:val="0"/>
                      <w:sz w:val="21"/>
                      <w:szCs w:val="21"/>
                      <w:u w:val="none"/>
                      <w:lang w:val="en-US" w:eastAsia="zh-CN" w:bidi="ar"/>
                    </w:rPr>
                    <w:t>依托厂区现有的供水管网供水及配套设施，新建厂房内部给水管网。</w:t>
                  </w:r>
                </w:p>
              </w:tc>
              <w:tc>
                <w:tcPr>
                  <w:tcW w:w="452" w:type="dxa"/>
                  <w:vMerge w:val="continue"/>
                  <w:noWrap/>
                  <w:vAlign w:val="center"/>
                </w:tcPr>
                <w:p w14:paraId="4BDD03F8">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42F5D90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07" w:type="dxa"/>
                  <w:noWrap w:val="0"/>
                  <w:vAlign w:val="center"/>
                </w:tcPr>
                <w:p w14:paraId="72F9F2E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依托</w:t>
                  </w:r>
                </w:p>
              </w:tc>
            </w:tr>
            <w:tr w14:paraId="468EE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1" w:type="dxa"/>
                  <w:vMerge w:val="continue"/>
                  <w:noWrap w:val="0"/>
                  <w:vAlign w:val="center"/>
                </w:tcPr>
                <w:p w14:paraId="1E6719FF">
                  <w:pPr>
                    <w:jc w:val="center"/>
                    <w:rPr>
                      <w:rFonts w:hint="default" w:ascii="Times New Roman" w:hAnsi="Times New Roman" w:eastAsia="宋体" w:cs="Times New Roman"/>
                      <w:i w:val="0"/>
                      <w:iCs w:val="0"/>
                      <w:color w:val="0000FF"/>
                      <w:sz w:val="21"/>
                      <w:szCs w:val="21"/>
                      <w:u w:val="none"/>
                    </w:rPr>
                  </w:pPr>
                </w:p>
              </w:tc>
              <w:tc>
                <w:tcPr>
                  <w:tcW w:w="1307" w:type="dxa"/>
                  <w:gridSpan w:val="2"/>
                  <w:noWrap w:val="0"/>
                  <w:vAlign w:val="center"/>
                </w:tcPr>
                <w:p w14:paraId="52B6E95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排水</w:t>
                  </w:r>
                </w:p>
              </w:tc>
              <w:tc>
                <w:tcPr>
                  <w:tcW w:w="4451" w:type="dxa"/>
                  <w:noWrap w:val="0"/>
                  <w:vAlign w:val="center"/>
                </w:tcPr>
                <w:p w14:paraId="53DCB0E0">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厂房外部排水依托现有设施，新建厂房内部排水管网。</w:t>
                  </w:r>
                </w:p>
              </w:tc>
              <w:tc>
                <w:tcPr>
                  <w:tcW w:w="452" w:type="dxa"/>
                  <w:vMerge w:val="continue"/>
                  <w:noWrap/>
                  <w:vAlign w:val="center"/>
                </w:tcPr>
                <w:p w14:paraId="7851350F">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55E1B9F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07" w:type="dxa"/>
                  <w:noWrap w:val="0"/>
                  <w:vAlign w:val="center"/>
                </w:tcPr>
                <w:p w14:paraId="58DFA81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依托</w:t>
                  </w:r>
                </w:p>
              </w:tc>
            </w:tr>
            <w:tr w14:paraId="7FB1F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1" w:type="dxa"/>
                  <w:vMerge w:val="continue"/>
                  <w:noWrap/>
                  <w:vAlign w:val="center"/>
                </w:tcPr>
                <w:p w14:paraId="6C67187F">
                  <w:pPr>
                    <w:jc w:val="center"/>
                    <w:rPr>
                      <w:rFonts w:hint="default" w:ascii="Times New Roman" w:hAnsi="Times New Roman" w:eastAsia="宋体" w:cs="Times New Roman"/>
                      <w:i w:val="0"/>
                      <w:iCs w:val="0"/>
                      <w:color w:val="0000FF"/>
                      <w:sz w:val="21"/>
                      <w:szCs w:val="21"/>
                      <w:u w:val="none"/>
                    </w:rPr>
                  </w:pPr>
                </w:p>
              </w:tc>
              <w:tc>
                <w:tcPr>
                  <w:tcW w:w="1307" w:type="dxa"/>
                  <w:gridSpan w:val="2"/>
                  <w:noWrap w:val="0"/>
                  <w:vAlign w:val="center"/>
                </w:tcPr>
                <w:p w14:paraId="6E5ECDB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供电</w:t>
                  </w:r>
                </w:p>
              </w:tc>
              <w:tc>
                <w:tcPr>
                  <w:tcW w:w="4451" w:type="dxa"/>
                  <w:noWrap w:val="0"/>
                  <w:vAlign w:val="center"/>
                </w:tcPr>
                <w:p w14:paraId="10D04597">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厂房外部供电依托现有设施，新建厂房内部设备供电线路。</w:t>
                  </w:r>
                </w:p>
              </w:tc>
              <w:tc>
                <w:tcPr>
                  <w:tcW w:w="452" w:type="dxa"/>
                  <w:vMerge w:val="continue"/>
                  <w:noWrap/>
                  <w:vAlign w:val="center"/>
                </w:tcPr>
                <w:p w14:paraId="07648FE1">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3BBE8B8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07" w:type="dxa"/>
                  <w:noWrap w:val="0"/>
                  <w:vAlign w:val="center"/>
                </w:tcPr>
                <w:p w14:paraId="5DCF4E1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依托</w:t>
                  </w:r>
                </w:p>
              </w:tc>
            </w:tr>
            <w:tr w14:paraId="23D9D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dxa"/>
                  <w:vMerge w:val="continue"/>
                  <w:noWrap/>
                  <w:vAlign w:val="center"/>
                </w:tcPr>
                <w:p w14:paraId="00CDB916">
                  <w:pPr>
                    <w:jc w:val="center"/>
                    <w:rPr>
                      <w:rFonts w:hint="default" w:ascii="Times New Roman" w:hAnsi="Times New Roman" w:eastAsia="宋体" w:cs="Times New Roman"/>
                      <w:i w:val="0"/>
                      <w:iCs w:val="0"/>
                      <w:color w:val="0000FF"/>
                      <w:sz w:val="21"/>
                      <w:szCs w:val="21"/>
                      <w:u w:val="none"/>
                    </w:rPr>
                  </w:pPr>
                </w:p>
              </w:tc>
              <w:tc>
                <w:tcPr>
                  <w:tcW w:w="1307" w:type="dxa"/>
                  <w:gridSpan w:val="2"/>
                  <w:noWrap w:val="0"/>
                  <w:vAlign w:val="center"/>
                </w:tcPr>
                <w:p w14:paraId="59EAEA0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办公场所</w:t>
                  </w:r>
                </w:p>
              </w:tc>
              <w:tc>
                <w:tcPr>
                  <w:tcW w:w="4451" w:type="dxa"/>
                  <w:noWrap w:val="0"/>
                  <w:vAlign w:val="center"/>
                </w:tcPr>
                <w:p w14:paraId="13AEC8FB">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w:t>
                  </w:r>
                  <w:r>
                    <w:rPr>
                      <w:rFonts w:hint="eastAsia" w:ascii="宋体" w:hAnsi="宋体" w:eastAsia="宋体" w:cs="宋体"/>
                      <w:i w:val="0"/>
                      <w:iCs w:val="0"/>
                      <w:color w:val="0000FF"/>
                      <w:kern w:val="0"/>
                      <w:sz w:val="21"/>
                      <w:szCs w:val="21"/>
                      <w:u w:val="none"/>
                      <w:lang w:val="en-US" w:eastAsia="zh-CN" w:bidi="ar"/>
                    </w:rPr>
                    <w:t>号厂房</w:t>
                  </w:r>
                  <w:r>
                    <w:rPr>
                      <w:rFonts w:hint="default" w:ascii="Times New Roman" w:hAnsi="Times New Roman" w:eastAsia="宋体" w:cs="Times New Roman"/>
                      <w:i w:val="0"/>
                      <w:iCs w:val="0"/>
                      <w:color w:val="0000FF"/>
                      <w:kern w:val="0"/>
                      <w:sz w:val="21"/>
                      <w:szCs w:val="21"/>
                      <w:u w:val="none"/>
                      <w:lang w:val="en-US" w:eastAsia="zh-CN" w:bidi="ar"/>
                    </w:rPr>
                    <w:t>2F</w:t>
                  </w:r>
                  <w:r>
                    <w:rPr>
                      <w:rFonts w:hint="eastAsia" w:ascii="宋体" w:hAnsi="宋体" w:eastAsia="宋体" w:cs="宋体"/>
                      <w:i w:val="0"/>
                      <w:iCs w:val="0"/>
                      <w:color w:val="0000FF"/>
                      <w:kern w:val="0"/>
                      <w:sz w:val="21"/>
                      <w:szCs w:val="21"/>
                      <w:u w:val="none"/>
                      <w:lang w:val="en-US" w:eastAsia="zh-CN" w:bidi="ar"/>
                    </w:rPr>
                    <w:t>建筑面积约</w:t>
                  </w:r>
                  <w:r>
                    <w:rPr>
                      <w:rFonts w:hint="default" w:ascii="Times New Roman" w:hAnsi="Times New Roman" w:eastAsia="宋体" w:cs="Times New Roman"/>
                      <w:i w:val="0"/>
                      <w:iCs w:val="0"/>
                      <w:color w:val="0000FF"/>
                      <w:kern w:val="0"/>
                      <w:sz w:val="21"/>
                      <w:szCs w:val="21"/>
                      <w:u w:val="none"/>
                      <w:lang w:val="en-US" w:eastAsia="zh-CN" w:bidi="ar"/>
                    </w:rPr>
                    <w:t>2880m</w:t>
                  </w:r>
                  <w:r>
                    <w:rPr>
                      <w:rFonts w:hint="default" w:ascii="Times New Roman" w:hAnsi="Times New Roman" w:eastAsia="宋体" w:cs="Times New Roman"/>
                      <w:i w:val="0"/>
                      <w:iCs w:val="0"/>
                      <w:color w:val="0000FF"/>
                      <w:kern w:val="0"/>
                      <w:sz w:val="21"/>
                      <w:szCs w:val="21"/>
                      <w:u w:val="none"/>
                      <w:vertAlign w:val="superscript"/>
                      <w:lang w:val="en-US" w:eastAsia="zh-CN" w:bidi="ar"/>
                    </w:rPr>
                    <w:t>2</w:t>
                  </w:r>
                  <w:r>
                    <w:rPr>
                      <w:rFonts w:hint="eastAsia" w:ascii="宋体" w:hAnsi="宋体" w:eastAsia="宋体" w:cs="宋体"/>
                      <w:i w:val="0"/>
                      <w:iCs w:val="0"/>
                      <w:color w:val="0000FF"/>
                      <w:kern w:val="0"/>
                      <w:sz w:val="21"/>
                      <w:szCs w:val="21"/>
                      <w:u w:val="none"/>
                      <w:lang w:val="en-US" w:eastAsia="zh-CN" w:bidi="ar"/>
                    </w:rPr>
                    <w:t>，主要布置业务总监办公室、财务总监办公室等，主要作为办公场所。</w:t>
                  </w:r>
                </w:p>
              </w:tc>
              <w:tc>
                <w:tcPr>
                  <w:tcW w:w="452" w:type="dxa"/>
                  <w:vMerge w:val="continue"/>
                  <w:noWrap/>
                  <w:vAlign w:val="center"/>
                </w:tcPr>
                <w:p w14:paraId="0C8EF9F2">
                  <w:pPr>
                    <w:jc w:val="center"/>
                    <w:rPr>
                      <w:rFonts w:hint="default" w:ascii="Times New Roman" w:hAnsi="Times New Roman" w:eastAsia="宋体" w:cs="Times New Roman"/>
                      <w:i w:val="0"/>
                      <w:iCs w:val="0"/>
                      <w:color w:val="0000FF"/>
                      <w:sz w:val="21"/>
                      <w:szCs w:val="21"/>
                      <w:u w:val="none"/>
                    </w:rPr>
                  </w:pPr>
                </w:p>
              </w:tc>
              <w:tc>
                <w:tcPr>
                  <w:tcW w:w="839" w:type="dxa"/>
                  <w:noWrap/>
                  <w:vAlign w:val="center"/>
                </w:tcPr>
                <w:p w14:paraId="467B773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噪声、废水、固废</w:t>
                  </w:r>
                </w:p>
              </w:tc>
              <w:tc>
                <w:tcPr>
                  <w:tcW w:w="1207" w:type="dxa"/>
                  <w:noWrap w:val="0"/>
                  <w:vAlign w:val="center"/>
                </w:tcPr>
                <w:p w14:paraId="4C54EAA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依托</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新建</w:t>
                  </w:r>
                </w:p>
              </w:tc>
            </w:tr>
            <w:tr w14:paraId="1F9D2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1" w:type="dxa"/>
                  <w:vMerge w:val="continue"/>
                  <w:noWrap/>
                  <w:vAlign w:val="center"/>
                </w:tcPr>
                <w:p w14:paraId="688A47D3">
                  <w:pPr>
                    <w:jc w:val="center"/>
                    <w:rPr>
                      <w:rFonts w:hint="default" w:ascii="Times New Roman" w:hAnsi="Times New Roman" w:eastAsia="宋体" w:cs="Times New Roman"/>
                      <w:i w:val="0"/>
                      <w:iCs w:val="0"/>
                      <w:color w:val="0000FF"/>
                      <w:sz w:val="21"/>
                      <w:szCs w:val="21"/>
                      <w:u w:val="none"/>
                    </w:rPr>
                  </w:pPr>
                </w:p>
              </w:tc>
              <w:tc>
                <w:tcPr>
                  <w:tcW w:w="1307" w:type="dxa"/>
                  <w:gridSpan w:val="2"/>
                  <w:noWrap w:val="0"/>
                  <w:vAlign w:val="center"/>
                </w:tcPr>
                <w:p w14:paraId="5BCD844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员工休息区</w:t>
                  </w:r>
                </w:p>
              </w:tc>
              <w:tc>
                <w:tcPr>
                  <w:tcW w:w="4451" w:type="dxa"/>
                  <w:noWrap w:val="0"/>
                  <w:vAlign w:val="center"/>
                </w:tcPr>
                <w:p w14:paraId="02AE4F90">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lang w:val="en-US"/>
                    </w:rPr>
                  </w:pPr>
                  <w:r>
                    <w:rPr>
                      <w:rFonts w:hint="default" w:ascii="Times New Roman" w:hAnsi="Times New Roman" w:eastAsia="宋体" w:cs="Times New Roman"/>
                      <w:i w:val="0"/>
                      <w:iCs w:val="0"/>
                      <w:color w:val="0000FF"/>
                      <w:kern w:val="0"/>
                      <w:sz w:val="21"/>
                      <w:szCs w:val="21"/>
                      <w:u w:val="none"/>
                      <w:lang w:val="en-US" w:eastAsia="zh-CN" w:bidi="ar"/>
                    </w:rPr>
                    <w:t>2</w:t>
                  </w:r>
                  <w:r>
                    <w:rPr>
                      <w:rFonts w:hint="eastAsia" w:ascii="宋体" w:hAnsi="宋体" w:eastAsia="宋体" w:cs="宋体"/>
                      <w:i w:val="0"/>
                      <w:iCs w:val="0"/>
                      <w:color w:val="0000FF"/>
                      <w:kern w:val="0"/>
                      <w:sz w:val="21"/>
                      <w:szCs w:val="21"/>
                      <w:u w:val="none"/>
                      <w:lang w:val="en-US" w:eastAsia="zh-CN" w:bidi="ar"/>
                    </w:rPr>
                    <w:t>号厂房</w:t>
                  </w:r>
                  <w:r>
                    <w:rPr>
                      <w:rFonts w:hint="default" w:ascii="Times New Roman" w:hAnsi="Times New Roman" w:eastAsia="宋体" w:cs="Times New Roman"/>
                      <w:i w:val="0"/>
                      <w:iCs w:val="0"/>
                      <w:color w:val="0000FF"/>
                      <w:kern w:val="0"/>
                      <w:sz w:val="21"/>
                      <w:szCs w:val="21"/>
                      <w:u w:val="none"/>
                      <w:lang w:val="en-US" w:eastAsia="zh-CN" w:bidi="ar"/>
                    </w:rPr>
                    <w:t>2F</w:t>
                  </w:r>
                  <w:r>
                    <w:rPr>
                      <w:rFonts w:hint="eastAsia" w:ascii="宋体" w:hAnsi="宋体" w:eastAsia="宋体" w:cs="宋体"/>
                      <w:i w:val="0"/>
                      <w:iCs w:val="0"/>
                      <w:color w:val="0000FF"/>
                      <w:kern w:val="0"/>
                      <w:sz w:val="21"/>
                      <w:szCs w:val="21"/>
                      <w:u w:val="none"/>
                      <w:lang w:val="en-US" w:eastAsia="zh-CN" w:bidi="ar"/>
                    </w:rPr>
                    <w:t>，建筑面积约</w:t>
                  </w:r>
                  <w:r>
                    <w:rPr>
                      <w:rFonts w:hint="default" w:ascii="Times New Roman" w:hAnsi="Times New Roman" w:eastAsia="宋体" w:cs="Times New Roman"/>
                      <w:i w:val="0"/>
                      <w:iCs w:val="0"/>
                      <w:color w:val="0000FF"/>
                      <w:kern w:val="0"/>
                      <w:sz w:val="21"/>
                      <w:szCs w:val="21"/>
                      <w:u w:val="none"/>
                      <w:lang w:val="en-US" w:eastAsia="zh-CN" w:bidi="ar"/>
                    </w:rPr>
                    <w:t>225m</w:t>
                  </w:r>
                  <w:r>
                    <w:rPr>
                      <w:rFonts w:hint="default" w:ascii="Times New Roman" w:hAnsi="Times New Roman" w:eastAsia="宋体" w:cs="Times New Roman"/>
                      <w:i w:val="0"/>
                      <w:iCs w:val="0"/>
                      <w:color w:val="0000FF"/>
                      <w:kern w:val="0"/>
                      <w:sz w:val="21"/>
                      <w:szCs w:val="21"/>
                      <w:u w:val="none"/>
                      <w:vertAlign w:val="superscript"/>
                      <w:lang w:val="en-US" w:eastAsia="zh-CN" w:bidi="ar"/>
                    </w:rPr>
                    <w:t>2</w:t>
                  </w:r>
                  <w:r>
                    <w:rPr>
                      <w:rFonts w:hint="eastAsia" w:ascii="宋体" w:hAnsi="宋体" w:eastAsia="宋体" w:cs="宋体"/>
                      <w:i w:val="0"/>
                      <w:iCs w:val="0"/>
                      <w:color w:val="0000FF"/>
                      <w:kern w:val="0"/>
                      <w:sz w:val="21"/>
                      <w:szCs w:val="21"/>
                      <w:u w:val="none"/>
                      <w:lang w:val="en-US" w:eastAsia="zh-CN" w:bidi="ar"/>
                    </w:rPr>
                    <w:t>。</w:t>
                  </w:r>
                </w:p>
              </w:tc>
              <w:tc>
                <w:tcPr>
                  <w:tcW w:w="452" w:type="dxa"/>
                  <w:vMerge w:val="continue"/>
                  <w:noWrap/>
                  <w:vAlign w:val="center"/>
                </w:tcPr>
                <w:p w14:paraId="6860A5D5">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3D8E5A1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07" w:type="dxa"/>
                  <w:noWrap w:val="0"/>
                  <w:vAlign w:val="center"/>
                </w:tcPr>
                <w:p w14:paraId="335523A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依托</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新建</w:t>
                  </w:r>
                </w:p>
              </w:tc>
            </w:tr>
            <w:tr w14:paraId="2662D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1" w:type="dxa"/>
                  <w:vMerge w:val="continue"/>
                  <w:noWrap/>
                  <w:vAlign w:val="center"/>
                </w:tcPr>
                <w:p w14:paraId="3385FA91">
                  <w:pPr>
                    <w:jc w:val="center"/>
                    <w:rPr>
                      <w:rFonts w:hint="default" w:ascii="Times New Roman" w:hAnsi="Times New Roman" w:eastAsia="宋体" w:cs="Times New Roman"/>
                      <w:i w:val="0"/>
                      <w:iCs w:val="0"/>
                      <w:color w:val="0000FF"/>
                      <w:sz w:val="21"/>
                      <w:szCs w:val="21"/>
                      <w:u w:val="none"/>
                    </w:rPr>
                  </w:pPr>
                </w:p>
              </w:tc>
              <w:tc>
                <w:tcPr>
                  <w:tcW w:w="1307" w:type="dxa"/>
                  <w:gridSpan w:val="2"/>
                  <w:noWrap w:val="0"/>
                  <w:vAlign w:val="center"/>
                </w:tcPr>
                <w:p w14:paraId="5A8CD4F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循环冷却水系统</w:t>
                  </w:r>
                </w:p>
              </w:tc>
              <w:tc>
                <w:tcPr>
                  <w:tcW w:w="4451" w:type="dxa"/>
                  <w:noWrap w:val="0"/>
                  <w:vAlign w:val="center"/>
                </w:tcPr>
                <w:p w14:paraId="5C3CAE7F">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两栋厂房外分别布设一套循环冷却水系统。</w:t>
                  </w:r>
                  <w:r>
                    <w:rPr>
                      <w:rFonts w:hint="eastAsia" w:ascii="宋体" w:hAnsi="宋体" w:cs="宋体"/>
                      <w:i w:val="0"/>
                      <w:iCs w:val="0"/>
                      <w:color w:val="0000FF"/>
                      <w:kern w:val="0"/>
                      <w:sz w:val="21"/>
                      <w:szCs w:val="21"/>
                      <w:u w:val="none"/>
                      <w:lang w:val="en-US" w:eastAsia="zh-CN" w:bidi="ar"/>
                    </w:rPr>
                    <w:t>每套循环冷却水系统的</w:t>
                  </w:r>
                  <w:r>
                    <w:rPr>
                      <w:rFonts w:hint="eastAsia" w:ascii="宋体" w:hAnsi="宋体" w:eastAsia="宋体" w:cs="宋体"/>
                      <w:i w:val="0"/>
                      <w:iCs w:val="0"/>
                      <w:color w:val="0000FF"/>
                      <w:kern w:val="0"/>
                      <w:sz w:val="21"/>
                      <w:szCs w:val="21"/>
                      <w:u w:val="none"/>
                      <w:lang w:val="en-US" w:eastAsia="zh-CN" w:bidi="ar"/>
                    </w:rPr>
                    <w:t>循环规模为</w:t>
                  </w:r>
                  <w:r>
                    <w:rPr>
                      <w:rFonts w:hint="default" w:ascii="Times New Roman" w:hAnsi="Times New Roman" w:eastAsia="宋体" w:cs="Times New Roman"/>
                      <w:i w:val="0"/>
                      <w:iCs w:val="0"/>
                      <w:color w:val="0000FF"/>
                      <w:kern w:val="0"/>
                      <w:sz w:val="21"/>
                      <w:szCs w:val="21"/>
                      <w:u w:val="none"/>
                      <w:lang w:val="en-US" w:eastAsia="zh-CN" w:bidi="ar"/>
                    </w:rPr>
                    <w:t>100m</w:t>
                  </w:r>
                  <w:r>
                    <w:rPr>
                      <w:rFonts w:hint="default" w:ascii="Times New Roman" w:hAnsi="Times New Roman" w:eastAsia="宋体" w:cs="Times New Roman"/>
                      <w:i w:val="0"/>
                      <w:iCs w:val="0"/>
                      <w:color w:val="0000FF"/>
                      <w:kern w:val="0"/>
                      <w:sz w:val="21"/>
                      <w:szCs w:val="21"/>
                      <w:u w:val="none"/>
                      <w:vertAlign w:val="superscript"/>
                      <w:lang w:val="en-US" w:eastAsia="zh-CN" w:bidi="ar"/>
                    </w:rPr>
                    <w:t>3</w:t>
                  </w:r>
                  <w:r>
                    <w:rPr>
                      <w:rFonts w:hint="default" w:ascii="Times New Roman" w:hAnsi="Times New Roman" w:eastAsia="宋体" w:cs="Times New Roman"/>
                      <w:i w:val="0"/>
                      <w:iCs w:val="0"/>
                      <w:color w:val="0000FF"/>
                      <w:kern w:val="0"/>
                      <w:sz w:val="21"/>
                      <w:szCs w:val="21"/>
                      <w:u w:val="none"/>
                      <w:lang w:val="en-US" w:eastAsia="zh-CN" w:bidi="ar"/>
                    </w:rPr>
                    <w:t>/h</w:t>
                  </w:r>
                  <w:r>
                    <w:rPr>
                      <w:rFonts w:hint="eastAsia" w:ascii="宋体" w:hAnsi="宋体" w:eastAsia="宋体" w:cs="宋体"/>
                      <w:i w:val="0"/>
                      <w:iCs w:val="0"/>
                      <w:color w:val="0000FF"/>
                      <w:kern w:val="0"/>
                      <w:sz w:val="21"/>
                      <w:szCs w:val="21"/>
                      <w:u w:val="none"/>
                      <w:lang w:val="en-US" w:eastAsia="zh-CN" w:bidi="ar"/>
                    </w:rPr>
                    <w:t>。</w:t>
                  </w:r>
                </w:p>
              </w:tc>
              <w:tc>
                <w:tcPr>
                  <w:tcW w:w="452" w:type="dxa"/>
                  <w:vMerge w:val="continue"/>
                  <w:noWrap/>
                  <w:vAlign w:val="center"/>
                </w:tcPr>
                <w:p w14:paraId="51B15A83">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149EC67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噪声</w:t>
                  </w:r>
                </w:p>
              </w:tc>
              <w:tc>
                <w:tcPr>
                  <w:tcW w:w="1207" w:type="dxa"/>
                  <w:noWrap w:val="0"/>
                  <w:vAlign w:val="center"/>
                </w:tcPr>
                <w:p w14:paraId="0324BCE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依托</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新建</w:t>
                  </w:r>
                </w:p>
              </w:tc>
            </w:tr>
            <w:tr w14:paraId="01528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dxa"/>
                  <w:vMerge w:val="continue"/>
                  <w:noWrap/>
                  <w:vAlign w:val="center"/>
                </w:tcPr>
                <w:p w14:paraId="3B94B1C1">
                  <w:pPr>
                    <w:jc w:val="center"/>
                    <w:rPr>
                      <w:rFonts w:hint="default" w:ascii="Times New Roman" w:hAnsi="Times New Roman" w:eastAsia="宋体" w:cs="Times New Roman"/>
                      <w:i w:val="0"/>
                      <w:iCs w:val="0"/>
                      <w:color w:val="0000FF"/>
                      <w:sz w:val="21"/>
                      <w:szCs w:val="21"/>
                      <w:u w:val="none"/>
                    </w:rPr>
                  </w:pPr>
                </w:p>
              </w:tc>
              <w:tc>
                <w:tcPr>
                  <w:tcW w:w="1307" w:type="dxa"/>
                  <w:gridSpan w:val="2"/>
                  <w:noWrap w:val="0"/>
                  <w:vAlign w:val="center"/>
                </w:tcPr>
                <w:p w14:paraId="1CE9CE3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空压系统</w:t>
                  </w:r>
                </w:p>
              </w:tc>
              <w:tc>
                <w:tcPr>
                  <w:tcW w:w="4451" w:type="dxa"/>
                  <w:noWrap w:val="0"/>
                  <w:vAlign w:val="center"/>
                </w:tcPr>
                <w:p w14:paraId="774BA81A">
                  <w:pPr>
                    <w:keepNext w:val="0"/>
                    <w:keepLines w:val="0"/>
                    <w:widowControl/>
                    <w:suppressLineNumbers w:val="0"/>
                    <w:jc w:val="both"/>
                    <w:textAlignment w:val="center"/>
                    <w:rPr>
                      <w:color w:val="0000FF"/>
                    </w:rPr>
                  </w:pPr>
                  <w:r>
                    <w:rPr>
                      <w:rFonts w:hint="eastAsia" w:ascii="宋体" w:hAnsi="宋体" w:eastAsia="宋体" w:cs="宋体"/>
                      <w:i w:val="0"/>
                      <w:iCs w:val="0"/>
                      <w:color w:val="0000FF"/>
                      <w:kern w:val="0"/>
                      <w:sz w:val="21"/>
                      <w:szCs w:val="21"/>
                      <w:u w:val="none"/>
                      <w:lang w:val="en-US" w:eastAsia="zh-CN" w:bidi="ar"/>
                    </w:rPr>
                    <w:t>两栋厂房分别布设一套空压系统</w:t>
                  </w:r>
                  <w:r>
                    <w:rPr>
                      <w:rFonts w:hint="eastAsia" w:ascii="宋体" w:hAnsi="宋体" w:cs="宋体"/>
                      <w:i w:val="0"/>
                      <w:iCs w:val="0"/>
                      <w:color w:val="0000FF"/>
                      <w:kern w:val="0"/>
                      <w:sz w:val="21"/>
                      <w:szCs w:val="21"/>
                      <w:u w:val="none"/>
                      <w:lang w:val="en-US" w:eastAsia="zh-CN" w:bidi="ar"/>
                    </w:rPr>
                    <w:t>。</w:t>
                  </w:r>
                </w:p>
              </w:tc>
              <w:tc>
                <w:tcPr>
                  <w:tcW w:w="452" w:type="dxa"/>
                  <w:vMerge w:val="continue"/>
                  <w:noWrap/>
                  <w:vAlign w:val="center"/>
                </w:tcPr>
                <w:p w14:paraId="50BFE23D">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03249F8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噪声、固废</w:t>
                  </w:r>
                </w:p>
              </w:tc>
              <w:tc>
                <w:tcPr>
                  <w:tcW w:w="1207" w:type="dxa"/>
                  <w:noWrap w:val="0"/>
                  <w:vAlign w:val="center"/>
                </w:tcPr>
                <w:p w14:paraId="5854F04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依托</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新建</w:t>
                  </w:r>
                </w:p>
              </w:tc>
            </w:tr>
            <w:tr w14:paraId="63CA8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1" w:type="dxa"/>
                  <w:vMerge w:val="restart"/>
                  <w:noWrap/>
                  <w:vAlign w:val="center"/>
                </w:tcPr>
                <w:p w14:paraId="682AB8A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储运工程</w:t>
                  </w:r>
                </w:p>
              </w:tc>
              <w:tc>
                <w:tcPr>
                  <w:tcW w:w="5758" w:type="dxa"/>
                  <w:gridSpan w:val="3"/>
                  <w:noWrap w:val="0"/>
                  <w:vAlign w:val="center"/>
                </w:tcPr>
                <w:p w14:paraId="0E391AC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lang w:val="en-US"/>
                    </w:rPr>
                  </w:pPr>
                  <w:r>
                    <w:rPr>
                      <w:rFonts w:hint="default" w:ascii="Times New Roman" w:hAnsi="Times New Roman" w:eastAsia="宋体" w:cs="Times New Roman"/>
                      <w:i w:val="0"/>
                      <w:iCs w:val="0"/>
                      <w:color w:val="0000FF"/>
                      <w:kern w:val="0"/>
                      <w:sz w:val="21"/>
                      <w:szCs w:val="21"/>
                      <w:u w:val="none"/>
                      <w:lang w:val="en-US" w:eastAsia="zh-CN" w:bidi="ar"/>
                    </w:rPr>
                    <w:t>1</w:t>
                  </w:r>
                  <w:r>
                    <w:rPr>
                      <w:rFonts w:hint="eastAsia" w:ascii="宋体" w:hAnsi="宋体" w:eastAsia="宋体" w:cs="宋体"/>
                      <w:i w:val="0"/>
                      <w:iCs w:val="0"/>
                      <w:color w:val="0000FF"/>
                      <w:kern w:val="0"/>
                      <w:sz w:val="21"/>
                      <w:szCs w:val="21"/>
                      <w:u w:val="none"/>
                      <w:lang w:val="en-US" w:eastAsia="zh-CN" w:bidi="ar"/>
                    </w:rPr>
                    <w:t>号厂房</w:t>
                  </w:r>
                </w:p>
              </w:tc>
              <w:tc>
                <w:tcPr>
                  <w:tcW w:w="452" w:type="dxa"/>
                  <w:vMerge w:val="continue"/>
                  <w:noWrap/>
                  <w:vAlign w:val="center"/>
                </w:tcPr>
                <w:p w14:paraId="71FAA512">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34E865B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07" w:type="dxa"/>
                  <w:noWrap w:val="0"/>
                  <w:vAlign w:val="center"/>
                </w:tcPr>
                <w:p w14:paraId="22F42E6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r>
            <w:tr w14:paraId="126FA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dxa"/>
                  <w:vMerge w:val="continue"/>
                  <w:noWrap w:val="0"/>
                  <w:vAlign w:val="center"/>
                </w:tcPr>
                <w:p w14:paraId="05EA21E4">
                  <w:pPr>
                    <w:jc w:val="center"/>
                    <w:rPr>
                      <w:rFonts w:hint="default" w:ascii="Times New Roman" w:hAnsi="Times New Roman" w:eastAsia="宋体" w:cs="Times New Roman"/>
                      <w:i w:val="0"/>
                      <w:iCs w:val="0"/>
                      <w:color w:val="0000FF"/>
                      <w:sz w:val="21"/>
                      <w:szCs w:val="21"/>
                      <w:u w:val="none"/>
                    </w:rPr>
                  </w:pPr>
                </w:p>
              </w:tc>
              <w:tc>
                <w:tcPr>
                  <w:tcW w:w="1307" w:type="dxa"/>
                  <w:gridSpan w:val="2"/>
                  <w:noWrap w:val="0"/>
                  <w:vAlign w:val="center"/>
                </w:tcPr>
                <w:p w14:paraId="66D3CC7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线边仓库</w:t>
                  </w:r>
                </w:p>
              </w:tc>
              <w:tc>
                <w:tcPr>
                  <w:tcW w:w="4451" w:type="dxa"/>
                  <w:noWrap w:val="0"/>
                  <w:vAlign w:val="center"/>
                </w:tcPr>
                <w:p w14:paraId="278EA450">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r>
                    <w:rPr>
                      <w:rFonts w:hint="eastAsia" w:ascii="宋体" w:hAnsi="宋体" w:eastAsia="宋体" w:cs="宋体"/>
                      <w:i w:val="0"/>
                      <w:iCs w:val="0"/>
                      <w:color w:val="0000FF"/>
                      <w:kern w:val="0"/>
                      <w:sz w:val="21"/>
                      <w:szCs w:val="21"/>
                      <w:u w:val="none"/>
                      <w:lang w:val="en-US" w:eastAsia="zh-CN" w:bidi="ar"/>
                    </w:rPr>
                    <w:t>号厂房</w:t>
                  </w:r>
                  <w:r>
                    <w:rPr>
                      <w:rFonts w:hint="default" w:ascii="Times New Roman" w:hAnsi="Times New Roman" w:eastAsia="宋体" w:cs="Times New Roman"/>
                      <w:i w:val="0"/>
                      <w:iCs w:val="0"/>
                      <w:color w:val="0000FF"/>
                      <w:kern w:val="0"/>
                      <w:sz w:val="21"/>
                      <w:szCs w:val="21"/>
                      <w:u w:val="none"/>
                      <w:lang w:val="en-US" w:eastAsia="zh-CN" w:bidi="ar"/>
                    </w:rPr>
                    <w:t>1F</w:t>
                  </w:r>
                  <w:r>
                    <w:rPr>
                      <w:rFonts w:hint="eastAsia" w:ascii="宋体" w:hAnsi="宋体" w:eastAsia="宋体" w:cs="宋体"/>
                      <w:i w:val="0"/>
                      <w:iCs w:val="0"/>
                      <w:color w:val="0000FF"/>
                      <w:kern w:val="0"/>
                      <w:sz w:val="21"/>
                      <w:szCs w:val="21"/>
                      <w:u w:val="none"/>
                      <w:lang w:val="en-US" w:eastAsia="zh-CN" w:bidi="ar"/>
                    </w:rPr>
                    <w:t>，建筑面积约</w:t>
                  </w:r>
                  <w:r>
                    <w:rPr>
                      <w:rFonts w:hint="default" w:ascii="Times New Roman" w:hAnsi="Times New Roman" w:eastAsia="宋体" w:cs="Times New Roman"/>
                      <w:i w:val="0"/>
                      <w:iCs w:val="0"/>
                      <w:color w:val="0000FF"/>
                      <w:kern w:val="0"/>
                      <w:sz w:val="21"/>
                      <w:szCs w:val="21"/>
                      <w:u w:val="none"/>
                      <w:lang w:val="en-US" w:eastAsia="zh-CN" w:bidi="ar"/>
                    </w:rPr>
                    <w:t>30m</w:t>
                  </w:r>
                  <w:r>
                    <w:rPr>
                      <w:rFonts w:hint="default" w:ascii="Times New Roman" w:hAnsi="Times New Roman" w:eastAsia="宋体" w:cs="Times New Roman"/>
                      <w:i w:val="0"/>
                      <w:iCs w:val="0"/>
                      <w:color w:val="0000FF"/>
                      <w:kern w:val="0"/>
                      <w:sz w:val="21"/>
                      <w:szCs w:val="21"/>
                      <w:u w:val="none"/>
                      <w:vertAlign w:val="superscript"/>
                      <w:lang w:val="en-US" w:eastAsia="zh-CN" w:bidi="ar"/>
                    </w:rPr>
                    <w:t>2</w:t>
                  </w:r>
                  <w:r>
                    <w:rPr>
                      <w:rFonts w:hint="eastAsia" w:ascii="宋体" w:hAnsi="宋体" w:eastAsia="宋体" w:cs="宋体"/>
                      <w:i w:val="0"/>
                      <w:iCs w:val="0"/>
                      <w:color w:val="0000FF"/>
                      <w:kern w:val="0"/>
                      <w:sz w:val="21"/>
                      <w:szCs w:val="21"/>
                      <w:u w:val="none"/>
                      <w:lang w:val="en-US" w:eastAsia="zh-CN" w:bidi="ar"/>
                    </w:rPr>
                    <w:t>。临时放置产品或者原料。</w:t>
                  </w:r>
                </w:p>
              </w:tc>
              <w:tc>
                <w:tcPr>
                  <w:tcW w:w="452" w:type="dxa"/>
                  <w:vMerge w:val="continue"/>
                  <w:noWrap/>
                  <w:vAlign w:val="center"/>
                </w:tcPr>
                <w:p w14:paraId="7D031719">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09899AF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07" w:type="dxa"/>
                  <w:noWrap w:val="0"/>
                  <w:vAlign w:val="center"/>
                </w:tcPr>
                <w:p w14:paraId="1ABE374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依托</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新建</w:t>
                  </w:r>
                </w:p>
              </w:tc>
            </w:tr>
            <w:tr w14:paraId="5BAC3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1" w:type="dxa"/>
                  <w:vMerge w:val="continue"/>
                  <w:noWrap w:val="0"/>
                  <w:vAlign w:val="center"/>
                </w:tcPr>
                <w:p w14:paraId="30395E2B">
                  <w:pPr>
                    <w:jc w:val="center"/>
                    <w:rPr>
                      <w:rFonts w:hint="default" w:ascii="Times New Roman" w:hAnsi="Times New Roman" w:eastAsia="宋体" w:cs="Times New Roman"/>
                      <w:i w:val="0"/>
                      <w:iCs w:val="0"/>
                      <w:color w:val="0000FF"/>
                      <w:sz w:val="21"/>
                      <w:szCs w:val="21"/>
                      <w:u w:val="none"/>
                    </w:rPr>
                  </w:pPr>
                </w:p>
              </w:tc>
              <w:tc>
                <w:tcPr>
                  <w:tcW w:w="1307" w:type="dxa"/>
                  <w:gridSpan w:val="2"/>
                  <w:noWrap w:val="0"/>
                  <w:vAlign w:val="center"/>
                </w:tcPr>
                <w:p w14:paraId="5E4E4EE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危化学品仓</w:t>
                  </w:r>
                </w:p>
              </w:tc>
              <w:tc>
                <w:tcPr>
                  <w:tcW w:w="4451" w:type="dxa"/>
                  <w:noWrap/>
                  <w:vAlign w:val="center"/>
                </w:tcPr>
                <w:p w14:paraId="1F20A118">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r>
                    <w:rPr>
                      <w:rFonts w:hint="eastAsia" w:ascii="宋体" w:hAnsi="宋体" w:eastAsia="宋体" w:cs="宋体"/>
                      <w:i w:val="0"/>
                      <w:iCs w:val="0"/>
                      <w:color w:val="0000FF"/>
                      <w:kern w:val="0"/>
                      <w:sz w:val="21"/>
                      <w:szCs w:val="21"/>
                      <w:u w:val="none"/>
                      <w:lang w:val="en-US" w:eastAsia="zh-CN" w:bidi="ar"/>
                    </w:rPr>
                    <w:t>号厂房</w:t>
                  </w:r>
                  <w:r>
                    <w:rPr>
                      <w:rFonts w:hint="default" w:ascii="Times New Roman" w:hAnsi="Times New Roman" w:eastAsia="宋体" w:cs="Times New Roman"/>
                      <w:i w:val="0"/>
                      <w:iCs w:val="0"/>
                      <w:color w:val="0000FF"/>
                      <w:kern w:val="0"/>
                      <w:sz w:val="21"/>
                      <w:szCs w:val="21"/>
                      <w:u w:val="none"/>
                      <w:lang w:val="en-US" w:eastAsia="zh-CN" w:bidi="ar"/>
                    </w:rPr>
                    <w:t>1F</w:t>
                  </w:r>
                  <w:r>
                    <w:rPr>
                      <w:rFonts w:hint="eastAsia" w:ascii="宋体" w:hAnsi="宋体" w:eastAsia="宋体" w:cs="宋体"/>
                      <w:i w:val="0"/>
                      <w:iCs w:val="0"/>
                      <w:color w:val="0000FF"/>
                      <w:kern w:val="0"/>
                      <w:sz w:val="21"/>
                      <w:szCs w:val="21"/>
                      <w:u w:val="none"/>
                      <w:lang w:val="en-US" w:eastAsia="zh-CN" w:bidi="ar"/>
                    </w:rPr>
                    <w:t>，建筑面积约</w:t>
                  </w:r>
                  <w:r>
                    <w:rPr>
                      <w:rFonts w:hint="default" w:ascii="Times New Roman" w:hAnsi="Times New Roman" w:eastAsia="宋体" w:cs="Times New Roman"/>
                      <w:i w:val="0"/>
                      <w:iCs w:val="0"/>
                      <w:color w:val="0000FF"/>
                      <w:kern w:val="0"/>
                      <w:sz w:val="21"/>
                      <w:szCs w:val="21"/>
                      <w:u w:val="none"/>
                      <w:lang w:val="en-US" w:eastAsia="zh-CN" w:bidi="ar"/>
                    </w:rPr>
                    <w:t>15m</w:t>
                  </w:r>
                  <w:r>
                    <w:rPr>
                      <w:rFonts w:hint="default" w:ascii="Times New Roman" w:hAnsi="Times New Roman" w:eastAsia="宋体" w:cs="Times New Roman"/>
                      <w:i w:val="0"/>
                      <w:iCs w:val="0"/>
                      <w:color w:val="0000FF"/>
                      <w:kern w:val="0"/>
                      <w:sz w:val="21"/>
                      <w:szCs w:val="21"/>
                      <w:u w:val="none"/>
                      <w:vertAlign w:val="superscript"/>
                      <w:lang w:val="en-US" w:eastAsia="zh-CN" w:bidi="ar"/>
                    </w:rPr>
                    <w:t>3</w:t>
                  </w:r>
                  <w:r>
                    <w:rPr>
                      <w:rFonts w:hint="eastAsia" w:ascii="宋体" w:hAnsi="宋体" w:eastAsia="宋体" w:cs="宋体"/>
                      <w:i w:val="0"/>
                      <w:iCs w:val="0"/>
                      <w:color w:val="0000FF"/>
                      <w:kern w:val="0"/>
                      <w:sz w:val="21"/>
                      <w:szCs w:val="21"/>
                      <w:u w:val="none"/>
                      <w:lang w:val="en-US" w:eastAsia="zh-CN" w:bidi="ar"/>
                    </w:rPr>
                    <w:t>。用于存放危险化学品（酒精等）。</w:t>
                  </w:r>
                </w:p>
              </w:tc>
              <w:tc>
                <w:tcPr>
                  <w:tcW w:w="452" w:type="dxa"/>
                  <w:vMerge w:val="continue"/>
                  <w:noWrap/>
                  <w:vAlign w:val="center"/>
                </w:tcPr>
                <w:p w14:paraId="2E7A365D">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7BF08CF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07" w:type="dxa"/>
                  <w:noWrap w:val="0"/>
                  <w:vAlign w:val="center"/>
                </w:tcPr>
                <w:p w14:paraId="181CC4C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依托</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新建</w:t>
                  </w:r>
                </w:p>
              </w:tc>
            </w:tr>
            <w:tr w14:paraId="20C3A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dxa"/>
                  <w:vMerge w:val="continue"/>
                  <w:noWrap w:val="0"/>
                  <w:vAlign w:val="center"/>
                </w:tcPr>
                <w:p w14:paraId="68B950F2">
                  <w:pPr>
                    <w:jc w:val="center"/>
                    <w:rPr>
                      <w:rFonts w:hint="default" w:ascii="Times New Roman" w:hAnsi="Times New Roman" w:eastAsia="宋体" w:cs="Times New Roman"/>
                      <w:i w:val="0"/>
                      <w:iCs w:val="0"/>
                      <w:color w:val="0000FF"/>
                      <w:sz w:val="21"/>
                      <w:szCs w:val="21"/>
                      <w:u w:val="none"/>
                    </w:rPr>
                  </w:pPr>
                </w:p>
              </w:tc>
              <w:tc>
                <w:tcPr>
                  <w:tcW w:w="1307" w:type="dxa"/>
                  <w:gridSpan w:val="2"/>
                  <w:noWrap w:val="0"/>
                  <w:vAlign w:val="center"/>
                </w:tcPr>
                <w:p w14:paraId="711D9A4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移印辅料房</w:t>
                  </w:r>
                </w:p>
              </w:tc>
              <w:tc>
                <w:tcPr>
                  <w:tcW w:w="4451" w:type="dxa"/>
                  <w:noWrap w:val="0"/>
                  <w:vAlign w:val="center"/>
                </w:tcPr>
                <w:p w14:paraId="3B31E524">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r>
                    <w:rPr>
                      <w:rFonts w:hint="eastAsia" w:ascii="宋体" w:hAnsi="宋体" w:eastAsia="宋体" w:cs="宋体"/>
                      <w:i w:val="0"/>
                      <w:iCs w:val="0"/>
                      <w:color w:val="0000FF"/>
                      <w:kern w:val="0"/>
                      <w:sz w:val="21"/>
                      <w:szCs w:val="21"/>
                      <w:u w:val="none"/>
                      <w:lang w:val="en-US" w:eastAsia="zh-CN" w:bidi="ar"/>
                    </w:rPr>
                    <w:t>号厂房</w:t>
                  </w:r>
                  <w:r>
                    <w:rPr>
                      <w:rFonts w:hint="default" w:ascii="Times New Roman" w:hAnsi="Times New Roman" w:eastAsia="宋体" w:cs="Times New Roman"/>
                      <w:i w:val="0"/>
                      <w:iCs w:val="0"/>
                      <w:color w:val="0000FF"/>
                      <w:kern w:val="0"/>
                      <w:sz w:val="21"/>
                      <w:szCs w:val="21"/>
                      <w:u w:val="none"/>
                      <w:lang w:val="en-US" w:eastAsia="zh-CN" w:bidi="ar"/>
                    </w:rPr>
                    <w:t>1F</w:t>
                  </w:r>
                  <w:r>
                    <w:rPr>
                      <w:rFonts w:hint="eastAsia" w:ascii="宋体" w:hAnsi="宋体" w:eastAsia="宋体" w:cs="宋体"/>
                      <w:i w:val="0"/>
                      <w:iCs w:val="0"/>
                      <w:color w:val="0000FF"/>
                      <w:kern w:val="0"/>
                      <w:sz w:val="21"/>
                      <w:szCs w:val="21"/>
                      <w:u w:val="none"/>
                      <w:lang w:val="en-US" w:eastAsia="zh-CN" w:bidi="ar"/>
                    </w:rPr>
                    <w:t>，建筑面积约</w:t>
                  </w:r>
                  <w:r>
                    <w:rPr>
                      <w:rFonts w:hint="default" w:ascii="Times New Roman" w:hAnsi="Times New Roman" w:eastAsia="宋体" w:cs="Times New Roman"/>
                      <w:i w:val="0"/>
                      <w:iCs w:val="0"/>
                      <w:color w:val="0000FF"/>
                      <w:kern w:val="0"/>
                      <w:sz w:val="21"/>
                      <w:szCs w:val="21"/>
                      <w:u w:val="none"/>
                      <w:lang w:val="en-US" w:eastAsia="zh-CN" w:bidi="ar"/>
                    </w:rPr>
                    <w:t>10m</w:t>
                  </w:r>
                  <w:r>
                    <w:rPr>
                      <w:rFonts w:hint="default" w:ascii="Times New Roman" w:hAnsi="Times New Roman" w:eastAsia="宋体" w:cs="Times New Roman"/>
                      <w:i w:val="0"/>
                      <w:iCs w:val="0"/>
                      <w:color w:val="0000FF"/>
                      <w:kern w:val="0"/>
                      <w:sz w:val="21"/>
                      <w:szCs w:val="21"/>
                      <w:u w:val="none"/>
                      <w:vertAlign w:val="superscript"/>
                      <w:lang w:val="en-US" w:eastAsia="zh-CN" w:bidi="ar"/>
                    </w:rPr>
                    <w:t>2</w:t>
                  </w:r>
                  <w:r>
                    <w:rPr>
                      <w:rFonts w:hint="eastAsia" w:ascii="宋体" w:hAnsi="宋体" w:eastAsia="宋体" w:cs="宋体"/>
                      <w:i w:val="0"/>
                      <w:iCs w:val="0"/>
                      <w:color w:val="0000FF"/>
                      <w:kern w:val="0"/>
                      <w:sz w:val="21"/>
                      <w:szCs w:val="21"/>
                      <w:u w:val="none"/>
                      <w:lang w:val="en-US" w:eastAsia="zh-CN" w:bidi="ar"/>
                    </w:rPr>
                    <w:t>。用于存放印刷辅助材料。</w:t>
                  </w:r>
                </w:p>
              </w:tc>
              <w:tc>
                <w:tcPr>
                  <w:tcW w:w="452" w:type="dxa"/>
                  <w:vMerge w:val="continue"/>
                  <w:noWrap/>
                  <w:vAlign w:val="center"/>
                </w:tcPr>
                <w:p w14:paraId="2DC901E1">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6E38873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lang w:val="en-US"/>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07" w:type="dxa"/>
                  <w:noWrap w:val="0"/>
                  <w:vAlign w:val="center"/>
                </w:tcPr>
                <w:p w14:paraId="1E0C5DF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依托</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新建</w:t>
                  </w:r>
                </w:p>
              </w:tc>
            </w:tr>
            <w:tr w14:paraId="4F15B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dxa"/>
                  <w:vMerge w:val="continue"/>
                  <w:noWrap w:val="0"/>
                  <w:vAlign w:val="center"/>
                </w:tcPr>
                <w:p w14:paraId="5F8B50F2">
                  <w:pPr>
                    <w:jc w:val="center"/>
                    <w:rPr>
                      <w:rFonts w:hint="default" w:ascii="Times New Roman" w:hAnsi="Times New Roman" w:eastAsia="宋体" w:cs="Times New Roman"/>
                      <w:i w:val="0"/>
                      <w:iCs w:val="0"/>
                      <w:color w:val="0000FF"/>
                      <w:sz w:val="21"/>
                      <w:szCs w:val="21"/>
                      <w:u w:val="none"/>
                    </w:rPr>
                  </w:pPr>
                </w:p>
              </w:tc>
              <w:tc>
                <w:tcPr>
                  <w:tcW w:w="1307" w:type="dxa"/>
                  <w:gridSpan w:val="2"/>
                  <w:noWrap w:val="0"/>
                  <w:vAlign w:val="center"/>
                </w:tcPr>
                <w:p w14:paraId="5AAA822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行政仓库</w:t>
                  </w:r>
                </w:p>
              </w:tc>
              <w:tc>
                <w:tcPr>
                  <w:tcW w:w="4451" w:type="dxa"/>
                  <w:noWrap w:val="0"/>
                  <w:vAlign w:val="center"/>
                </w:tcPr>
                <w:p w14:paraId="677A4E1F">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r>
                    <w:rPr>
                      <w:rFonts w:hint="eastAsia" w:ascii="宋体" w:hAnsi="宋体" w:eastAsia="宋体" w:cs="宋体"/>
                      <w:i w:val="0"/>
                      <w:iCs w:val="0"/>
                      <w:color w:val="0000FF"/>
                      <w:kern w:val="0"/>
                      <w:sz w:val="21"/>
                      <w:szCs w:val="21"/>
                      <w:u w:val="none"/>
                      <w:lang w:val="en-US" w:eastAsia="zh-CN" w:bidi="ar"/>
                    </w:rPr>
                    <w:t>号厂房</w:t>
                  </w:r>
                  <w:r>
                    <w:rPr>
                      <w:rFonts w:hint="default" w:ascii="Times New Roman" w:hAnsi="Times New Roman" w:eastAsia="宋体" w:cs="Times New Roman"/>
                      <w:i w:val="0"/>
                      <w:iCs w:val="0"/>
                      <w:color w:val="0000FF"/>
                      <w:kern w:val="0"/>
                      <w:sz w:val="21"/>
                      <w:szCs w:val="21"/>
                      <w:u w:val="none"/>
                      <w:lang w:val="en-US" w:eastAsia="zh-CN" w:bidi="ar"/>
                    </w:rPr>
                    <w:t>1F</w:t>
                  </w:r>
                  <w:r>
                    <w:rPr>
                      <w:rFonts w:hint="eastAsia" w:ascii="宋体" w:hAnsi="宋体" w:eastAsia="宋体" w:cs="宋体"/>
                      <w:i w:val="0"/>
                      <w:iCs w:val="0"/>
                      <w:color w:val="0000FF"/>
                      <w:kern w:val="0"/>
                      <w:sz w:val="21"/>
                      <w:szCs w:val="21"/>
                      <w:u w:val="none"/>
                      <w:lang w:val="en-US" w:eastAsia="zh-CN" w:bidi="ar"/>
                    </w:rPr>
                    <w:t>，建筑面积约</w:t>
                  </w:r>
                  <w:r>
                    <w:rPr>
                      <w:rFonts w:hint="default" w:ascii="Times New Roman" w:hAnsi="Times New Roman" w:eastAsia="宋体" w:cs="Times New Roman"/>
                      <w:i w:val="0"/>
                      <w:iCs w:val="0"/>
                      <w:color w:val="0000FF"/>
                      <w:kern w:val="0"/>
                      <w:sz w:val="21"/>
                      <w:szCs w:val="21"/>
                      <w:u w:val="none"/>
                      <w:lang w:val="en-US" w:eastAsia="zh-CN" w:bidi="ar"/>
                    </w:rPr>
                    <w:t>10m</w:t>
                  </w:r>
                  <w:r>
                    <w:rPr>
                      <w:rFonts w:hint="default" w:ascii="Times New Roman" w:hAnsi="Times New Roman" w:eastAsia="宋体" w:cs="Times New Roman"/>
                      <w:i w:val="0"/>
                      <w:iCs w:val="0"/>
                      <w:color w:val="0000FF"/>
                      <w:kern w:val="0"/>
                      <w:sz w:val="21"/>
                      <w:szCs w:val="21"/>
                      <w:u w:val="none"/>
                      <w:vertAlign w:val="superscript"/>
                      <w:lang w:val="en-US" w:eastAsia="zh-CN" w:bidi="ar"/>
                    </w:rPr>
                    <w:t>2</w:t>
                  </w:r>
                  <w:r>
                    <w:rPr>
                      <w:rFonts w:hint="eastAsia" w:ascii="宋体" w:hAnsi="宋体" w:eastAsia="宋体" w:cs="宋体"/>
                      <w:i w:val="0"/>
                      <w:iCs w:val="0"/>
                      <w:color w:val="0000FF"/>
                      <w:kern w:val="0"/>
                      <w:sz w:val="21"/>
                      <w:szCs w:val="21"/>
                      <w:u w:val="none"/>
                      <w:lang w:val="en-US" w:eastAsia="zh-CN" w:bidi="ar"/>
                    </w:rPr>
                    <w:t>。用于存放办公用品。</w:t>
                  </w:r>
                </w:p>
              </w:tc>
              <w:tc>
                <w:tcPr>
                  <w:tcW w:w="452" w:type="dxa"/>
                  <w:vMerge w:val="continue"/>
                  <w:noWrap/>
                  <w:vAlign w:val="center"/>
                </w:tcPr>
                <w:p w14:paraId="56DD0EE6">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5509974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07" w:type="dxa"/>
                  <w:noWrap w:val="0"/>
                  <w:vAlign w:val="center"/>
                </w:tcPr>
                <w:p w14:paraId="757192D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依托</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新建</w:t>
                  </w:r>
                </w:p>
              </w:tc>
            </w:tr>
            <w:tr w14:paraId="17A7A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dxa"/>
                  <w:vMerge w:val="continue"/>
                  <w:noWrap w:val="0"/>
                  <w:vAlign w:val="center"/>
                </w:tcPr>
                <w:p w14:paraId="3CA972D0">
                  <w:pPr>
                    <w:jc w:val="center"/>
                    <w:rPr>
                      <w:rFonts w:hint="default" w:ascii="Times New Roman" w:hAnsi="Times New Roman" w:eastAsia="宋体" w:cs="Times New Roman"/>
                      <w:i w:val="0"/>
                      <w:iCs w:val="0"/>
                      <w:color w:val="0000FF"/>
                      <w:sz w:val="21"/>
                      <w:szCs w:val="21"/>
                      <w:u w:val="none"/>
                    </w:rPr>
                  </w:pPr>
                </w:p>
              </w:tc>
              <w:tc>
                <w:tcPr>
                  <w:tcW w:w="1307" w:type="dxa"/>
                  <w:gridSpan w:val="2"/>
                  <w:noWrap w:val="0"/>
                  <w:vAlign w:val="center"/>
                </w:tcPr>
                <w:p w14:paraId="341F576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自动化治具放置区</w:t>
                  </w:r>
                </w:p>
              </w:tc>
              <w:tc>
                <w:tcPr>
                  <w:tcW w:w="4451" w:type="dxa"/>
                  <w:noWrap w:val="0"/>
                  <w:vAlign w:val="center"/>
                </w:tcPr>
                <w:p w14:paraId="3C5BB72E">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r>
                    <w:rPr>
                      <w:rFonts w:hint="eastAsia" w:ascii="宋体" w:hAnsi="宋体" w:eastAsia="宋体" w:cs="宋体"/>
                      <w:i w:val="0"/>
                      <w:iCs w:val="0"/>
                      <w:color w:val="0000FF"/>
                      <w:kern w:val="0"/>
                      <w:sz w:val="21"/>
                      <w:szCs w:val="21"/>
                      <w:u w:val="none"/>
                      <w:lang w:val="en-US" w:eastAsia="zh-CN" w:bidi="ar"/>
                    </w:rPr>
                    <w:t>号厂房</w:t>
                  </w:r>
                  <w:r>
                    <w:rPr>
                      <w:rFonts w:hint="default" w:ascii="Times New Roman" w:hAnsi="Times New Roman" w:eastAsia="宋体" w:cs="Times New Roman"/>
                      <w:i w:val="0"/>
                      <w:iCs w:val="0"/>
                      <w:color w:val="0000FF"/>
                      <w:kern w:val="0"/>
                      <w:sz w:val="21"/>
                      <w:szCs w:val="21"/>
                      <w:u w:val="none"/>
                      <w:lang w:val="en-US" w:eastAsia="zh-CN" w:bidi="ar"/>
                    </w:rPr>
                    <w:t>2F</w:t>
                  </w:r>
                  <w:r>
                    <w:rPr>
                      <w:rFonts w:hint="eastAsia" w:ascii="宋体" w:hAnsi="宋体" w:eastAsia="宋体" w:cs="宋体"/>
                      <w:i w:val="0"/>
                      <w:iCs w:val="0"/>
                      <w:color w:val="0000FF"/>
                      <w:kern w:val="0"/>
                      <w:sz w:val="21"/>
                      <w:szCs w:val="21"/>
                      <w:u w:val="none"/>
                      <w:lang w:val="en-US" w:eastAsia="zh-CN" w:bidi="ar"/>
                    </w:rPr>
                    <w:t>，建筑面积约</w:t>
                  </w:r>
                  <w:r>
                    <w:rPr>
                      <w:rFonts w:hint="default" w:ascii="Times New Roman" w:hAnsi="Times New Roman" w:eastAsia="宋体" w:cs="Times New Roman"/>
                      <w:i w:val="0"/>
                      <w:iCs w:val="0"/>
                      <w:color w:val="0000FF"/>
                      <w:kern w:val="0"/>
                      <w:sz w:val="21"/>
                      <w:szCs w:val="21"/>
                      <w:u w:val="none"/>
                      <w:lang w:val="en-US" w:eastAsia="zh-CN" w:bidi="ar"/>
                    </w:rPr>
                    <w:t>40m</w:t>
                  </w:r>
                  <w:r>
                    <w:rPr>
                      <w:rFonts w:hint="default" w:ascii="Times New Roman" w:hAnsi="Times New Roman" w:eastAsia="宋体" w:cs="Times New Roman"/>
                      <w:i w:val="0"/>
                      <w:iCs w:val="0"/>
                      <w:color w:val="0000FF"/>
                      <w:kern w:val="0"/>
                      <w:sz w:val="21"/>
                      <w:szCs w:val="21"/>
                      <w:u w:val="none"/>
                      <w:vertAlign w:val="superscript"/>
                      <w:lang w:val="en-US" w:eastAsia="zh-CN" w:bidi="ar"/>
                    </w:rPr>
                    <w:t>2</w:t>
                  </w:r>
                  <w:r>
                    <w:rPr>
                      <w:rFonts w:hint="eastAsia" w:ascii="宋体" w:hAnsi="宋体" w:eastAsia="宋体" w:cs="宋体"/>
                      <w:i w:val="0"/>
                      <w:iCs w:val="0"/>
                      <w:color w:val="0000FF"/>
                      <w:kern w:val="0"/>
                      <w:sz w:val="21"/>
                      <w:szCs w:val="21"/>
                      <w:u w:val="none"/>
                      <w:lang w:val="en-US" w:eastAsia="zh-CN" w:bidi="ar"/>
                    </w:rPr>
                    <w:t>。用于放置自动化设备。</w:t>
                  </w:r>
                </w:p>
              </w:tc>
              <w:tc>
                <w:tcPr>
                  <w:tcW w:w="452" w:type="dxa"/>
                  <w:vMerge w:val="continue"/>
                  <w:noWrap/>
                  <w:vAlign w:val="center"/>
                </w:tcPr>
                <w:p w14:paraId="7BE9A935">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324BBBD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07" w:type="dxa"/>
                  <w:noWrap w:val="0"/>
                  <w:vAlign w:val="center"/>
                </w:tcPr>
                <w:p w14:paraId="16CB748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依托</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新建</w:t>
                  </w:r>
                </w:p>
              </w:tc>
            </w:tr>
            <w:tr w14:paraId="7731D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dxa"/>
                  <w:vMerge w:val="continue"/>
                  <w:noWrap w:val="0"/>
                  <w:vAlign w:val="center"/>
                </w:tcPr>
                <w:p w14:paraId="422A9C67">
                  <w:pPr>
                    <w:jc w:val="center"/>
                    <w:rPr>
                      <w:rFonts w:hint="default" w:ascii="Times New Roman" w:hAnsi="Times New Roman" w:eastAsia="宋体" w:cs="Times New Roman"/>
                      <w:i w:val="0"/>
                      <w:iCs w:val="0"/>
                      <w:color w:val="0000FF"/>
                      <w:sz w:val="21"/>
                      <w:szCs w:val="21"/>
                      <w:u w:val="none"/>
                    </w:rPr>
                  </w:pPr>
                </w:p>
              </w:tc>
              <w:tc>
                <w:tcPr>
                  <w:tcW w:w="1307" w:type="dxa"/>
                  <w:gridSpan w:val="2"/>
                  <w:noWrap w:val="0"/>
                  <w:vAlign w:val="center"/>
                </w:tcPr>
                <w:p w14:paraId="460CBAD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包材区</w:t>
                  </w:r>
                </w:p>
              </w:tc>
              <w:tc>
                <w:tcPr>
                  <w:tcW w:w="4451" w:type="dxa"/>
                  <w:noWrap w:val="0"/>
                  <w:vAlign w:val="center"/>
                </w:tcPr>
                <w:p w14:paraId="20118F27">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r>
                    <w:rPr>
                      <w:rFonts w:hint="eastAsia" w:ascii="宋体" w:hAnsi="宋体" w:eastAsia="宋体" w:cs="宋体"/>
                      <w:i w:val="0"/>
                      <w:iCs w:val="0"/>
                      <w:color w:val="0000FF"/>
                      <w:kern w:val="0"/>
                      <w:sz w:val="21"/>
                      <w:szCs w:val="21"/>
                      <w:u w:val="none"/>
                      <w:lang w:val="en-US" w:eastAsia="zh-CN" w:bidi="ar"/>
                    </w:rPr>
                    <w:t>号厂房</w:t>
                  </w:r>
                  <w:r>
                    <w:rPr>
                      <w:rFonts w:hint="default" w:ascii="Times New Roman" w:hAnsi="Times New Roman" w:eastAsia="宋体" w:cs="Times New Roman"/>
                      <w:i w:val="0"/>
                      <w:iCs w:val="0"/>
                      <w:color w:val="0000FF"/>
                      <w:kern w:val="0"/>
                      <w:sz w:val="21"/>
                      <w:szCs w:val="21"/>
                      <w:u w:val="none"/>
                      <w:lang w:val="en-US" w:eastAsia="zh-CN" w:bidi="ar"/>
                    </w:rPr>
                    <w:t>2F</w:t>
                  </w:r>
                  <w:r>
                    <w:rPr>
                      <w:rFonts w:hint="eastAsia" w:ascii="宋体" w:hAnsi="宋体" w:eastAsia="宋体" w:cs="宋体"/>
                      <w:i w:val="0"/>
                      <w:iCs w:val="0"/>
                      <w:color w:val="0000FF"/>
                      <w:kern w:val="0"/>
                      <w:sz w:val="21"/>
                      <w:szCs w:val="21"/>
                      <w:u w:val="none"/>
                      <w:lang w:val="en-US" w:eastAsia="zh-CN" w:bidi="ar"/>
                    </w:rPr>
                    <w:t>，建筑面积约</w:t>
                  </w:r>
                  <w:r>
                    <w:rPr>
                      <w:rFonts w:hint="default" w:ascii="Times New Roman" w:hAnsi="Times New Roman" w:eastAsia="宋体" w:cs="Times New Roman"/>
                      <w:i w:val="0"/>
                      <w:iCs w:val="0"/>
                      <w:color w:val="0000FF"/>
                      <w:kern w:val="0"/>
                      <w:sz w:val="21"/>
                      <w:szCs w:val="21"/>
                      <w:u w:val="none"/>
                      <w:lang w:val="en-US" w:eastAsia="zh-CN" w:bidi="ar"/>
                    </w:rPr>
                    <w:t>65m</w:t>
                  </w:r>
                  <w:r>
                    <w:rPr>
                      <w:rFonts w:hint="default" w:ascii="Times New Roman" w:hAnsi="Times New Roman" w:eastAsia="宋体" w:cs="Times New Roman"/>
                      <w:i w:val="0"/>
                      <w:iCs w:val="0"/>
                      <w:color w:val="0000FF"/>
                      <w:kern w:val="0"/>
                      <w:sz w:val="21"/>
                      <w:szCs w:val="21"/>
                      <w:u w:val="none"/>
                      <w:vertAlign w:val="superscript"/>
                      <w:lang w:val="en-US" w:eastAsia="zh-CN" w:bidi="ar"/>
                    </w:rPr>
                    <w:t>2</w:t>
                  </w:r>
                  <w:r>
                    <w:rPr>
                      <w:rFonts w:hint="eastAsia" w:ascii="宋体" w:hAnsi="宋体" w:eastAsia="宋体" w:cs="宋体"/>
                      <w:i w:val="0"/>
                      <w:iCs w:val="0"/>
                      <w:color w:val="0000FF"/>
                      <w:kern w:val="0"/>
                      <w:sz w:val="21"/>
                      <w:szCs w:val="21"/>
                      <w:u w:val="none"/>
                      <w:lang w:val="en-US" w:eastAsia="zh-CN" w:bidi="ar"/>
                    </w:rPr>
                    <w:t>。用于存放包装材料。</w:t>
                  </w:r>
                </w:p>
              </w:tc>
              <w:tc>
                <w:tcPr>
                  <w:tcW w:w="452" w:type="dxa"/>
                  <w:vMerge w:val="continue"/>
                  <w:noWrap/>
                  <w:vAlign w:val="center"/>
                </w:tcPr>
                <w:p w14:paraId="01393E4E">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2250972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07" w:type="dxa"/>
                  <w:noWrap w:val="0"/>
                  <w:vAlign w:val="center"/>
                </w:tcPr>
                <w:p w14:paraId="24C415D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依托</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新建</w:t>
                  </w:r>
                </w:p>
              </w:tc>
            </w:tr>
            <w:tr w14:paraId="69EA7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dxa"/>
                  <w:vMerge w:val="continue"/>
                  <w:noWrap w:val="0"/>
                  <w:vAlign w:val="center"/>
                </w:tcPr>
                <w:p w14:paraId="17F4C5D3">
                  <w:pPr>
                    <w:jc w:val="center"/>
                    <w:rPr>
                      <w:rFonts w:hint="default" w:ascii="Times New Roman" w:hAnsi="Times New Roman" w:eastAsia="宋体" w:cs="Times New Roman"/>
                      <w:i w:val="0"/>
                      <w:iCs w:val="0"/>
                      <w:color w:val="0000FF"/>
                      <w:sz w:val="21"/>
                      <w:szCs w:val="21"/>
                      <w:u w:val="none"/>
                    </w:rPr>
                  </w:pPr>
                </w:p>
              </w:tc>
              <w:tc>
                <w:tcPr>
                  <w:tcW w:w="1307" w:type="dxa"/>
                  <w:gridSpan w:val="2"/>
                  <w:noWrap w:val="0"/>
                  <w:vAlign w:val="center"/>
                </w:tcPr>
                <w:p w14:paraId="3BC50CC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模具仓</w:t>
                  </w:r>
                </w:p>
              </w:tc>
              <w:tc>
                <w:tcPr>
                  <w:tcW w:w="4451" w:type="dxa"/>
                  <w:noWrap w:val="0"/>
                  <w:vAlign w:val="center"/>
                </w:tcPr>
                <w:p w14:paraId="2BEB84E6">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r>
                    <w:rPr>
                      <w:rFonts w:hint="eastAsia" w:ascii="宋体" w:hAnsi="宋体" w:eastAsia="宋体" w:cs="宋体"/>
                      <w:i w:val="0"/>
                      <w:iCs w:val="0"/>
                      <w:color w:val="0000FF"/>
                      <w:kern w:val="0"/>
                      <w:sz w:val="21"/>
                      <w:szCs w:val="21"/>
                      <w:u w:val="none"/>
                      <w:lang w:val="en-US" w:eastAsia="zh-CN" w:bidi="ar"/>
                    </w:rPr>
                    <w:t>号厂房</w:t>
                  </w:r>
                  <w:r>
                    <w:rPr>
                      <w:rFonts w:hint="default" w:ascii="Times New Roman" w:hAnsi="Times New Roman" w:eastAsia="宋体" w:cs="Times New Roman"/>
                      <w:i w:val="0"/>
                      <w:iCs w:val="0"/>
                      <w:color w:val="0000FF"/>
                      <w:kern w:val="0"/>
                      <w:sz w:val="21"/>
                      <w:szCs w:val="21"/>
                      <w:u w:val="none"/>
                      <w:lang w:val="en-US" w:eastAsia="zh-CN" w:bidi="ar"/>
                    </w:rPr>
                    <w:t>1F</w:t>
                  </w:r>
                  <w:r>
                    <w:rPr>
                      <w:rFonts w:hint="eastAsia" w:ascii="宋体" w:hAnsi="宋体" w:eastAsia="宋体" w:cs="宋体"/>
                      <w:i w:val="0"/>
                      <w:iCs w:val="0"/>
                      <w:color w:val="0000FF"/>
                      <w:kern w:val="0"/>
                      <w:sz w:val="21"/>
                      <w:szCs w:val="21"/>
                      <w:u w:val="none"/>
                      <w:lang w:val="en-US" w:eastAsia="zh-CN" w:bidi="ar"/>
                    </w:rPr>
                    <w:t>，建筑面积约</w:t>
                  </w:r>
                  <w:r>
                    <w:rPr>
                      <w:rFonts w:hint="default" w:ascii="Times New Roman" w:hAnsi="Times New Roman" w:eastAsia="宋体" w:cs="Times New Roman"/>
                      <w:i w:val="0"/>
                      <w:iCs w:val="0"/>
                      <w:color w:val="0000FF"/>
                      <w:kern w:val="0"/>
                      <w:sz w:val="21"/>
                      <w:szCs w:val="21"/>
                      <w:u w:val="none"/>
                      <w:lang w:val="en-US" w:eastAsia="zh-CN" w:bidi="ar"/>
                    </w:rPr>
                    <w:t>65m</w:t>
                  </w:r>
                  <w:r>
                    <w:rPr>
                      <w:rFonts w:hint="default" w:ascii="Times New Roman" w:hAnsi="Times New Roman" w:eastAsia="宋体" w:cs="Times New Roman"/>
                      <w:i w:val="0"/>
                      <w:iCs w:val="0"/>
                      <w:color w:val="0000FF"/>
                      <w:kern w:val="0"/>
                      <w:sz w:val="21"/>
                      <w:szCs w:val="21"/>
                      <w:u w:val="none"/>
                      <w:vertAlign w:val="superscript"/>
                      <w:lang w:val="en-US" w:eastAsia="zh-CN" w:bidi="ar"/>
                    </w:rPr>
                    <w:t>2</w:t>
                  </w:r>
                  <w:r>
                    <w:rPr>
                      <w:rFonts w:hint="eastAsia" w:ascii="宋体" w:hAnsi="宋体" w:eastAsia="宋体" w:cs="宋体"/>
                      <w:i w:val="0"/>
                      <w:iCs w:val="0"/>
                      <w:color w:val="0000FF"/>
                      <w:kern w:val="0"/>
                      <w:sz w:val="21"/>
                      <w:szCs w:val="21"/>
                      <w:u w:val="none"/>
                      <w:lang w:val="en-US" w:eastAsia="zh-CN" w:bidi="ar"/>
                    </w:rPr>
                    <w:t>。用于存放模具。</w:t>
                  </w:r>
                </w:p>
              </w:tc>
              <w:tc>
                <w:tcPr>
                  <w:tcW w:w="452" w:type="dxa"/>
                  <w:vMerge w:val="continue"/>
                  <w:noWrap/>
                  <w:vAlign w:val="center"/>
                </w:tcPr>
                <w:p w14:paraId="7903926F">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466D9EA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07" w:type="dxa"/>
                  <w:noWrap w:val="0"/>
                  <w:vAlign w:val="center"/>
                </w:tcPr>
                <w:p w14:paraId="142E334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依托</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新建</w:t>
                  </w:r>
                </w:p>
              </w:tc>
            </w:tr>
            <w:tr w14:paraId="3FBAC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71" w:type="dxa"/>
                  <w:vMerge w:val="continue"/>
                  <w:noWrap w:val="0"/>
                  <w:vAlign w:val="center"/>
                </w:tcPr>
                <w:p w14:paraId="730EF8A5">
                  <w:pPr>
                    <w:jc w:val="center"/>
                    <w:rPr>
                      <w:rFonts w:hint="default" w:ascii="Times New Roman" w:hAnsi="Times New Roman" w:eastAsia="宋体" w:cs="Times New Roman"/>
                      <w:i w:val="0"/>
                      <w:iCs w:val="0"/>
                      <w:color w:val="0000FF"/>
                      <w:sz w:val="21"/>
                      <w:szCs w:val="21"/>
                      <w:u w:val="none"/>
                    </w:rPr>
                  </w:pPr>
                </w:p>
              </w:tc>
              <w:tc>
                <w:tcPr>
                  <w:tcW w:w="5758" w:type="dxa"/>
                  <w:gridSpan w:val="3"/>
                  <w:noWrap w:val="0"/>
                  <w:vAlign w:val="center"/>
                </w:tcPr>
                <w:p w14:paraId="5EB9D05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w:t>
                  </w:r>
                  <w:r>
                    <w:rPr>
                      <w:rFonts w:hint="eastAsia" w:ascii="宋体" w:hAnsi="宋体" w:eastAsia="宋体" w:cs="宋体"/>
                      <w:i w:val="0"/>
                      <w:iCs w:val="0"/>
                      <w:color w:val="0000FF"/>
                      <w:kern w:val="0"/>
                      <w:sz w:val="21"/>
                      <w:szCs w:val="21"/>
                      <w:u w:val="none"/>
                      <w:lang w:val="en-US" w:eastAsia="zh-CN" w:bidi="ar"/>
                    </w:rPr>
                    <w:t>号厂房</w:t>
                  </w:r>
                </w:p>
              </w:tc>
              <w:tc>
                <w:tcPr>
                  <w:tcW w:w="452" w:type="dxa"/>
                  <w:vMerge w:val="continue"/>
                  <w:noWrap/>
                  <w:vAlign w:val="center"/>
                </w:tcPr>
                <w:p w14:paraId="220BD28A">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7299C66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07" w:type="dxa"/>
                  <w:noWrap w:val="0"/>
                  <w:vAlign w:val="center"/>
                </w:tcPr>
                <w:p w14:paraId="4A9865E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r>
            <w:tr w14:paraId="4759F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dxa"/>
                  <w:vMerge w:val="continue"/>
                  <w:noWrap w:val="0"/>
                  <w:vAlign w:val="center"/>
                </w:tcPr>
                <w:p w14:paraId="02BBC9CB">
                  <w:pPr>
                    <w:jc w:val="center"/>
                    <w:rPr>
                      <w:rFonts w:hint="default" w:ascii="Times New Roman" w:hAnsi="Times New Roman" w:eastAsia="宋体" w:cs="Times New Roman"/>
                      <w:i w:val="0"/>
                      <w:iCs w:val="0"/>
                      <w:color w:val="0000FF"/>
                      <w:sz w:val="21"/>
                      <w:szCs w:val="21"/>
                      <w:u w:val="none"/>
                    </w:rPr>
                  </w:pPr>
                </w:p>
              </w:tc>
              <w:tc>
                <w:tcPr>
                  <w:tcW w:w="1307" w:type="dxa"/>
                  <w:gridSpan w:val="2"/>
                  <w:noWrap w:val="0"/>
                  <w:vAlign w:val="center"/>
                </w:tcPr>
                <w:p w14:paraId="6C620960">
                  <w:pPr>
                    <w:keepNext w:val="0"/>
                    <w:keepLines w:val="0"/>
                    <w:widowControl/>
                    <w:suppressLineNumbers w:val="0"/>
                    <w:jc w:val="center"/>
                    <w:textAlignment w:val="center"/>
                    <w:rPr>
                      <w:rFonts w:hint="default" w:ascii="Times New Roman" w:hAnsi="Times New Roman" w:cs="Times New Roman"/>
                      <w:color w:val="0000FF"/>
                    </w:rPr>
                  </w:pPr>
                  <w:r>
                    <w:rPr>
                      <w:rFonts w:hint="eastAsia" w:ascii="宋体" w:hAnsi="宋体" w:eastAsia="宋体" w:cs="宋体"/>
                      <w:i w:val="0"/>
                      <w:iCs w:val="0"/>
                      <w:color w:val="0000FF"/>
                      <w:kern w:val="0"/>
                      <w:sz w:val="21"/>
                      <w:szCs w:val="21"/>
                      <w:u w:val="none"/>
                      <w:lang w:val="en-US" w:eastAsia="zh-CN" w:bidi="ar"/>
                    </w:rPr>
                    <w:t>线边仓库</w:t>
                  </w:r>
                </w:p>
              </w:tc>
              <w:tc>
                <w:tcPr>
                  <w:tcW w:w="4451" w:type="dxa"/>
                  <w:noWrap/>
                  <w:vAlign w:val="center"/>
                </w:tcPr>
                <w:p w14:paraId="1449514F">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w:t>
                  </w:r>
                  <w:r>
                    <w:rPr>
                      <w:rFonts w:hint="eastAsia" w:ascii="宋体" w:hAnsi="宋体" w:eastAsia="宋体" w:cs="宋体"/>
                      <w:i w:val="0"/>
                      <w:iCs w:val="0"/>
                      <w:color w:val="0000FF"/>
                      <w:kern w:val="0"/>
                      <w:sz w:val="21"/>
                      <w:szCs w:val="21"/>
                      <w:u w:val="none"/>
                      <w:lang w:val="en-US" w:eastAsia="zh-CN" w:bidi="ar"/>
                    </w:rPr>
                    <w:t>号厂房</w:t>
                  </w:r>
                  <w:r>
                    <w:rPr>
                      <w:rFonts w:hint="default" w:ascii="Times New Roman" w:hAnsi="Times New Roman" w:eastAsia="宋体" w:cs="Times New Roman"/>
                      <w:i w:val="0"/>
                      <w:iCs w:val="0"/>
                      <w:color w:val="0000FF"/>
                      <w:kern w:val="0"/>
                      <w:sz w:val="21"/>
                      <w:szCs w:val="21"/>
                      <w:u w:val="none"/>
                      <w:lang w:val="en-US" w:eastAsia="zh-CN" w:bidi="ar"/>
                    </w:rPr>
                    <w:t>1F</w:t>
                  </w:r>
                  <w:r>
                    <w:rPr>
                      <w:rFonts w:hint="eastAsia" w:ascii="宋体" w:hAnsi="宋体" w:eastAsia="宋体" w:cs="宋体"/>
                      <w:i w:val="0"/>
                      <w:iCs w:val="0"/>
                      <w:color w:val="0000FF"/>
                      <w:kern w:val="0"/>
                      <w:sz w:val="21"/>
                      <w:szCs w:val="21"/>
                      <w:u w:val="none"/>
                      <w:lang w:val="en-US" w:eastAsia="zh-CN" w:bidi="ar"/>
                    </w:rPr>
                    <w:t>，建筑面积约</w:t>
                  </w:r>
                  <w:r>
                    <w:rPr>
                      <w:rFonts w:hint="default" w:ascii="Times New Roman" w:hAnsi="Times New Roman" w:eastAsia="宋体" w:cs="Times New Roman"/>
                      <w:i w:val="0"/>
                      <w:iCs w:val="0"/>
                      <w:color w:val="0000FF"/>
                      <w:kern w:val="0"/>
                      <w:sz w:val="21"/>
                      <w:szCs w:val="21"/>
                      <w:u w:val="none"/>
                      <w:lang w:val="en-US" w:eastAsia="zh-CN" w:bidi="ar"/>
                    </w:rPr>
                    <w:t>12m</w:t>
                  </w:r>
                  <w:r>
                    <w:rPr>
                      <w:rFonts w:hint="default" w:ascii="Times New Roman" w:hAnsi="Times New Roman" w:eastAsia="宋体" w:cs="Times New Roman"/>
                      <w:i w:val="0"/>
                      <w:iCs w:val="0"/>
                      <w:color w:val="0000FF"/>
                      <w:kern w:val="0"/>
                      <w:sz w:val="21"/>
                      <w:szCs w:val="21"/>
                      <w:u w:val="none"/>
                      <w:vertAlign w:val="superscript"/>
                      <w:lang w:val="en-US" w:eastAsia="zh-CN" w:bidi="ar"/>
                    </w:rPr>
                    <w:t>2</w:t>
                  </w:r>
                  <w:r>
                    <w:rPr>
                      <w:rFonts w:hint="eastAsia" w:ascii="宋体" w:hAnsi="宋体" w:eastAsia="宋体" w:cs="宋体"/>
                      <w:i w:val="0"/>
                      <w:iCs w:val="0"/>
                      <w:color w:val="0000FF"/>
                      <w:kern w:val="0"/>
                      <w:sz w:val="21"/>
                      <w:szCs w:val="21"/>
                      <w:u w:val="none"/>
                      <w:lang w:val="en-US" w:eastAsia="zh-CN" w:bidi="ar"/>
                    </w:rPr>
                    <w:t>。临时放置产品或者原料。</w:t>
                  </w:r>
                </w:p>
              </w:tc>
              <w:tc>
                <w:tcPr>
                  <w:tcW w:w="452" w:type="dxa"/>
                  <w:vMerge w:val="continue"/>
                  <w:noWrap/>
                  <w:vAlign w:val="center"/>
                </w:tcPr>
                <w:p w14:paraId="447D1E3C">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4C1D1EA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07" w:type="dxa"/>
                  <w:noWrap w:val="0"/>
                  <w:vAlign w:val="center"/>
                </w:tcPr>
                <w:p w14:paraId="38F4ACD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依托</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新建</w:t>
                  </w:r>
                </w:p>
              </w:tc>
            </w:tr>
            <w:tr w14:paraId="1E44D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371" w:type="dxa"/>
                  <w:vMerge w:val="continue"/>
                  <w:noWrap w:val="0"/>
                  <w:vAlign w:val="center"/>
                </w:tcPr>
                <w:p w14:paraId="23E542C2">
                  <w:pPr>
                    <w:jc w:val="center"/>
                    <w:rPr>
                      <w:rFonts w:hint="default" w:ascii="Times New Roman" w:hAnsi="Times New Roman" w:eastAsia="宋体" w:cs="Times New Roman"/>
                      <w:i w:val="0"/>
                      <w:iCs w:val="0"/>
                      <w:color w:val="0000FF"/>
                      <w:sz w:val="21"/>
                      <w:szCs w:val="21"/>
                      <w:u w:val="none"/>
                    </w:rPr>
                  </w:pPr>
                </w:p>
              </w:tc>
              <w:tc>
                <w:tcPr>
                  <w:tcW w:w="1307" w:type="dxa"/>
                  <w:gridSpan w:val="2"/>
                  <w:noWrap w:val="0"/>
                  <w:vAlign w:val="center"/>
                </w:tcPr>
                <w:p w14:paraId="63A0DC27">
                  <w:pPr>
                    <w:keepNext w:val="0"/>
                    <w:keepLines w:val="0"/>
                    <w:widowControl/>
                    <w:suppressLineNumbers w:val="0"/>
                    <w:jc w:val="center"/>
                    <w:textAlignment w:val="center"/>
                    <w:rPr>
                      <w:rFonts w:hint="default" w:ascii="Times New Roman" w:hAnsi="Times New Roman" w:cs="Times New Roman"/>
                      <w:color w:val="0000FF"/>
                    </w:rPr>
                  </w:pPr>
                  <w:r>
                    <w:rPr>
                      <w:rFonts w:hint="eastAsia" w:ascii="宋体" w:hAnsi="宋体" w:eastAsia="宋体" w:cs="宋体"/>
                      <w:i w:val="0"/>
                      <w:iCs w:val="0"/>
                      <w:color w:val="0000FF"/>
                      <w:kern w:val="0"/>
                      <w:sz w:val="21"/>
                      <w:szCs w:val="21"/>
                      <w:u w:val="none"/>
                      <w:lang w:val="en-US" w:eastAsia="zh-CN" w:bidi="ar"/>
                    </w:rPr>
                    <w:t>五金仓库</w:t>
                  </w:r>
                </w:p>
              </w:tc>
              <w:tc>
                <w:tcPr>
                  <w:tcW w:w="4451" w:type="dxa"/>
                  <w:noWrap/>
                  <w:vAlign w:val="center"/>
                </w:tcPr>
                <w:p w14:paraId="2755E329">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w:t>
                  </w:r>
                  <w:r>
                    <w:rPr>
                      <w:rFonts w:hint="eastAsia" w:ascii="宋体" w:hAnsi="宋体" w:eastAsia="宋体" w:cs="宋体"/>
                      <w:i w:val="0"/>
                      <w:iCs w:val="0"/>
                      <w:color w:val="0000FF"/>
                      <w:kern w:val="0"/>
                      <w:sz w:val="21"/>
                      <w:szCs w:val="21"/>
                      <w:u w:val="none"/>
                      <w:lang w:val="en-US" w:eastAsia="zh-CN" w:bidi="ar"/>
                    </w:rPr>
                    <w:t>号厂房</w:t>
                  </w:r>
                  <w:r>
                    <w:rPr>
                      <w:rFonts w:hint="default" w:ascii="Times New Roman" w:hAnsi="Times New Roman" w:eastAsia="宋体" w:cs="Times New Roman"/>
                      <w:i w:val="0"/>
                      <w:iCs w:val="0"/>
                      <w:color w:val="0000FF"/>
                      <w:kern w:val="0"/>
                      <w:sz w:val="21"/>
                      <w:szCs w:val="21"/>
                      <w:u w:val="none"/>
                      <w:lang w:val="en-US" w:eastAsia="zh-CN" w:bidi="ar"/>
                    </w:rPr>
                    <w:t>2F</w:t>
                  </w:r>
                  <w:r>
                    <w:rPr>
                      <w:rFonts w:hint="eastAsia" w:ascii="宋体" w:hAnsi="宋体" w:eastAsia="宋体" w:cs="宋体"/>
                      <w:i w:val="0"/>
                      <w:iCs w:val="0"/>
                      <w:color w:val="0000FF"/>
                      <w:kern w:val="0"/>
                      <w:sz w:val="21"/>
                      <w:szCs w:val="21"/>
                      <w:u w:val="none"/>
                      <w:lang w:val="en-US" w:eastAsia="zh-CN" w:bidi="ar"/>
                    </w:rPr>
                    <w:t>，建筑面积约</w:t>
                  </w:r>
                  <w:r>
                    <w:rPr>
                      <w:rFonts w:hint="default" w:ascii="Times New Roman" w:hAnsi="Times New Roman" w:eastAsia="宋体" w:cs="Times New Roman"/>
                      <w:i w:val="0"/>
                      <w:iCs w:val="0"/>
                      <w:color w:val="0000FF"/>
                      <w:kern w:val="0"/>
                      <w:sz w:val="21"/>
                      <w:szCs w:val="21"/>
                      <w:u w:val="none"/>
                      <w:lang w:val="en-US" w:eastAsia="zh-CN" w:bidi="ar"/>
                    </w:rPr>
                    <w:t>280m</w:t>
                  </w:r>
                  <w:r>
                    <w:rPr>
                      <w:rFonts w:hint="default" w:ascii="Times New Roman" w:hAnsi="Times New Roman" w:eastAsia="宋体" w:cs="Times New Roman"/>
                      <w:i w:val="0"/>
                      <w:iCs w:val="0"/>
                      <w:color w:val="0000FF"/>
                      <w:kern w:val="0"/>
                      <w:sz w:val="21"/>
                      <w:szCs w:val="21"/>
                      <w:u w:val="none"/>
                      <w:vertAlign w:val="superscript"/>
                      <w:lang w:val="en-US" w:eastAsia="zh-CN" w:bidi="ar"/>
                    </w:rPr>
                    <w:t>2</w:t>
                  </w:r>
                  <w:r>
                    <w:rPr>
                      <w:rFonts w:hint="eastAsia" w:ascii="宋体" w:hAnsi="宋体" w:eastAsia="宋体" w:cs="宋体"/>
                      <w:i w:val="0"/>
                      <w:iCs w:val="0"/>
                      <w:color w:val="0000FF"/>
                      <w:kern w:val="0"/>
                      <w:sz w:val="21"/>
                      <w:szCs w:val="21"/>
                      <w:u w:val="none"/>
                      <w:lang w:val="en-US" w:eastAsia="zh-CN" w:bidi="ar"/>
                    </w:rPr>
                    <w:t>。用于存放五金用品（黄铜、铝片）。</w:t>
                  </w:r>
                </w:p>
              </w:tc>
              <w:tc>
                <w:tcPr>
                  <w:tcW w:w="452" w:type="dxa"/>
                  <w:vMerge w:val="continue"/>
                  <w:noWrap/>
                  <w:vAlign w:val="center"/>
                </w:tcPr>
                <w:p w14:paraId="79E1FF5C">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1F2BB9C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07" w:type="dxa"/>
                  <w:noWrap w:val="0"/>
                  <w:vAlign w:val="center"/>
                </w:tcPr>
                <w:p w14:paraId="4B8DA2D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依托</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新建</w:t>
                  </w:r>
                </w:p>
              </w:tc>
            </w:tr>
            <w:tr w14:paraId="395A4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dxa"/>
                  <w:vMerge w:val="continue"/>
                  <w:noWrap w:val="0"/>
                  <w:vAlign w:val="center"/>
                </w:tcPr>
                <w:p w14:paraId="2BCF2276">
                  <w:pPr>
                    <w:jc w:val="center"/>
                    <w:rPr>
                      <w:rFonts w:hint="default" w:ascii="Times New Roman" w:hAnsi="Times New Roman" w:eastAsia="宋体" w:cs="Times New Roman"/>
                      <w:i w:val="0"/>
                      <w:iCs w:val="0"/>
                      <w:color w:val="0000FF"/>
                      <w:sz w:val="21"/>
                      <w:szCs w:val="21"/>
                      <w:u w:val="none"/>
                    </w:rPr>
                  </w:pPr>
                </w:p>
              </w:tc>
              <w:tc>
                <w:tcPr>
                  <w:tcW w:w="1307" w:type="dxa"/>
                  <w:gridSpan w:val="2"/>
                  <w:noWrap w:val="0"/>
                  <w:vAlign w:val="center"/>
                </w:tcPr>
                <w:p w14:paraId="7707A6BB">
                  <w:pPr>
                    <w:keepNext w:val="0"/>
                    <w:keepLines w:val="0"/>
                    <w:widowControl/>
                    <w:suppressLineNumbers w:val="0"/>
                    <w:jc w:val="center"/>
                    <w:textAlignment w:val="center"/>
                    <w:rPr>
                      <w:rFonts w:hint="default" w:ascii="Times New Roman" w:hAnsi="Times New Roman" w:cs="Times New Roman"/>
                      <w:color w:val="0000FF"/>
                    </w:rPr>
                  </w:pPr>
                  <w:r>
                    <w:rPr>
                      <w:rFonts w:hint="eastAsia" w:ascii="宋体" w:hAnsi="宋体" w:eastAsia="宋体" w:cs="宋体"/>
                      <w:i w:val="0"/>
                      <w:iCs w:val="0"/>
                      <w:color w:val="0000FF"/>
                      <w:kern w:val="0"/>
                      <w:sz w:val="21"/>
                      <w:szCs w:val="21"/>
                      <w:u w:val="none"/>
                      <w:lang w:val="en-US" w:eastAsia="zh-CN" w:bidi="ar"/>
                    </w:rPr>
                    <w:t>原材料仓库</w:t>
                  </w:r>
                </w:p>
              </w:tc>
              <w:tc>
                <w:tcPr>
                  <w:tcW w:w="4451" w:type="dxa"/>
                  <w:noWrap/>
                  <w:vAlign w:val="center"/>
                </w:tcPr>
                <w:p w14:paraId="175781FC">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w:t>
                  </w:r>
                  <w:r>
                    <w:rPr>
                      <w:rFonts w:hint="eastAsia" w:ascii="宋体" w:hAnsi="宋体" w:eastAsia="宋体" w:cs="宋体"/>
                      <w:i w:val="0"/>
                      <w:iCs w:val="0"/>
                      <w:color w:val="0000FF"/>
                      <w:kern w:val="0"/>
                      <w:sz w:val="21"/>
                      <w:szCs w:val="21"/>
                      <w:u w:val="none"/>
                      <w:lang w:val="en-US" w:eastAsia="zh-CN" w:bidi="ar"/>
                    </w:rPr>
                    <w:t>号厂房</w:t>
                  </w:r>
                  <w:r>
                    <w:rPr>
                      <w:rFonts w:hint="default" w:ascii="Times New Roman" w:hAnsi="Times New Roman" w:eastAsia="宋体" w:cs="Times New Roman"/>
                      <w:i w:val="0"/>
                      <w:iCs w:val="0"/>
                      <w:color w:val="0000FF"/>
                      <w:kern w:val="0"/>
                      <w:sz w:val="21"/>
                      <w:szCs w:val="21"/>
                      <w:u w:val="none"/>
                      <w:lang w:val="en-US" w:eastAsia="zh-CN" w:bidi="ar"/>
                    </w:rPr>
                    <w:t>2F</w:t>
                  </w:r>
                  <w:r>
                    <w:rPr>
                      <w:rFonts w:hint="eastAsia" w:ascii="宋体" w:hAnsi="宋体" w:eastAsia="宋体" w:cs="宋体"/>
                      <w:i w:val="0"/>
                      <w:iCs w:val="0"/>
                      <w:color w:val="0000FF"/>
                      <w:kern w:val="0"/>
                      <w:sz w:val="21"/>
                      <w:szCs w:val="21"/>
                      <w:u w:val="none"/>
                      <w:lang w:val="en-US" w:eastAsia="zh-CN" w:bidi="ar"/>
                    </w:rPr>
                    <w:t>，建筑面积约</w:t>
                  </w:r>
                  <w:r>
                    <w:rPr>
                      <w:rFonts w:hint="default" w:ascii="Times New Roman" w:hAnsi="Times New Roman" w:eastAsia="宋体" w:cs="Times New Roman"/>
                      <w:i w:val="0"/>
                      <w:iCs w:val="0"/>
                      <w:color w:val="0000FF"/>
                      <w:kern w:val="0"/>
                      <w:sz w:val="21"/>
                      <w:szCs w:val="21"/>
                      <w:u w:val="none"/>
                      <w:lang w:val="en-US" w:eastAsia="zh-CN" w:bidi="ar"/>
                    </w:rPr>
                    <w:t>1250m</w:t>
                  </w:r>
                  <w:r>
                    <w:rPr>
                      <w:rFonts w:hint="default" w:ascii="Times New Roman" w:hAnsi="Times New Roman" w:eastAsia="宋体" w:cs="Times New Roman"/>
                      <w:i w:val="0"/>
                      <w:iCs w:val="0"/>
                      <w:color w:val="0000FF"/>
                      <w:kern w:val="0"/>
                      <w:sz w:val="21"/>
                      <w:szCs w:val="21"/>
                      <w:u w:val="none"/>
                      <w:vertAlign w:val="superscript"/>
                      <w:lang w:val="en-US" w:eastAsia="zh-CN" w:bidi="ar"/>
                    </w:rPr>
                    <w:t>2</w:t>
                  </w:r>
                  <w:r>
                    <w:rPr>
                      <w:rFonts w:hint="eastAsia" w:ascii="宋体" w:hAnsi="宋体" w:eastAsia="宋体" w:cs="宋体"/>
                      <w:i w:val="0"/>
                      <w:iCs w:val="0"/>
                      <w:color w:val="0000FF"/>
                      <w:kern w:val="0"/>
                      <w:sz w:val="21"/>
                      <w:szCs w:val="21"/>
                      <w:u w:val="none"/>
                      <w:lang w:val="en-US" w:eastAsia="zh-CN" w:bidi="ar"/>
                    </w:rPr>
                    <w:t>。用于存放原辅材料。</w:t>
                  </w:r>
                </w:p>
              </w:tc>
              <w:tc>
                <w:tcPr>
                  <w:tcW w:w="452" w:type="dxa"/>
                  <w:vMerge w:val="continue"/>
                  <w:noWrap/>
                  <w:vAlign w:val="center"/>
                </w:tcPr>
                <w:p w14:paraId="346B8C27">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53DCCDA1">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07" w:type="dxa"/>
                  <w:noWrap w:val="0"/>
                  <w:vAlign w:val="center"/>
                </w:tcPr>
                <w:p w14:paraId="77D85C39">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依托</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新建</w:t>
                  </w:r>
                </w:p>
              </w:tc>
            </w:tr>
            <w:tr w14:paraId="557C3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dxa"/>
                  <w:vMerge w:val="continue"/>
                  <w:noWrap w:val="0"/>
                  <w:vAlign w:val="center"/>
                </w:tcPr>
                <w:p w14:paraId="1F685693">
                  <w:pPr>
                    <w:jc w:val="center"/>
                    <w:rPr>
                      <w:rFonts w:hint="default" w:ascii="Times New Roman" w:hAnsi="Times New Roman" w:eastAsia="宋体" w:cs="Times New Roman"/>
                      <w:i w:val="0"/>
                      <w:iCs w:val="0"/>
                      <w:color w:val="0000FF"/>
                      <w:sz w:val="21"/>
                      <w:szCs w:val="21"/>
                      <w:u w:val="none"/>
                    </w:rPr>
                  </w:pPr>
                </w:p>
              </w:tc>
              <w:tc>
                <w:tcPr>
                  <w:tcW w:w="1307" w:type="dxa"/>
                  <w:gridSpan w:val="2"/>
                  <w:noWrap w:val="0"/>
                  <w:vAlign w:val="center"/>
                </w:tcPr>
                <w:p w14:paraId="598304B8">
                  <w:pPr>
                    <w:keepNext w:val="0"/>
                    <w:keepLines w:val="0"/>
                    <w:widowControl/>
                    <w:suppressLineNumbers w:val="0"/>
                    <w:jc w:val="center"/>
                    <w:textAlignment w:val="center"/>
                    <w:rPr>
                      <w:rFonts w:hint="default" w:ascii="宋体" w:hAnsi="宋体" w:eastAsia="宋体" w:cs="宋体"/>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场内运输</w:t>
                  </w:r>
                </w:p>
              </w:tc>
              <w:tc>
                <w:tcPr>
                  <w:tcW w:w="4451" w:type="dxa"/>
                  <w:noWrap/>
                  <w:vAlign w:val="center"/>
                </w:tcPr>
                <w:p w14:paraId="1E588A66">
                  <w:pPr>
                    <w:keepNext w:val="0"/>
                    <w:keepLines w:val="0"/>
                    <w:widowControl/>
                    <w:suppressLineNumbers w:val="0"/>
                    <w:jc w:val="both"/>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i w:val="0"/>
                      <w:iCs w:val="0"/>
                      <w:color w:val="0000FF"/>
                      <w:kern w:val="0"/>
                      <w:sz w:val="21"/>
                      <w:szCs w:val="21"/>
                      <w:u w:val="none"/>
                      <w:lang w:val="en-US" w:eastAsia="zh-CN" w:bidi="ar"/>
                    </w:rPr>
                    <w:t>人力搬运</w:t>
                  </w:r>
                </w:p>
              </w:tc>
              <w:tc>
                <w:tcPr>
                  <w:tcW w:w="452" w:type="dxa"/>
                  <w:vMerge w:val="continue"/>
                  <w:noWrap/>
                  <w:vAlign w:val="center"/>
                </w:tcPr>
                <w:p w14:paraId="0A306D73">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40CFCF73">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07" w:type="dxa"/>
                  <w:noWrap w:val="0"/>
                  <w:vAlign w:val="center"/>
                </w:tcPr>
                <w:p w14:paraId="2DE38F9D">
                  <w:pPr>
                    <w:keepNext w:val="0"/>
                    <w:keepLines w:val="0"/>
                    <w:widowControl/>
                    <w:suppressLineNumbers w:val="0"/>
                    <w:jc w:val="center"/>
                    <w:textAlignment w:val="center"/>
                    <w:rPr>
                      <w:rFonts w:hint="eastAsia" w:ascii="宋体" w:hAnsi="宋体" w:eastAsia="宋体" w:cs="宋体"/>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r>
            <w:tr w14:paraId="79668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dxa"/>
                  <w:vMerge w:val="restart"/>
                  <w:noWrap w:val="0"/>
                  <w:vAlign w:val="center"/>
                </w:tcPr>
                <w:p w14:paraId="287EBEBE">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环保工程</w:t>
                  </w:r>
                </w:p>
              </w:tc>
              <w:tc>
                <w:tcPr>
                  <w:tcW w:w="404" w:type="dxa"/>
                  <w:noWrap w:val="0"/>
                  <w:vAlign w:val="center"/>
                </w:tcPr>
                <w:p w14:paraId="45F80AA1">
                  <w:pPr>
                    <w:keepNext w:val="0"/>
                    <w:keepLines w:val="0"/>
                    <w:widowControl/>
                    <w:suppressLineNumbers w:val="0"/>
                    <w:jc w:val="center"/>
                    <w:textAlignment w:val="center"/>
                    <w:rPr>
                      <w:rFonts w:hint="default" w:ascii="Times New Roman" w:hAnsi="Times New Roman" w:cs="Times New Roman"/>
                      <w:color w:val="0000FF"/>
                    </w:rPr>
                  </w:pPr>
                  <w:r>
                    <w:rPr>
                      <w:rFonts w:hint="eastAsia" w:ascii="宋体" w:hAnsi="宋体" w:eastAsia="宋体" w:cs="宋体"/>
                      <w:i w:val="0"/>
                      <w:iCs w:val="0"/>
                      <w:color w:val="0000FF"/>
                      <w:kern w:val="0"/>
                      <w:sz w:val="21"/>
                      <w:szCs w:val="21"/>
                      <w:u w:val="none"/>
                      <w:lang w:val="en-US" w:eastAsia="zh-CN" w:bidi="ar"/>
                    </w:rPr>
                    <w:t>废水处理</w:t>
                  </w:r>
                </w:p>
              </w:tc>
              <w:tc>
                <w:tcPr>
                  <w:tcW w:w="903" w:type="dxa"/>
                  <w:noWrap w:val="0"/>
                  <w:vAlign w:val="center"/>
                </w:tcPr>
                <w:p w14:paraId="36EF0E0D">
                  <w:pPr>
                    <w:keepNext w:val="0"/>
                    <w:keepLines w:val="0"/>
                    <w:widowControl/>
                    <w:suppressLineNumbers w:val="0"/>
                    <w:jc w:val="center"/>
                    <w:textAlignment w:val="center"/>
                    <w:rPr>
                      <w:rFonts w:hint="default" w:ascii="Times New Roman" w:hAnsi="Times New Roman" w:cs="Times New Roman"/>
                      <w:color w:val="0000FF"/>
                    </w:rPr>
                  </w:pPr>
                  <w:r>
                    <w:rPr>
                      <w:rFonts w:hint="eastAsia" w:ascii="宋体" w:hAnsi="宋体" w:eastAsia="宋体" w:cs="宋体"/>
                      <w:i w:val="0"/>
                      <w:iCs w:val="0"/>
                      <w:color w:val="0000FF"/>
                      <w:kern w:val="0"/>
                      <w:sz w:val="21"/>
                      <w:szCs w:val="21"/>
                      <w:u w:val="none"/>
                      <w:lang w:val="en-US" w:eastAsia="zh-CN" w:bidi="ar"/>
                    </w:rPr>
                    <w:t>生活污水</w:t>
                  </w:r>
                </w:p>
              </w:tc>
              <w:tc>
                <w:tcPr>
                  <w:tcW w:w="4451" w:type="dxa"/>
                  <w:noWrap/>
                  <w:vAlign w:val="center"/>
                </w:tcPr>
                <w:p w14:paraId="32C6C09A">
                  <w:pPr>
                    <w:keepNext w:val="0"/>
                    <w:keepLines w:val="0"/>
                    <w:widowControl/>
                    <w:suppressLineNumbers w:val="0"/>
                    <w:jc w:val="both"/>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生活污水依托厂区生化池（规模：</w:t>
                  </w:r>
                  <w:r>
                    <w:rPr>
                      <w:rFonts w:hint="default" w:ascii="Times New Roman" w:hAnsi="Times New Roman" w:eastAsia="宋体" w:cs="Times New Roman"/>
                      <w:i w:val="0"/>
                      <w:iCs w:val="0"/>
                      <w:color w:val="0000FF"/>
                      <w:kern w:val="0"/>
                      <w:sz w:val="21"/>
                      <w:szCs w:val="21"/>
                      <w:u w:val="none"/>
                      <w:lang w:val="en-US" w:eastAsia="zh-CN" w:bidi="ar"/>
                    </w:rPr>
                    <w:t>100m</w:t>
                  </w:r>
                  <w:r>
                    <w:rPr>
                      <w:rFonts w:hint="default" w:ascii="Times New Roman" w:hAnsi="Times New Roman" w:eastAsia="宋体" w:cs="Times New Roman"/>
                      <w:i w:val="0"/>
                      <w:iCs w:val="0"/>
                      <w:color w:val="0000FF"/>
                      <w:kern w:val="0"/>
                      <w:sz w:val="21"/>
                      <w:szCs w:val="21"/>
                      <w:u w:val="none"/>
                      <w:vertAlign w:val="superscript"/>
                      <w:lang w:val="en-US" w:eastAsia="zh-CN" w:bidi="ar"/>
                    </w:rPr>
                    <w:t>3</w:t>
                  </w:r>
                  <w:r>
                    <w:rPr>
                      <w:rFonts w:hint="default" w:ascii="Times New Roman" w:hAnsi="Times New Roman" w:eastAsia="宋体" w:cs="Times New Roman"/>
                      <w:i w:val="0"/>
                      <w:iCs w:val="0"/>
                      <w:color w:val="0000FF"/>
                      <w:kern w:val="0"/>
                      <w:sz w:val="21"/>
                      <w:szCs w:val="21"/>
                      <w:u w:val="none"/>
                      <w:lang w:val="en-US" w:eastAsia="zh-CN" w:bidi="ar"/>
                    </w:rPr>
                    <w:t>/d</w:t>
                  </w:r>
                  <w:r>
                    <w:rPr>
                      <w:rFonts w:hint="eastAsia" w:ascii="宋体" w:hAnsi="宋体" w:eastAsia="宋体" w:cs="宋体"/>
                      <w:i w:val="0"/>
                      <w:iCs w:val="0"/>
                      <w:color w:val="0000FF"/>
                      <w:kern w:val="0"/>
                      <w:sz w:val="21"/>
                      <w:szCs w:val="21"/>
                      <w:u w:val="none"/>
                      <w:lang w:val="en-US" w:eastAsia="zh-CN" w:bidi="ar"/>
                    </w:rPr>
                    <w:t>，工艺：</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格栅沉淀</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水解酸化</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沉淀</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w:t>
                  </w:r>
                  <w:r>
                    <w:rPr>
                      <w:rFonts w:hint="eastAsia" w:ascii="宋体" w:hAnsi="宋体" w:cs="宋体"/>
                      <w:i w:val="0"/>
                      <w:iCs w:val="0"/>
                      <w:color w:val="0000FF"/>
                      <w:kern w:val="0"/>
                      <w:sz w:val="21"/>
                      <w:szCs w:val="21"/>
                      <w:u w:val="none"/>
                      <w:lang w:val="en-US" w:eastAsia="zh-CN" w:bidi="ar"/>
                    </w:rPr>
                    <w:t>。废水</w:t>
                  </w:r>
                  <w:r>
                    <w:rPr>
                      <w:rFonts w:hint="eastAsia" w:ascii="宋体" w:hAnsi="宋体" w:eastAsia="宋体" w:cs="宋体"/>
                      <w:i w:val="0"/>
                      <w:iCs w:val="0"/>
                      <w:color w:val="0000FF"/>
                      <w:kern w:val="0"/>
                      <w:sz w:val="21"/>
                      <w:szCs w:val="21"/>
                      <w:u w:val="none"/>
                      <w:lang w:val="en-US" w:eastAsia="zh-CN" w:bidi="ar"/>
                    </w:rPr>
                    <w:t>处理后排入市政污水管网，进入大竹县工业园区污水处理厂处理达标后排放。</w:t>
                  </w:r>
                </w:p>
              </w:tc>
              <w:tc>
                <w:tcPr>
                  <w:tcW w:w="452" w:type="dxa"/>
                  <w:vMerge w:val="restart"/>
                  <w:noWrap/>
                  <w:vAlign w:val="center"/>
                </w:tcPr>
                <w:p w14:paraId="058EC409">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47CD51B9">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污泥</w:t>
                  </w:r>
                </w:p>
              </w:tc>
              <w:tc>
                <w:tcPr>
                  <w:tcW w:w="1207" w:type="dxa"/>
                  <w:noWrap w:val="0"/>
                  <w:vAlign w:val="center"/>
                </w:tcPr>
                <w:p w14:paraId="5450DC1F">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依托</w:t>
                  </w:r>
                </w:p>
              </w:tc>
            </w:tr>
            <w:tr w14:paraId="6D6A3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dxa"/>
                  <w:vMerge w:val="continue"/>
                  <w:noWrap w:val="0"/>
                  <w:vAlign w:val="center"/>
                </w:tcPr>
                <w:p w14:paraId="1BA0ACD1">
                  <w:pPr>
                    <w:jc w:val="center"/>
                    <w:rPr>
                      <w:rFonts w:hint="default" w:ascii="Times New Roman" w:hAnsi="Times New Roman" w:eastAsia="宋体" w:cs="Times New Roman"/>
                      <w:i w:val="0"/>
                      <w:iCs w:val="0"/>
                      <w:color w:val="0000FF"/>
                      <w:sz w:val="21"/>
                      <w:szCs w:val="21"/>
                      <w:u w:val="none"/>
                    </w:rPr>
                  </w:pPr>
                </w:p>
              </w:tc>
              <w:tc>
                <w:tcPr>
                  <w:tcW w:w="404" w:type="dxa"/>
                  <w:vMerge w:val="restart"/>
                  <w:noWrap w:val="0"/>
                  <w:vAlign w:val="center"/>
                </w:tcPr>
                <w:p w14:paraId="11AAC9D6">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废气处理设施</w:t>
                  </w:r>
                </w:p>
              </w:tc>
              <w:tc>
                <w:tcPr>
                  <w:tcW w:w="903" w:type="dxa"/>
                  <w:noWrap w:val="0"/>
                  <w:vAlign w:val="center"/>
                </w:tcPr>
                <w:p w14:paraId="4A647925">
                  <w:pPr>
                    <w:keepNext w:val="0"/>
                    <w:keepLines w:val="0"/>
                    <w:widowControl/>
                    <w:suppressLineNumbers w:val="0"/>
                    <w:jc w:val="center"/>
                    <w:textAlignment w:val="center"/>
                    <w:rPr>
                      <w:rFonts w:hint="default" w:ascii="Times New Roman" w:hAnsi="Times New Roman" w:cs="Times New Roman"/>
                      <w:color w:val="0000FF"/>
                    </w:rPr>
                  </w:pPr>
                  <w:r>
                    <w:rPr>
                      <w:rFonts w:hint="default" w:ascii="Times New Roman" w:hAnsi="Times New Roman" w:eastAsia="宋体" w:cs="Times New Roman"/>
                      <w:i w:val="0"/>
                      <w:iCs w:val="0"/>
                      <w:color w:val="0000FF"/>
                      <w:kern w:val="0"/>
                      <w:sz w:val="21"/>
                      <w:szCs w:val="21"/>
                      <w:u w:val="none"/>
                      <w:lang w:val="en-US" w:eastAsia="zh-CN" w:bidi="ar"/>
                    </w:rPr>
                    <w:t>1#</w:t>
                  </w:r>
                  <w:r>
                    <w:rPr>
                      <w:rFonts w:hint="eastAsia" w:ascii="宋体" w:hAnsi="宋体" w:eastAsia="宋体" w:cs="宋体"/>
                      <w:i w:val="0"/>
                      <w:iCs w:val="0"/>
                      <w:color w:val="0000FF"/>
                      <w:kern w:val="0"/>
                      <w:sz w:val="21"/>
                      <w:szCs w:val="21"/>
                      <w:u w:val="none"/>
                      <w:lang w:val="en-US" w:eastAsia="zh-CN" w:bidi="ar"/>
                    </w:rPr>
                    <w:t>有机废气处理设施</w:t>
                  </w:r>
                </w:p>
              </w:tc>
              <w:tc>
                <w:tcPr>
                  <w:tcW w:w="4451" w:type="dxa"/>
                  <w:noWrap/>
                  <w:vAlign w:val="center"/>
                </w:tcPr>
                <w:p w14:paraId="7E4D1F2F">
                  <w:pPr>
                    <w:keepNext w:val="0"/>
                    <w:keepLines w:val="0"/>
                    <w:widowControl/>
                    <w:suppressLineNumbers w:val="0"/>
                    <w:jc w:val="both"/>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注塑废气、印刷废气：新建</w:t>
                  </w:r>
                  <w:r>
                    <w:rPr>
                      <w:rFonts w:hint="default" w:ascii="Times New Roman" w:hAnsi="Times New Roman" w:eastAsia="宋体" w:cs="Times New Roman"/>
                      <w:i w:val="0"/>
                      <w:iCs w:val="0"/>
                      <w:color w:val="0000FF"/>
                      <w:kern w:val="0"/>
                      <w:sz w:val="21"/>
                      <w:szCs w:val="21"/>
                      <w:u w:val="none"/>
                      <w:lang w:val="en-US" w:eastAsia="zh-CN" w:bidi="ar"/>
                    </w:rPr>
                    <w:t>1</w:t>
                  </w:r>
                  <w:r>
                    <w:rPr>
                      <w:rFonts w:hint="eastAsia" w:ascii="宋体" w:hAnsi="宋体" w:eastAsia="宋体" w:cs="宋体"/>
                      <w:i w:val="0"/>
                      <w:iCs w:val="0"/>
                      <w:color w:val="0000FF"/>
                      <w:kern w:val="0"/>
                      <w:sz w:val="21"/>
                      <w:szCs w:val="21"/>
                      <w:u w:val="none"/>
                      <w:lang w:val="en-US" w:eastAsia="zh-CN" w:bidi="ar"/>
                    </w:rPr>
                    <w:t>套</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两级活性炭</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废气处理设施及排气筒（</w:t>
                  </w:r>
                  <w:r>
                    <w:rPr>
                      <w:rFonts w:hint="default" w:ascii="Times New Roman" w:hAnsi="Times New Roman" w:eastAsia="宋体" w:cs="Times New Roman"/>
                      <w:i w:val="0"/>
                      <w:iCs w:val="0"/>
                      <w:color w:val="0000FF"/>
                      <w:kern w:val="0"/>
                      <w:sz w:val="21"/>
                      <w:szCs w:val="21"/>
                      <w:u w:val="none"/>
                      <w:lang w:val="en-US" w:eastAsia="zh-CN" w:bidi="ar"/>
                    </w:rPr>
                    <w:t>DA001</w:t>
                  </w:r>
                  <w:r>
                    <w:rPr>
                      <w:rFonts w:hint="eastAsia" w:ascii="宋体" w:hAnsi="宋体" w:eastAsia="宋体" w:cs="宋体"/>
                      <w:i w:val="0"/>
                      <w:iCs w:val="0"/>
                      <w:color w:val="0000FF"/>
                      <w:kern w:val="0"/>
                      <w:sz w:val="21"/>
                      <w:szCs w:val="21"/>
                      <w:u w:val="none"/>
                      <w:lang w:val="en-US" w:eastAsia="zh-CN" w:bidi="ar"/>
                    </w:rPr>
                    <w:t>）。处理工艺：采用</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两级活性炭</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处理工艺；排气筒高度约</w:t>
                  </w:r>
                  <w:r>
                    <w:rPr>
                      <w:rFonts w:hint="default" w:ascii="Times New Roman" w:hAnsi="Times New Roman" w:eastAsia="宋体" w:cs="Times New Roman"/>
                      <w:i w:val="0"/>
                      <w:iCs w:val="0"/>
                      <w:color w:val="0000FF"/>
                      <w:kern w:val="0"/>
                      <w:sz w:val="21"/>
                      <w:szCs w:val="21"/>
                      <w:u w:val="none"/>
                      <w:lang w:val="en-US" w:eastAsia="zh-CN" w:bidi="ar"/>
                    </w:rPr>
                    <w:t>32m</w:t>
                  </w:r>
                  <w:r>
                    <w:rPr>
                      <w:rFonts w:hint="eastAsia" w:ascii="宋体" w:hAnsi="宋体" w:eastAsia="宋体" w:cs="宋体"/>
                      <w:i w:val="0"/>
                      <w:iCs w:val="0"/>
                      <w:color w:val="0000FF"/>
                      <w:kern w:val="0"/>
                      <w:sz w:val="21"/>
                      <w:szCs w:val="21"/>
                      <w:u w:val="none"/>
                      <w:lang w:val="en-US" w:eastAsia="zh-CN" w:bidi="ar"/>
                    </w:rPr>
                    <w:t>。</w:t>
                  </w:r>
                </w:p>
              </w:tc>
              <w:tc>
                <w:tcPr>
                  <w:tcW w:w="452" w:type="dxa"/>
                  <w:vMerge w:val="continue"/>
                  <w:noWrap/>
                  <w:vAlign w:val="center"/>
                </w:tcPr>
                <w:p w14:paraId="70DC7826">
                  <w:pPr>
                    <w:jc w:val="center"/>
                    <w:rPr>
                      <w:rFonts w:hint="default" w:ascii="Times New Roman" w:hAnsi="Times New Roman" w:eastAsia="宋体" w:cs="Times New Roman"/>
                      <w:i w:val="0"/>
                      <w:iCs w:val="0"/>
                      <w:color w:val="0000FF"/>
                      <w:sz w:val="21"/>
                      <w:szCs w:val="21"/>
                      <w:u w:val="none"/>
                    </w:rPr>
                  </w:pPr>
                </w:p>
              </w:tc>
              <w:tc>
                <w:tcPr>
                  <w:tcW w:w="839" w:type="dxa"/>
                  <w:vMerge w:val="restart"/>
                  <w:noWrap w:val="0"/>
                  <w:vAlign w:val="center"/>
                </w:tcPr>
                <w:p w14:paraId="36F32F34">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噪声、固废</w:t>
                  </w:r>
                </w:p>
              </w:tc>
              <w:tc>
                <w:tcPr>
                  <w:tcW w:w="1207" w:type="dxa"/>
                  <w:noWrap w:val="0"/>
                  <w:vAlign w:val="center"/>
                </w:tcPr>
                <w:p w14:paraId="1C2E6E16">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新建</w:t>
                  </w:r>
                </w:p>
              </w:tc>
            </w:tr>
            <w:tr w14:paraId="2C14B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dxa"/>
                  <w:vMerge w:val="continue"/>
                  <w:noWrap w:val="0"/>
                  <w:vAlign w:val="center"/>
                </w:tcPr>
                <w:p w14:paraId="5218532A">
                  <w:pPr>
                    <w:jc w:val="center"/>
                    <w:rPr>
                      <w:rFonts w:hint="default" w:ascii="Times New Roman" w:hAnsi="Times New Roman" w:eastAsia="宋体" w:cs="Times New Roman"/>
                      <w:i w:val="0"/>
                      <w:iCs w:val="0"/>
                      <w:color w:val="0000FF"/>
                      <w:sz w:val="21"/>
                      <w:szCs w:val="21"/>
                      <w:u w:val="none"/>
                    </w:rPr>
                  </w:pPr>
                </w:p>
              </w:tc>
              <w:tc>
                <w:tcPr>
                  <w:tcW w:w="404" w:type="dxa"/>
                  <w:vMerge w:val="continue"/>
                  <w:noWrap w:val="0"/>
                  <w:vAlign w:val="center"/>
                </w:tcPr>
                <w:p w14:paraId="5E29FDDE">
                  <w:pPr>
                    <w:jc w:val="center"/>
                    <w:rPr>
                      <w:rFonts w:hint="default" w:ascii="Times New Roman" w:hAnsi="Times New Roman" w:eastAsia="宋体" w:cs="Times New Roman"/>
                      <w:i w:val="0"/>
                      <w:iCs w:val="0"/>
                      <w:color w:val="0000FF"/>
                      <w:kern w:val="0"/>
                      <w:sz w:val="21"/>
                      <w:szCs w:val="21"/>
                      <w:u w:val="none"/>
                      <w:lang w:val="en-US" w:eastAsia="zh-CN" w:bidi="ar"/>
                    </w:rPr>
                  </w:pPr>
                </w:p>
              </w:tc>
              <w:tc>
                <w:tcPr>
                  <w:tcW w:w="903" w:type="dxa"/>
                  <w:noWrap w:val="0"/>
                  <w:vAlign w:val="center"/>
                </w:tcPr>
                <w:p w14:paraId="2A48D01A">
                  <w:pPr>
                    <w:keepNext w:val="0"/>
                    <w:keepLines w:val="0"/>
                    <w:widowControl/>
                    <w:suppressLineNumbers w:val="0"/>
                    <w:jc w:val="center"/>
                    <w:textAlignment w:val="center"/>
                    <w:rPr>
                      <w:rFonts w:hint="default" w:ascii="Times New Roman" w:hAnsi="Times New Roman" w:cs="Times New Roman"/>
                      <w:color w:val="0000FF"/>
                    </w:rPr>
                  </w:pPr>
                  <w:r>
                    <w:rPr>
                      <w:rFonts w:hint="default" w:ascii="Times New Roman" w:hAnsi="Times New Roman" w:eastAsia="宋体" w:cs="Times New Roman"/>
                      <w:i w:val="0"/>
                      <w:iCs w:val="0"/>
                      <w:color w:val="0000FF"/>
                      <w:kern w:val="0"/>
                      <w:sz w:val="21"/>
                      <w:szCs w:val="21"/>
                      <w:u w:val="none"/>
                      <w:lang w:val="en-US" w:eastAsia="zh-CN" w:bidi="ar"/>
                    </w:rPr>
                    <w:t>2#</w:t>
                  </w:r>
                  <w:r>
                    <w:rPr>
                      <w:rFonts w:hint="eastAsia" w:ascii="宋体" w:hAnsi="宋体" w:eastAsia="宋体" w:cs="宋体"/>
                      <w:i w:val="0"/>
                      <w:iCs w:val="0"/>
                      <w:color w:val="0000FF"/>
                      <w:kern w:val="0"/>
                      <w:sz w:val="21"/>
                      <w:szCs w:val="21"/>
                      <w:u w:val="none"/>
                      <w:lang w:val="en-US" w:eastAsia="zh-CN" w:bidi="ar"/>
                    </w:rPr>
                    <w:t>有机废气处理设施</w:t>
                  </w:r>
                </w:p>
              </w:tc>
              <w:tc>
                <w:tcPr>
                  <w:tcW w:w="4451" w:type="dxa"/>
                  <w:noWrap/>
                  <w:vAlign w:val="center"/>
                </w:tcPr>
                <w:p w14:paraId="678EF8DA">
                  <w:pPr>
                    <w:keepNext w:val="0"/>
                    <w:keepLines w:val="0"/>
                    <w:widowControl/>
                    <w:suppressLineNumbers w:val="0"/>
                    <w:jc w:val="both"/>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注塑废气：新建</w:t>
                  </w:r>
                  <w:r>
                    <w:rPr>
                      <w:rFonts w:hint="default" w:ascii="Times New Roman" w:hAnsi="Times New Roman" w:eastAsia="宋体" w:cs="Times New Roman"/>
                      <w:i w:val="0"/>
                      <w:iCs w:val="0"/>
                      <w:color w:val="0000FF"/>
                      <w:kern w:val="0"/>
                      <w:sz w:val="21"/>
                      <w:szCs w:val="21"/>
                      <w:u w:val="none"/>
                      <w:lang w:val="en-US" w:eastAsia="zh-CN" w:bidi="ar"/>
                    </w:rPr>
                    <w:t>1</w:t>
                  </w:r>
                  <w:r>
                    <w:rPr>
                      <w:rFonts w:hint="eastAsia" w:ascii="宋体" w:hAnsi="宋体" w:eastAsia="宋体" w:cs="宋体"/>
                      <w:i w:val="0"/>
                      <w:iCs w:val="0"/>
                      <w:color w:val="0000FF"/>
                      <w:kern w:val="0"/>
                      <w:sz w:val="21"/>
                      <w:szCs w:val="21"/>
                      <w:u w:val="none"/>
                      <w:lang w:val="en-US" w:eastAsia="zh-CN" w:bidi="ar"/>
                    </w:rPr>
                    <w:t>套</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两级活性炭</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废气处理设施及排气筒（</w:t>
                  </w:r>
                  <w:r>
                    <w:rPr>
                      <w:rFonts w:hint="default" w:ascii="Times New Roman" w:hAnsi="Times New Roman" w:eastAsia="宋体" w:cs="Times New Roman"/>
                      <w:i w:val="0"/>
                      <w:iCs w:val="0"/>
                      <w:color w:val="0000FF"/>
                      <w:kern w:val="0"/>
                      <w:sz w:val="21"/>
                      <w:szCs w:val="21"/>
                      <w:u w:val="none"/>
                      <w:lang w:val="en-US" w:eastAsia="zh-CN" w:bidi="ar"/>
                    </w:rPr>
                    <w:t>DA002</w:t>
                  </w:r>
                  <w:r>
                    <w:rPr>
                      <w:rFonts w:hint="eastAsia" w:ascii="宋体" w:hAnsi="宋体" w:eastAsia="宋体" w:cs="宋体"/>
                      <w:i w:val="0"/>
                      <w:iCs w:val="0"/>
                      <w:color w:val="0000FF"/>
                      <w:kern w:val="0"/>
                      <w:sz w:val="21"/>
                      <w:szCs w:val="21"/>
                      <w:u w:val="none"/>
                      <w:lang w:val="en-US" w:eastAsia="zh-CN" w:bidi="ar"/>
                    </w:rPr>
                    <w:t>）。处理工艺：采用</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两级活性炭</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处理工艺；排气筒高度约</w:t>
                  </w:r>
                  <w:r>
                    <w:rPr>
                      <w:rFonts w:hint="default" w:ascii="Times New Roman" w:hAnsi="Times New Roman" w:eastAsia="宋体" w:cs="Times New Roman"/>
                      <w:i w:val="0"/>
                      <w:iCs w:val="0"/>
                      <w:color w:val="0000FF"/>
                      <w:kern w:val="0"/>
                      <w:sz w:val="21"/>
                      <w:szCs w:val="21"/>
                      <w:u w:val="none"/>
                      <w:lang w:val="en-US" w:eastAsia="zh-CN" w:bidi="ar"/>
                    </w:rPr>
                    <w:t>32m</w:t>
                  </w:r>
                  <w:r>
                    <w:rPr>
                      <w:rFonts w:hint="eastAsia" w:ascii="宋体" w:hAnsi="宋体" w:eastAsia="宋体" w:cs="宋体"/>
                      <w:i w:val="0"/>
                      <w:iCs w:val="0"/>
                      <w:color w:val="0000FF"/>
                      <w:kern w:val="0"/>
                      <w:sz w:val="21"/>
                      <w:szCs w:val="21"/>
                      <w:u w:val="none"/>
                      <w:lang w:val="en-US" w:eastAsia="zh-CN" w:bidi="ar"/>
                    </w:rPr>
                    <w:t>。</w:t>
                  </w:r>
                </w:p>
              </w:tc>
              <w:tc>
                <w:tcPr>
                  <w:tcW w:w="452" w:type="dxa"/>
                  <w:vMerge w:val="continue"/>
                  <w:noWrap/>
                  <w:vAlign w:val="center"/>
                </w:tcPr>
                <w:p w14:paraId="15D79A52">
                  <w:pPr>
                    <w:jc w:val="center"/>
                    <w:rPr>
                      <w:rFonts w:hint="default" w:ascii="Times New Roman" w:hAnsi="Times New Roman" w:eastAsia="宋体" w:cs="Times New Roman"/>
                      <w:i w:val="0"/>
                      <w:iCs w:val="0"/>
                      <w:color w:val="0000FF"/>
                      <w:sz w:val="21"/>
                      <w:szCs w:val="21"/>
                      <w:u w:val="none"/>
                    </w:rPr>
                  </w:pPr>
                </w:p>
              </w:tc>
              <w:tc>
                <w:tcPr>
                  <w:tcW w:w="839" w:type="dxa"/>
                  <w:vMerge w:val="continue"/>
                  <w:noWrap w:val="0"/>
                  <w:vAlign w:val="center"/>
                </w:tcPr>
                <w:p w14:paraId="08B496B2">
                  <w:pPr>
                    <w:jc w:val="center"/>
                    <w:rPr>
                      <w:rFonts w:hint="default" w:ascii="Times New Roman" w:hAnsi="Times New Roman" w:eastAsia="宋体" w:cs="Times New Roman"/>
                      <w:i w:val="0"/>
                      <w:iCs w:val="0"/>
                      <w:color w:val="0000FF"/>
                      <w:kern w:val="0"/>
                      <w:sz w:val="21"/>
                      <w:szCs w:val="21"/>
                      <w:u w:val="none"/>
                      <w:lang w:val="en-US" w:eastAsia="zh-CN" w:bidi="ar"/>
                    </w:rPr>
                  </w:pPr>
                </w:p>
              </w:tc>
              <w:tc>
                <w:tcPr>
                  <w:tcW w:w="1207" w:type="dxa"/>
                  <w:noWrap w:val="0"/>
                  <w:vAlign w:val="center"/>
                </w:tcPr>
                <w:p w14:paraId="1ED7B503">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新建</w:t>
                  </w:r>
                </w:p>
              </w:tc>
            </w:tr>
            <w:tr w14:paraId="6D1A5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dxa"/>
                  <w:vMerge w:val="continue"/>
                  <w:noWrap w:val="0"/>
                  <w:vAlign w:val="center"/>
                </w:tcPr>
                <w:p w14:paraId="1CC84079">
                  <w:pPr>
                    <w:jc w:val="center"/>
                    <w:rPr>
                      <w:rFonts w:hint="default" w:ascii="Times New Roman" w:hAnsi="Times New Roman" w:eastAsia="宋体" w:cs="Times New Roman"/>
                      <w:i w:val="0"/>
                      <w:iCs w:val="0"/>
                      <w:color w:val="0000FF"/>
                      <w:sz w:val="21"/>
                      <w:szCs w:val="21"/>
                      <w:u w:val="none"/>
                    </w:rPr>
                  </w:pPr>
                </w:p>
              </w:tc>
              <w:tc>
                <w:tcPr>
                  <w:tcW w:w="1307" w:type="dxa"/>
                  <w:gridSpan w:val="2"/>
                  <w:noWrap w:val="0"/>
                  <w:vAlign w:val="center"/>
                </w:tcPr>
                <w:p w14:paraId="2700B824">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危险废物贮存库</w:t>
                  </w:r>
                </w:p>
              </w:tc>
              <w:tc>
                <w:tcPr>
                  <w:tcW w:w="4451" w:type="dxa"/>
                  <w:noWrap/>
                  <w:vAlign w:val="center"/>
                </w:tcPr>
                <w:p w14:paraId="241794AB">
                  <w:pPr>
                    <w:keepNext w:val="0"/>
                    <w:keepLines w:val="0"/>
                    <w:widowControl/>
                    <w:suppressLineNumbers w:val="0"/>
                    <w:jc w:val="both"/>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位于</w:t>
                  </w:r>
                  <w:r>
                    <w:rPr>
                      <w:rFonts w:hint="default" w:ascii="Times New Roman" w:hAnsi="Times New Roman" w:eastAsia="宋体" w:cs="Times New Roman"/>
                      <w:i w:val="0"/>
                      <w:iCs w:val="0"/>
                      <w:color w:val="0000FF"/>
                      <w:kern w:val="0"/>
                      <w:sz w:val="21"/>
                      <w:szCs w:val="21"/>
                      <w:u w:val="none"/>
                      <w:lang w:val="en-US" w:eastAsia="zh-CN" w:bidi="ar"/>
                    </w:rPr>
                    <w:t>1</w:t>
                  </w:r>
                  <w:r>
                    <w:rPr>
                      <w:rFonts w:hint="eastAsia" w:ascii="宋体" w:hAnsi="宋体" w:eastAsia="宋体" w:cs="宋体"/>
                      <w:i w:val="0"/>
                      <w:iCs w:val="0"/>
                      <w:color w:val="0000FF"/>
                      <w:kern w:val="0"/>
                      <w:sz w:val="21"/>
                      <w:szCs w:val="21"/>
                      <w:u w:val="none"/>
                      <w:lang w:val="en-US" w:eastAsia="zh-CN" w:bidi="ar"/>
                    </w:rPr>
                    <w:t>号厂房西侧，面积约</w:t>
                  </w:r>
                  <w:r>
                    <w:rPr>
                      <w:rFonts w:hint="default" w:ascii="Times New Roman" w:hAnsi="Times New Roman" w:eastAsia="宋体" w:cs="Times New Roman"/>
                      <w:i w:val="0"/>
                      <w:iCs w:val="0"/>
                      <w:color w:val="0000FF"/>
                      <w:kern w:val="0"/>
                      <w:sz w:val="21"/>
                      <w:szCs w:val="21"/>
                      <w:u w:val="none"/>
                      <w:lang w:val="en-US" w:eastAsia="zh-CN" w:bidi="ar"/>
                    </w:rPr>
                    <w:t>30m</w:t>
                  </w:r>
                  <w:r>
                    <w:rPr>
                      <w:rFonts w:hint="default" w:ascii="Times New Roman" w:hAnsi="Times New Roman" w:eastAsia="宋体" w:cs="Times New Roman"/>
                      <w:i w:val="0"/>
                      <w:iCs w:val="0"/>
                      <w:color w:val="0000FF"/>
                      <w:kern w:val="0"/>
                      <w:sz w:val="21"/>
                      <w:szCs w:val="21"/>
                      <w:u w:val="none"/>
                      <w:vertAlign w:val="superscript"/>
                      <w:lang w:val="en-US" w:eastAsia="zh-CN" w:bidi="ar"/>
                    </w:rPr>
                    <w:t>2</w:t>
                  </w:r>
                  <w:r>
                    <w:rPr>
                      <w:rFonts w:hint="eastAsia" w:ascii="宋体" w:hAnsi="宋体" w:eastAsia="宋体" w:cs="宋体"/>
                      <w:i w:val="0"/>
                      <w:iCs w:val="0"/>
                      <w:color w:val="0000FF"/>
                      <w:kern w:val="0"/>
                      <w:sz w:val="21"/>
                      <w:szCs w:val="21"/>
                      <w:u w:val="none"/>
                      <w:lang w:val="en-US" w:eastAsia="zh-CN" w:bidi="ar"/>
                    </w:rPr>
                    <w:t>，危险废物贮存库采取</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防风、防晒、防雨、防漏、防渗、防腐</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。按《危险废物识别标志设置技术规范》（</w:t>
                  </w:r>
                  <w:r>
                    <w:rPr>
                      <w:rFonts w:hint="default" w:ascii="Times New Roman" w:hAnsi="Times New Roman" w:eastAsia="宋体" w:cs="Times New Roman"/>
                      <w:i w:val="0"/>
                      <w:iCs w:val="0"/>
                      <w:color w:val="0000FF"/>
                      <w:kern w:val="0"/>
                      <w:sz w:val="21"/>
                      <w:szCs w:val="21"/>
                      <w:u w:val="none"/>
                      <w:lang w:val="en-US" w:eastAsia="zh-CN" w:bidi="ar"/>
                    </w:rPr>
                    <w:t>HJ1276-2022</w:t>
                  </w:r>
                  <w:r>
                    <w:rPr>
                      <w:rFonts w:hint="eastAsia" w:ascii="宋体" w:hAnsi="宋体" w:eastAsia="宋体" w:cs="宋体"/>
                      <w:i w:val="0"/>
                      <w:iCs w:val="0"/>
                      <w:color w:val="0000FF"/>
                      <w:kern w:val="0"/>
                      <w:sz w:val="21"/>
                      <w:szCs w:val="21"/>
                      <w:u w:val="none"/>
                      <w:lang w:val="en-US" w:eastAsia="zh-CN" w:bidi="ar"/>
                    </w:rPr>
                    <w:t>）要求，设置危险废物识别标志。</w:t>
                  </w:r>
                </w:p>
              </w:tc>
              <w:tc>
                <w:tcPr>
                  <w:tcW w:w="452" w:type="dxa"/>
                  <w:vMerge w:val="continue"/>
                  <w:noWrap/>
                  <w:vAlign w:val="center"/>
                </w:tcPr>
                <w:p w14:paraId="10EB6DB2">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74F5B831">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环境风险</w:t>
                  </w:r>
                </w:p>
              </w:tc>
              <w:tc>
                <w:tcPr>
                  <w:tcW w:w="1207" w:type="dxa"/>
                  <w:noWrap w:val="0"/>
                  <w:vAlign w:val="center"/>
                </w:tcPr>
                <w:p w14:paraId="7517E271">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新建</w:t>
                  </w:r>
                </w:p>
              </w:tc>
            </w:tr>
            <w:tr w14:paraId="14832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dxa"/>
                  <w:vMerge w:val="continue"/>
                  <w:noWrap w:val="0"/>
                  <w:vAlign w:val="center"/>
                </w:tcPr>
                <w:p w14:paraId="7C5EF654">
                  <w:pPr>
                    <w:jc w:val="center"/>
                    <w:rPr>
                      <w:rFonts w:hint="default" w:ascii="Times New Roman" w:hAnsi="Times New Roman" w:eastAsia="宋体" w:cs="Times New Roman"/>
                      <w:i w:val="0"/>
                      <w:iCs w:val="0"/>
                      <w:color w:val="0000FF"/>
                      <w:sz w:val="21"/>
                      <w:szCs w:val="21"/>
                      <w:u w:val="none"/>
                    </w:rPr>
                  </w:pPr>
                </w:p>
              </w:tc>
              <w:tc>
                <w:tcPr>
                  <w:tcW w:w="1307" w:type="dxa"/>
                  <w:gridSpan w:val="2"/>
                  <w:noWrap w:val="0"/>
                  <w:vAlign w:val="center"/>
                </w:tcPr>
                <w:p w14:paraId="49089D1D">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一般固废暂存间</w:t>
                  </w:r>
                </w:p>
              </w:tc>
              <w:tc>
                <w:tcPr>
                  <w:tcW w:w="4451" w:type="dxa"/>
                  <w:noWrap/>
                  <w:vAlign w:val="center"/>
                </w:tcPr>
                <w:p w14:paraId="2E790C6E">
                  <w:pPr>
                    <w:keepNext w:val="0"/>
                    <w:keepLines w:val="0"/>
                    <w:widowControl/>
                    <w:suppressLineNumbers w:val="0"/>
                    <w:jc w:val="both"/>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位于厂房西侧，面积约</w:t>
                  </w:r>
                  <w:r>
                    <w:rPr>
                      <w:rFonts w:hint="default" w:ascii="Times New Roman" w:hAnsi="Times New Roman" w:eastAsia="宋体" w:cs="Times New Roman"/>
                      <w:i w:val="0"/>
                      <w:iCs w:val="0"/>
                      <w:color w:val="0000FF"/>
                      <w:kern w:val="0"/>
                      <w:sz w:val="21"/>
                      <w:szCs w:val="21"/>
                      <w:u w:val="none"/>
                      <w:lang w:val="en-US" w:eastAsia="zh-CN" w:bidi="ar"/>
                    </w:rPr>
                    <w:t>200m</w:t>
                  </w:r>
                  <w:r>
                    <w:rPr>
                      <w:rFonts w:hint="default" w:ascii="Times New Roman" w:hAnsi="Times New Roman" w:eastAsia="宋体" w:cs="Times New Roman"/>
                      <w:i w:val="0"/>
                      <w:iCs w:val="0"/>
                      <w:color w:val="0000FF"/>
                      <w:kern w:val="0"/>
                      <w:sz w:val="21"/>
                      <w:szCs w:val="21"/>
                      <w:u w:val="none"/>
                      <w:vertAlign w:val="superscript"/>
                      <w:lang w:val="en-US" w:eastAsia="zh-CN" w:bidi="ar"/>
                    </w:rPr>
                    <w:t>2</w:t>
                  </w:r>
                  <w:r>
                    <w:rPr>
                      <w:rFonts w:hint="eastAsia" w:ascii="宋体" w:hAnsi="宋体" w:eastAsia="宋体" w:cs="宋体"/>
                      <w:i w:val="0"/>
                      <w:iCs w:val="0"/>
                      <w:color w:val="0000FF"/>
                      <w:kern w:val="0"/>
                      <w:sz w:val="21"/>
                      <w:szCs w:val="21"/>
                      <w:u w:val="none"/>
                      <w:lang w:val="en-US" w:eastAsia="zh-CN" w:bidi="ar"/>
                    </w:rPr>
                    <w:t>，采取</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三防</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（防渗漏、防雨淋、防扬尘）措施，并设置标识标牌。</w:t>
                  </w:r>
                </w:p>
              </w:tc>
              <w:tc>
                <w:tcPr>
                  <w:tcW w:w="452" w:type="dxa"/>
                  <w:vMerge w:val="continue"/>
                  <w:noWrap/>
                  <w:vAlign w:val="center"/>
                </w:tcPr>
                <w:p w14:paraId="49CF8C0E">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31ACABC6">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07" w:type="dxa"/>
                  <w:noWrap w:val="0"/>
                  <w:vAlign w:val="center"/>
                </w:tcPr>
                <w:p w14:paraId="7571FB02">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新建</w:t>
                  </w:r>
                </w:p>
              </w:tc>
            </w:tr>
            <w:tr w14:paraId="1F073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dxa"/>
                  <w:vMerge w:val="continue"/>
                  <w:noWrap w:val="0"/>
                  <w:vAlign w:val="center"/>
                </w:tcPr>
                <w:p w14:paraId="2067BB3E">
                  <w:pPr>
                    <w:jc w:val="center"/>
                    <w:rPr>
                      <w:rFonts w:hint="default" w:ascii="Times New Roman" w:hAnsi="Times New Roman" w:eastAsia="宋体" w:cs="Times New Roman"/>
                      <w:i w:val="0"/>
                      <w:iCs w:val="0"/>
                      <w:color w:val="0000FF"/>
                      <w:sz w:val="21"/>
                      <w:szCs w:val="21"/>
                      <w:u w:val="none"/>
                    </w:rPr>
                  </w:pPr>
                </w:p>
              </w:tc>
              <w:tc>
                <w:tcPr>
                  <w:tcW w:w="1307" w:type="dxa"/>
                  <w:gridSpan w:val="2"/>
                  <w:noWrap w:val="0"/>
                  <w:vAlign w:val="center"/>
                </w:tcPr>
                <w:p w14:paraId="216CCFF4">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生活垃圾</w:t>
                  </w:r>
                </w:p>
              </w:tc>
              <w:tc>
                <w:tcPr>
                  <w:tcW w:w="4451" w:type="dxa"/>
                  <w:noWrap/>
                  <w:vAlign w:val="center"/>
                </w:tcPr>
                <w:p w14:paraId="443B17D6">
                  <w:pPr>
                    <w:keepNext w:val="0"/>
                    <w:keepLines w:val="0"/>
                    <w:widowControl/>
                    <w:suppressLineNumbers w:val="0"/>
                    <w:jc w:val="both"/>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厂区设垃圾收集桶和餐厨垃圾收集箱。生活垃圾定期交环卫部门清运处理。</w:t>
                  </w:r>
                </w:p>
              </w:tc>
              <w:tc>
                <w:tcPr>
                  <w:tcW w:w="452" w:type="dxa"/>
                  <w:vMerge w:val="continue"/>
                  <w:noWrap/>
                  <w:vAlign w:val="center"/>
                </w:tcPr>
                <w:p w14:paraId="75EC4AC0">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79703618">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07" w:type="dxa"/>
                  <w:noWrap w:val="0"/>
                  <w:vAlign w:val="center"/>
                </w:tcPr>
                <w:p w14:paraId="7EACBA56">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依托</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新建</w:t>
                  </w:r>
                </w:p>
              </w:tc>
            </w:tr>
            <w:tr w14:paraId="4A21B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1" w:type="dxa"/>
                  <w:vMerge w:val="continue"/>
                  <w:noWrap w:val="0"/>
                  <w:vAlign w:val="center"/>
                </w:tcPr>
                <w:p w14:paraId="3BBF8521">
                  <w:pPr>
                    <w:jc w:val="center"/>
                    <w:rPr>
                      <w:rFonts w:hint="default" w:ascii="Times New Roman" w:hAnsi="Times New Roman" w:eastAsia="宋体" w:cs="Times New Roman"/>
                      <w:i w:val="0"/>
                      <w:iCs w:val="0"/>
                      <w:color w:val="0000FF"/>
                      <w:sz w:val="21"/>
                      <w:szCs w:val="21"/>
                      <w:u w:val="none"/>
                    </w:rPr>
                  </w:pPr>
                </w:p>
              </w:tc>
              <w:tc>
                <w:tcPr>
                  <w:tcW w:w="1307" w:type="dxa"/>
                  <w:gridSpan w:val="2"/>
                  <w:noWrap w:val="0"/>
                  <w:vAlign w:val="center"/>
                </w:tcPr>
                <w:p w14:paraId="05C1BAB9">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生产噪声</w:t>
                  </w:r>
                </w:p>
              </w:tc>
              <w:tc>
                <w:tcPr>
                  <w:tcW w:w="4451" w:type="dxa"/>
                  <w:noWrap/>
                  <w:vAlign w:val="center"/>
                </w:tcPr>
                <w:p w14:paraId="0BDAE8D2">
                  <w:pPr>
                    <w:keepNext w:val="0"/>
                    <w:keepLines w:val="0"/>
                    <w:widowControl/>
                    <w:suppressLineNumbers w:val="0"/>
                    <w:jc w:val="both"/>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选用低噪声设备、基础减振、优化布局、加强管理等措施。</w:t>
                  </w:r>
                </w:p>
              </w:tc>
              <w:tc>
                <w:tcPr>
                  <w:tcW w:w="452" w:type="dxa"/>
                  <w:vMerge w:val="continue"/>
                  <w:noWrap/>
                  <w:vAlign w:val="center"/>
                </w:tcPr>
                <w:p w14:paraId="0FC9BC62">
                  <w:pPr>
                    <w:jc w:val="center"/>
                    <w:rPr>
                      <w:rFonts w:hint="default" w:ascii="Times New Roman" w:hAnsi="Times New Roman" w:eastAsia="宋体" w:cs="Times New Roman"/>
                      <w:i w:val="0"/>
                      <w:iCs w:val="0"/>
                      <w:color w:val="0000FF"/>
                      <w:sz w:val="21"/>
                      <w:szCs w:val="21"/>
                      <w:u w:val="none"/>
                    </w:rPr>
                  </w:pPr>
                </w:p>
              </w:tc>
              <w:tc>
                <w:tcPr>
                  <w:tcW w:w="839" w:type="dxa"/>
                  <w:noWrap w:val="0"/>
                  <w:vAlign w:val="center"/>
                </w:tcPr>
                <w:p w14:paraId="4C1CB2D7">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07" w:type="dxa"/>
                  <w:noWrap w:val="0"/>
                  <w:vAlign w:val="center"/>
                </w:tcPr>
                <w:p w14:paraId="0750FB28">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新建</w:t>
                  </w:r>
                </w:p>
              </w:tc>
            </w:tr>
          </w:tbl>
          <w:p w14:paraId="35DD1128">
            <w:pPr>
              <w:pStyle w:val="49"/>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b/>
                <w:bCs/>
                <w:color w:val="auto"/>
                <w:szCs w:val="24"/>
                <w:highlight w:val="none"/>
              </w:rPr>
            </w:pPr>
            <w:r>
              <w:rPr>
                <w:rFonts w:hint="default" w:ascii="Times New Roman" w:hAnsi="Times New Roman" w:cs="Times New Roman"/>
                <w:b/>
                <w:bCs/>
                <w:color w:val="auto"/>
                <w:szCs w:val="24"/>
                <w:highlight w:val="none"/>
              </w:rPr>
              <w:t>2.2.2 项目依托设施可行性分析</w:t>
            </w:r>
          </w:p>
          <w:p w14:paraId="038C06BF">
            <w:pPr>
              <w:pStyle w:val="4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本项目依托关系详见表2.2-2。</w:t>
            </w:r>
          </w:p>
          <w:p w14:paraId="14F471C3">
            <w:pPr>
              <w:pStyle w:val="225"/>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kern w:val="0"/>
                <w:szCs w:val="24"/>
                <w:highlight w:val="none"/>
              </w:rPr>
            </w:pPr>
            <w:r>
              <w:rPr>
                <w:rFonts w:hint="default" w:ascii="Times New Roman" w:hAnsi="Times New Roman" w:cs="Times New Roman"/>
                <w:color w:val="auto"/>
                <w:szCs w:val="24"/>
                <w:highlight w:val="none"/>
              </w:rPr>
              <w:t xml:space="preserve">表2.2-2  </w:t>
            </w:r>
            <w:r>
              <w:rPr>
                <w:rFonts w:hint="default" w:ascii="Times New Roman" w:hAnsi="Times New Roman" w:cs="Times New Roman"/>
                <w:color w:val="auto"/>
                <w:kern w:val="0"/>
                <w:szCs w:val="24"/>
                <w:highlight w:val="none"/>
              </w:rPr>
              <w:t>项目依托工程</w:t>
            </w:r>
            <w:r>
              <w:rPr>
                <w:rFonts w:hint="eastAsia" w:cs="Times New Roman"/>
                <w:color w:val="auto"/>
                <w:kern w:val="0"/>
                <w:szCs w:val="24"/>
                <w:highlight w:val="none"/>
                <w:lang w:val="en-US" w:eastAsia="zh-CN"/>
              </w:rPr>
              <w:t>现有情况</w:t>
            </w:r>
            <w:r>
              <w:rPr>
                <w:rFonts w:hint="default" w:ascii="Times New Roman" w:hAnsi="Times New Roman" w:cs="Times New Roman"/>
                <w:color w:val="auto"/>
                <w:kern w:val="0"/>
                <w:szCs w:val="24"/>
                <w:highlight w:val="none"/>
              </w:rPr>
              <w:t>及依托可行</w:t>
            </w:r>
            <w:r>
              <w:rPr>
                <w:rFonts w:hint="default" w:ascii="Times New Roman" w:hAnsi="Times New Roman" w:cs="Times New Roman"/>
                <w:color w:val="auto"/>
                <w:kern w:val="0"/>
                <w:szCs w:val="24"/>
                <w:highlight w:val="none"/>
                <w:lang w:val="en-US" w:eastAsia="zh-CN"/>
              </w:rPr>
              <w:t>性</w:t>
            </w:r>
            <w:r>
              <w:rPr>
                <w:rFonts w:hint="default" w:ascii="Times New Roman" w:hAnsi="Times New Roman" w:cs="Times New Roman"/>
                <w:color w:val="auto"/>
                <w:kern w:val="0"/>
                <w:szCs w:val="24"/>
                <w:highlight w:val="none"/>
              </w:rPr>
              <w:t>分析一览表</w:t>
            </w:r>
          </w:p>
          <w:tbl>
            <w:tblPr>
              <w:tblStyle w:val="35"/>
              <w:tblW w:w="8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968"/>
              <w:gridCol w:w="3646"/>
              <w:gridCol w:w="3244"/>
            </w:tblGrid>
            <w:tr w14:paraId="7C0C8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61" w:type="dxa"/>
                  <w:noWrap w:val="0"/>
                  <w:vAlign w:val="center"/>
                </w:tcPr>
                <w:p w14:paraId="15259308">
                  <w:pPr>
                    <w:pStyle w:val="22"/>
                    <w:tabs>
                      <w:tab w:val="right" w:pos="8641"/>
                    </w:tabs>
                    <w:spacing w:line="240" w:lineRule="auto"/>
                    <w:ind w:right="11"/>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类别</w:t>
                  </w:r>
                </w:p>
              </w:tc>
              <w:tc>
                <w:tcPr>
                  <w:tcW w:w="968" w:type="dxa"/>
                  <w:noWrap w:val="0"/>
                  <w:vAlign w:val="center"/>
                </w:tcPr>
                <w:p w14:paraId="20017371">
                  <w:pPr>
                    <w:pStyle w:val="22"/>
                    <w:tabs>
                      <w:tab w:val="right" w:pos="8641"/>
                    </w:tabs>
                    <w:spacing w:line="240" w:lineRule="auto"/>
                    <w:ind w:right="11"/>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依托内容</w:t>
                  </w:r>
                </w:p>
              </w:tc>
              <w:tc>
                <w:tcPr>
                  <w:tcW w:w="3646" w:type="dxa"/>
                  <w:noWrap w:val="0"/>
                  <w:vAlign w:val="center"/>
                </w:tcPr>
                <w:p w14:paraId="266972EB">
                  <w:pPr>
                    <w:pStyle w:val="22"/>
                    <w:tabs>
                      <w:tab w:val="right" w:pos="8641"/>
                    </w:tabs>
                    <w:spacing w:line="240" w:lineRule="auto"/>
                    <w:ind w:right="11"/>
                    <w:jc w:val="center"/>
                    <w:rPr>
                      <w:rFonts w:hint="eastAsia" w:ascii="Times New Roman" w:hAnsi="Times New Roman" w:eastAsia="宋体" w:cs="Times New Roman"/>
                      <w:b/>
                      <w:bCs/>
                      <w:color w:val="auto"/>
                      <w:sz w:val="21"/>
                      <w:szCs w:val="21"/>
                      <w:highlight w:val="none"/>
                      <w:lang w:eastAsia="zh-CN"/>
                    </w:rPr>
                  </w:pPr>
                  <w:r>
                    <w:rPr>
                      <w:rFonts w:hint="eastAsia" w:cs="Times New Roman"/>
                      <w:b/>
                      <w:bCs/>
                      <w:color w:val="auto"/>
                      <w:sz w:val="21"/>
                      <w:szCs w:val="21"/>
                      <w:highlight w:val="none"/>
                      <w:lang w:val="en-US" w:eastAsia="zh-CN"/>
                    </w:rPr>
                    <w:t>现有情况</w:t>
                  </w:r>
                </w:p>
              </w:tc>
              <w:tc>
                <w:tcPr>
                  <w:tcW w:w="3244" w:type="dxa"/>
                  <w:noWrap w:val="0"/>
                  <w:vAlign w:val="center"/>
                </w:tcPr>
                <w:p w14:paraId="6BF2C73C">
                  <w:pPr>
                    <w:pStyle w:val="22"/>
                    <w:tabs>
                      <w:tab w:val="right" w:pos="8641"/>
                    </w:tabs>
                    <w:spacing w:line="240" w:lineRule="auto"/>
                    <w:ind w:right="11"/>
                    <w:jc w:val="center"/>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项目情况及</w:t>
                  </w:r>
                  <w:r>
                    <w:rPr>
                      <w:rFonts w:hint="default" w:ascii="Times New Roman" w:hAnsi="Times New Roman" w:cs="Times New Roman"/>
                      <w:b/>
                      <w:bCs/>
                      <w:color w:val="auto"/>
                      <w:sz w:val="21"/>
                      <w:szCs w:val="21"/>
                      <w:highlight w:val="none"/>
                    </w:rPr>
                    <w:t>依托可行性</w:t>
                  </w:r>
                  <w:r>
                    <w:rPr>
                      <w:rFonts w:hint="eastAsia" w:cs="Times New Roman"/>
                      <w:b/>
                      <w:bCs/>
                      <w:color w:val="auto"/>
                      <w:sz w:val="21"/>
                      <w:szCs w:val="21"/>
                      <w:highlight w:val="none"/>
                      <w:lang w:val="en-US" w:eastAsia="zh-CN"/>
                    </w:rPr>
                    <w:t>分析</w:t>
                  </w:r>
                </w:p>
              </w:tc>
            </w:tr>
            <w:tr w14:paraId="0C083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761" w:type="dxa"/>
                  <w:noWrap w:val="0"/>
                  <w:vAlign w:val="center"/>
                </w:tcPr>
                <w:p w14:paraId="5EF9EA4E">
                  <w:pPr>
                    <w:pStyle w:val="22"/>
                    <w:tabs>
                      <w:tab w:val="right" w:pos="8641"/>
                    </w:tabs>
                    <w:spacing w:line="240" w:lineRule="auto"/>
                    <w:ind w:right="11"/>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主体工程</w:t>
                  </w:r>
                </w:p>
              </w:tc>
              <w:tc>
                <w:tcPr>
                  <w:tcW w:w="968" w:type="dxa"/>
                  <w:noWrap w:val="0"/>
                  <w:vAlign w:val="center"/>
                </w:tcPr>
                <w:p w14:paraId="395BD101">
                  <w:pPr>
                    <w:pStyle w:val="22"/>
                    <w:tabs>
                      <w:tab w:val="right" w:pos="8641"/>
                    </w:tabs>
                    <w:spacing w:line="240" w:lineRule="auto"/>
                    <w:ind w:right="11"/>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生产厂房</w:t>
                  </w:r>
                </w:p>
              </w:tc>
              <w:tc>
                <w:tcPr>
                  <w:tcW w:w="3646" w:type="dxa"/>
                  <w:noWrap w:val="0"/>
                  <w:vAlign w:val="center"/>
                </w:tcPr>
                <w:p w14:paraId="4370F07A">
                  <w:pPr>
                    <w:pStyle w:val="22"/>
                    <w:tabs>
                      <w:tab w:val="right" w:pos="8641"/>
                    </w:tabs>
                    <w:spacing w:line="240" w:lineRule="auto"/>
                    <w:ind w:right="11"/>
                    <w:jc w:val="both"/>
                    <w:rPr>
                      <w:rFonts w:hint="default" w:ascii="Times New Roman" w:hAnsi="Times New Roman" w:cs="Times New Roman"/>
                      <w:bCs/>
                      <w:color w:val="0000FF"/>
                      <w:sz w:val="21"/>
                      <w:szCs w:val="21"/>
                      <w:highlight w:val="none"/>
                    </w:rPr>
                  </w:pPr>
                  <w:r>
                    <w:rPr>
                      <w:rFonts w:hint="eastAsia" w:cs="Times New Roman"/>
                      <w:bCs/>
                      <w:color w:val="0000FF"/>
                      <w:sz w:val="21"/>
                      <w:szCs w:val="21"/>
                      <w:highlight w:val="none"/>
                      <w:lang w:val="en-US" w:eastAsia="zh-CN"/>
                    </w:rPr>
                    <w:t>根据现场调查，现有</w:t>
                  </w:r>
                  <w:r>
                    <w:rPr>
                      <w:rFonts w:hint="default" w:ascii="Times New Roman" w:hAnsi="Times New Roman" w:cs="Times New Roman"/>
                      <w:bCs/>
                      <w:color w:val="0000FF"/>
                      <w:sz w:val="21"/>
                      <w:szCs w:val="21"/>
                      <w:highlight w:val="none"/>
                    </w:rPr>
                    <w:t>厂房1、2号楼</w:t>
                  </w:r>
                  <w:r>
                    <w:rPr>
                      <w:rFonts w:hint="eastAsia" w:ascii="Times New Roman" w:hAnsi="Times New Roman" w:cs="Times New Roman"/>
                      <w:bCs/>
                      <w:color w:val="0000FF"/>
                      <w:sz w:val="21"/>
                      <w:szCs w:val="21"/>
                      <w:highlight w:val="none"/>
                      <w:lang w:val="en-US" w:eastAsia="zh-CN"/>
                    </w:rPr>
                    <w:t>闲置。厂房共5F，高29.7m，总建筑面积约30000m</w:t>
                  </w:r>
                  <w:r>
                    <w:rPr>
                      <w:rFonts w:hint="eastAsia" w:ascii="Times New Roman" w:hAnsi="Times New Roman" w:cs="Times New Roman"/>
                      <w:bCs/>
                      <w:color w:val="0000FF"/>
                      <w:sz w:val="21"/>
                      <w:szCs w:val="21"/>
                      <w:highlight w:val="none"/>
                      <w:vertAlign w:val="superscript"/>
                      <w:lang w:val="en-US" w:eastAsia="zh-CN"/>
                    </w:rPr>
                    <w:t>2</w:t>
                  </w:r>
                  <w:r>
                    <w:rPr>
                      <w:rFonts w:hint="eastAsia" w:ascii="Times New Roman" w:hAnsi="Times New Roman" w:cs="Times New Roman"/>
                      <w:bCs/>
                      <w:color w:val="0000FF"/>
                      <w:sz w:val="21"/>
                      <w:szCs w:val="21"/>
                      <w:highlight w:val="none"/>
                      <w:lang w:val="en-US" w:eastAsia="zh-CN"/>
                    </w:rPr>
                    <w:t>。</w:t>
                  </w:r>
                </w:p>
              </w:tc>
              <w:tc>
                <w:tcPr>
                  <w:tcW w:w="3244" w:type="dxa"/>
                  <w:noWrap w:val="0"/>
                  <w:vAlign w:val="center"/>
                </w:tcPr>
                <w:p w14:paraId="47507589">
                  <w:pPr>
                    <w:pStyle w:val="22"/>
                    <w:tabs>
                      <w:tab w:val="right" w:pos="8641"/>
                    </w:tabs>
                    <w:spacing w:line="240" w:lineRule="auto"/>
                    <w:ind w:right="11"/>
                    <w:jc w:val="both"/>
                    <w:rPr>
                      <w:rFonts w:hint="default" w:ascii="Times New Roman" w:hAnsi="Times New Roman" w:cs="Times New Roman"/>
                      <w:bCs/>
                      <w:color w:val="0000FF"/>
                      <w:sz w:val="21"/>
                      <w:szCs w:val="21"/>
                      <w:highlight w:val="none"/>
                    </w:rPr>
                  </w:pPr>
                  <w:r>
                    <w:rPr>
                      <w:rFonts w:hint="default" w:ascii="Times New Roman" w:hAnsi="Times New Roman" w:cs="Times New Roman"/>
                      <w:bCs/>
                      <w:color w:val="0000FF"/>
                      <w:sz w:val="21"/>
                      <w:szCs w:val="21"/>
                      <w:highlight w:val="none"/>
                    </w:rPr>
                    <w:t>四川省达州市大竹县经开区川渝合作（达州•大竹）示范园区A区三期标准化厂房1、2号楼</w:t>
                  </w:r>
                  <w:r>
                    <w:rPr>
                      <w:rFonts w:hint="eastAsia" w:cs="Times New Roman"/>
                      <w:bCs/>
                      <w:color w:val="0000FF"/>
                      <w:sz w:val="21"/>
                      <w:szCs w:val="21"/>
                      <w:highlight w:val="none"/>
                      <w:lang w:eastAsia="zh-CN"/>
                    </w:rPr>
                    <w:t>。</w:t>
                  </w:r>
                  <w:r>
                    <w:rPr>
                      <w:rFonts w:hint="default" w:ascii="Times New Roman" w:hAnsi="Times New Roman" w:cs="Times New Roman"/>
                      <w:bCs/>
                      <w:color w:val="0000FF"/>
                      <w:sz w:val="21"/>
                      <w:szCs w:val="21"/>
                      <w:highlight w:val="none"/>
                    </w:rPr>
                    <w:t>厂房空置，满足本项目需求，依托可行。</w:t>
                  </w:r>
                </w:p>
              </w:tc>
            </w:tr>
            <w:tr w14:paraId="41C0D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61" w:type="dxa"/>
                  <w:vMerge w:val="restart"/>
                  <w:noWrap w:val="0"/>
                  <w:vAlign w:val="center"/>
                </w:tcPr>
                <w:p w14:paraId="2F66DC1B">
                  <w:pPr>
                    <w:pStyle w:val="22"/>
                    <w:tabs>
                      <w:tab w:val="right" w:pos="8641"/>
                    </w:tabs>
                    <w:spacing w:line="240" w:lineRule="auto"/>
                    <w:ind w:right="11"/>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公用工程</w:t>
                  </w:r>
                </w:p>
              </w:tc>
              <w:tc>
                <w:tcPr>
                  <w:tcW w:w="968" w:type="dxa"/>
                  <w:noWrap w:val="0"/>
                  <w:vAlign w:val="center"/>
                </w:tcPr>
                <w:p w14:paraId="237B4E8B">
                  <w:pPr>
                    <w:pStyle w:val="22"/>
                    <w:tabs>
                      <w:tab w:val="right" w:pos="8641"/>
                    </w:tabs>
                    <w:spacing w:line="240" w:lineRule="auto"/>
                    <w:ind w:right="11"/>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供电</w:t>
                  </w:r>
                </w:p>
              </w:tc>
              <w:tc>
                <w:tcPr>
                  <w:tcW w:w="3646" w:type="dxa"/>
                  <w:noWrap w:val="0"/>
                  <w:vAlign w:val="center"/>
                </w:tcPr>
                <w:p w14:paraId="0F12C988">
                  <w:pPr>
                    <w:pStyle w:val="22"/>
                    <w:tabs>
                      <w:tab w:val="right" w:pos="8641"/>
                    </w:tabs>
                    <w:spacing w:line="240" w:lineRule="auto"/>
                    <w:ind w:right="11"/>
                    <w:rPr>
                      <w:rFonts w:hint="default" w:ascii="Times New Roman" w:hAnsi="Times New Roman" w:cs="Times New Roman"/>
                      <w:bCs/>
                      <w:color w:val="auto"/>
                      <w:sz w:val="21"/>
                      <w:szCs w:val="21"/>
                      <w:highlight w:val="none"/>
                    </w:rPr>
                  </w:pPr>
                  <w:r>
                    <w:rPr>
                      <w:rFonts w:hint="eastAsia" w:cs="Times New Roman"/>
                      <w:bCs/>
                      <w:color w:val="auto"/>
                      <w:sz w:val="21"/>
                      <w:szCs w:val="21"/>
                      <w:highlight w:val="none"/>
                      <w:lang w:val="en-US" w:eastAsia="zh-CN"/>
                    </w:rPr>
                    <w:t>标准</w:t>
                  </w:r>
                  <w:r>
                    <w:rPr>
                      <w:rFonts w:hint="default" w:ascii="Times New Roman" w:hAnsi="Times New Roman" w:cs="Times New Roman"/>
                      <w:bCs/>
                      <w:color w:val="auto"/>
                      <w:sz w:val="21"/>
                      <w:szCs w:val="21"/>
                      <w:highlight w:val="none"/>
                    </w:rPr>
                    <w:t>厂房已建有供电管网，市政供电。</w:t>
                  </w:r>
                </w:p>
              </w:tc>
              <w:tc>
                <w:tcPr>
                  <w:tcW w:w="3244" w:type="dxa"/>
                  <w:noWrap w:val="0"/>
                  <w:vAlign w:val="center"/>
                </w:tcPr>
                <w:p w14:paraId="5544A2AC">
                  <w:pPr>
                    <w:pStyle w:val="22"/>
                    <w:tabs>
                      <w:tab w:val="right" w:pos="8641"/>
                    </w:tabs>
                    <w:spacing w:line="240" w:lineRule="auto"/>
                    <w:ind w:right="11"/>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满足本项目需求，依托可行。</w:t>
                  </w:r>
                </w:p>
              </w:tc>
            </w:tr>
            <w:tr w14:paraId="5CEC4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761" w:type="dxa"/>
                  <w:vMerge w:val="continue"/>
                  <w:noWrap w:val="0"/>
                  <w:vAlign w:val="center"/>
                </w:tcPr>
                <w:p w14:paraId="5AF58CFB">
                  <w:pPr>
                    <w:pStyle w:val="22"/>
                    <w:tabs>
                      <w:tab w:val="right" w:pos="8641"/>
                    </w:tabs>
                    <w:spacing w:line="240" w:lineRule="auto"/>
                    <w:ind w:right="11"/>
                    <w:jc w:val="center"/>
                    <w:rPr>
                      <w:rFonts w:hint="default" w:ascii="Times New Roman" w:hAnsi="Times New Roman" w:cs="Times New Roman"/>
                      <w:bCs/>
                      <w:color w:val="auto"/>
                      <w:sz w:val="21"/>
                      <w:szCs w:val="21"/>
                      <w:highlight w:val="none"/>
                    </w:rPr>
                  </w:pPr>
                </w:p>
              </w:tc>
              <w:tc>
                <w:tcPr>
                  <w:tcW w:w="968" w:type="dxa"/>
                  <w:noWrap w:val="0"/>
                  <w:vAlign w:val="center"/>
                </w:tcPr>
                <w:p w14:paraId="7BFF683F">
                  <w:pPr>
                    <w:pStyle w:val="22"/>
                    <w:tabs>
                      <w:tab w:val="right" w:pos="8641"/>
                    </w:tabs>
                    <w:spacing w:line="240" w:lineRule="auto"/>
                    <w:ind w:right="11"/>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给水</w:t>
                  </w:r>
                </w:p>
              </w:tc>
              <w:tc>
                <w:tcPr>
                  <w:tcW w:w="3646" w:type="dxa"/>
                  <w:noWrap w:val="0"/>
                  <w:vAlign w:val="center"/>
                </w:tcPr>
                <w:p w14:paraId="5E5D455D">
                  <w:pPr>
                    <w:pStyle w:val="22"/>
                    <w:tabs>
                      <w:tab w:val="right" w:pos="8641"/>
                    </w:tabs>
                    <w:spacing w:line="240" w:lineRule="auto"/>
                    <w:ind w:right="11"/>
                    <w:rPr>
                      <w:rFonts w:hint="default" w:ascii="Times New Roman" w:hAnsi="Times New Roman" w:cs="Times New Roman"/>
                      <w:bCs/>
                      <w:color w:val="auto"/>
                      <w:sz w:val="21"/>
                      <w:szCs w:val="21"/>
                      <w:highlight w:val="none"/>
                    </w:rPr>
                  </w:pPr>
                  <w:r>
                    <w:rPr>
                      <w:rFonts w:hint="eastAsia" w:cs="Times New Roman"/>
                      <w:bCs/>
                      <w:color w:val="auto"/>
                      <w:sz w:val="21"/>
                      <w:szCs w:val="21"/>
                      <w:highlight w:val="none"/>
                      <w:lang w:val="en-US" w:eastAsia="zh-CN"/>
                    </w:rPr>
                    <w:t>标准</w:t>
                  </w:r>
                  <w:r>
                    <w:rPr>
                      <w:rFonts w:hint="default" w:ascii="Times New Roman" w:hAnsi="Times New Roman" w:cs="Times New Roman"/>
                      <w:color w:val="auto"/>
                      <w:sz w:val="21"/>
                      <w:szCs w:val="21"/>
                      <w:highlight w:val="none"/>
                    </w:rPr>
                    <w:t>厂房已建有供水管网，市政供水。</w:t>
                  </w:r>
                </w:p>
              </w:tc>
              <w:tc>
                <w:tcPr>
                  <w:tcW w:w="3244" w:type="dxa"/>
                  <w:noWrap w:val="0"/>
                  <w:vAlign w:val="center"/>
                </w:tcPr>
                <w:p w14:paraId="100506B8">
                  <w:pPr>
                    <w:pStyle w:val="22"/>
                    <w:tabs>
                      <w:tab w:val="right" w:pos="8641"/>
                    </w:tabs>
                    <w:spacing w:line="240" w:lineRule="auto"/>
                    <w:ind w:right="11"/>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满足本项目需求，依托可行。</w:t>
                  </w:r>
                </w:p>
              </w:tc>
            </w:tr>
            <w:tr w14:paraId="1AC0A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61" w:type="dxa"/>
                  <w:vMerge w:val="continue"/>
                  <w:noWrap w:val="0"/>
                  <w:vAlign w:val="center"/>
                </w:tcPr>
                <w:p w14:paraId="05647414">
                  <w:pPr>
                    <w:pStyle w:val="22"/>
                    <w:tabs>
                      <w:tab w:val="right" w:pos="8641"/>
                    </w:tabs>
                    <w:spacing w:line="240" w:lineRule="auto"/>
                    <w:ind w:right="11"/>
                    <w:jc w:val="center"/>
                    <w:rPr>
                      <w:rFonts w:hint="default" w:ascii="Times New Roman" w:hAnsi="Times New Roman" w:cs="Times New Roman"/>
                      <w:bCs/>
                      <w:color w:val="auto"/>
                      <w:sz w:val="21"/>
                      <w:szCs w:val="21"/>
                      <w:highlight w:val="none"/>
                    </w:rPr>
                  </w:pPr>
                </w:p>
              </w:tc>
              <w:tc>
                <w:tcPr>
                  <w:tcW w:w="968" w:type="dxa"/>
                  <w:noWrap w:val="0"/>
                  <w:vAlign w:val="center"/>
                </w:tcPr>
                <w:p w14:paraId="4AC69935">
                  <w:pPr>
                    <w:pStyle w:val="22"/>
                    <w:tabs>
                      <w:tab w:val="right" w:pos="8641"/>
                    </w:tabs>
                    <w:spacing w:line="240" w:lineRule="auto"/>
                    <w:ind w:right="11"/>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排水</w:t>
                  </w:r>
                </w:p>
              </w:tc>
              <w:tc>
                <w:tcPr>
                  <w:tcW w:w="3646" w:type="dxa"/>
                  <w:noWrap w:val="0"/>
                  <w:vAlign w:val="center"/>
                </w:tcPr>
                <w:p w14:paraId="07DBE56E">
                  <w:pPr>
                    <w:pStyle w:val="22"/>
                    <w:tabs>
                      <w:tab w:val="right" w:pos="8641"/>
                    </w:tabs>
                    <w:spacing w:line="240" w:lineRule="auto"/>
                    <w:ind w:right="11"/>
                    <w:jc w:val="both"/>
                    <w:rPr>
                      <w:rFonts w:hint="default" w:ascii="Times New Roman" w:hAnsi="Times New Roman" w:cs="Times New Roman"/>
                      <w:bCs/>
                      <w:color w:val="auto"/>
                      <w:sz w:val="21"/>
                      <w:szCs w:val="21"/>
                      <w:highlight w:val="none"/>
                    </w:rPr>
                  </w:pPr>
                  <w:r>
                    <w:rPr>
                      <w:rFonts w:hint="eastAsia" w:cs="Times New Roman"/>
                      <w:bCs/>
                      <w:color w:val="auto"/>
                      <w:sz w:val="21"/>
                      <w:szCs w:val="21"/>
                      <w:highlight w:val="none"/>
                      <w:lang w:val="en-US" w:eastAsia="zh-CN"/>
                    </w:rPr>
                    <w:t>标准</w:t>
                  </w:r>
                  <w:r>
                    <w:rPr>
                      <w:rFonts w:hint="default" w:ascii="Times New Roman" w:hAnsi="Times New Roman" w:cs="Times New Roman"/>
                      <w:bCs/>
                      <w:color w:val="auto"/>
                      <w:sz w:val="21"/>
                      <w:szCs w:val="21"/>
                      <w:highlight w:val="none"/>
                    </w:rPr>
                    <w:t>厂房已建有雨水、污水管网；园区已建有市政雨水管网、市政污水管网，污水接入</w:t>
                  </w:r>
                  <w:r>
                    <w:rPr>
                      <w:rFonts w:hint="default" w:ascii="Times New Roman" w:hAnsi="Times New Roman" w:cs="Times New Roman"/>
                      <w:bCs/>
                      <w:color w:val="auto"/>
                      <w:sz w:val="21"/>
                      <w:szCs w:val="21"/>
                      <w:highlight w:val="none"/>
                      <w:lang w:val="en-US" w:eastAsia="zh-CN"/>
                    </w:rPr>
                    <w:t>园区</w:t>
                  </w:r>
                  <w:r>
                    <w:rPr>
                      <w:rFonts w:hint="default" w:ascii="Times New Roman" w:hAnsi="Times New Roman" w:cs="Times New Roman"/>
                      <w:bCs/>
                      <w:color w:val="auto"/>
                      <w:sz w:val="21"/>
                      <w:szCs w:val="21"/>
                      <w:highlight w:val="none"/>
                    </w:rPr>
                    <w:t>污水处理厂。</w:t>
                  </w:r>
                </w:p>
              </w:tc>
              <w:tc>
                <w:tcPr>
                  <w:tcW w:w="3244" w:type="dxa"/>
                  <w:noWrap w:val="0"/>
                  <w:vAlign w:val="center"/>
                </w:tcPr>
                <w:p w14:paraId="4946F9B7">
                  <w:pPr>
                    <w:pStyle w:val="22"/>
                    <w:tabs>
                      <w:tab w:val="right" w:pos="8641"/>
                    </w:tabs>
                    <w:spacing w:line="240" w:lineRule="auto"/>
                    <w:ind w:right="11"/>
                    <w:jc w:val="both"/>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本项目所在区域雨污管网完善。项目废水依托租赁厂房生化池处理达标后排入园区污水管网，经大竹县工业园区污水处理厂处理达标排放，依托可行。</w:t>
                  </w:r>
                </w:p>
              </w:tc>
            </w:tr>
            <w:tr w14:paraId="5428F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1" w:type="dxa"/>
                  <w:noWrap w:val="0"/>
                  <w:vAlign w:val="center"/>
                </w:tcPr>
                <w:p w14:paraId="7FA37064">
                  <w:pPr>
                    <w:pStyle w:val="22"/>
                    <w:tabs>
                      <w:tab w:val="right" w:pos="8641"/>
                    </w:tabs>
                    <w:spacing w:line="240" w:lineRule="auto"/>
                    <w:ind w:right="11"/>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环保工程</w:t>
                  </w:r>
                </w:p>
              </w:tc>
              <w:tc>
                <w:tcPr>
                  <w:tcW w:w="968" w:type="dxa"/>
                  <w:noWrap w:val="0"/>
                  <w:vAlign w:val="center"/>
                </w:tcPr>
                <w:p w14:paraId="42E2136E">
                  <w:pPr>
                    <w:pStyle w:val="22"/>
                    <w:tabs>
                      <w:tab w:val="right" w:pos="8641"/>
                    </w:tabs>
                    <w:spacing w:line="240" w:lineRule="auto"/>
                    <w:ind w:right="11"/>
                    <w:jc w:val="center"/>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生化池</w:t>
                  </w:r>
                </w:p>
              </w:tc>
              <w:tc>
                <w:tcPr>
                  <w:tcW w:w="3646" w:type="dxa"/>
                  <w:noWrap w:val="0"/>
                  <w:vAlign w:val="center"/>
                </w:tcPr>
                <w:p w14:paraId="7A3F9F78">
                  <w:pPr>
                    <w:pStyle w:val="22"/>
                    <w:tabs>
                      <w:tab w:val="right" w:pos="8641"/>
                    </w:tabs>
                    <w:spacing w:line="240" w:lineRule="auto"/>
                    <w:ind w:right="11"/>
                    <w:jc w:val="both"/>
                    <w:rPr>
                      <w:rFonts w:hint="default" w:ascii="Times New Roman" w:hAnsi="Times New Roman" w:cs="Times New Roman"/>
                      <w:bCs/>
                      <w:color w:val="auto"/>
                      <w:sz w:val="21"/>
                      <w:szCs w:val="21"/>
                      <w:highlight w:val="none"/>
                    </w:rPr>
                  </w:pPr>
                  <w:r>
                    <w:rPr>
                      <w:rFonts w:hint="eastAsia" w:cs="Times New Roman"/>
                      <w:bCs/>
                      <w:color w:val="0000FF"/>
                      <w:kern w:val="2"/>
                      <w:sz w:val="21"/>
                      <w:szCs w:val="21"/>
                      <w:highlight w:val="none"/>
                      <w:lang w:val="en-US" w:eastAsia="zh-CN"/>
                    </w:rPr>
                    <w:t>根据调查，园区内无其他企业入驻，园区</w:t>
                  </w:r>
                  <w:r>
                    <w:rPr>
                      <w:rFonts w:hint="default" w:ascii="Times New Roman" w:hAnsi="Times New Roman" w:cs="Times New Roman"/>
                      <w:bCs/>
                      <w:color w:val="0000FF"/>
                      <w:kern w:val="2"/>
                      <w:sz w:val="21"/>
                      <w:szCs w:val="21"/>
                      <w:highlight w:val="none"/>
                    </w:rPr>
                    <w:t>已</w:t>
                  </w:r>
                  <w:r>
                    <w:rPr>
                      <w:rFonts w:hint="default" w:ascii="Times New Roman" w:hAnsi="Times New Roman" w:cs="Times New Roman"/>
                      <w:bCs/>
                      <w:color w:val="0000FF"/>
                      <w:sz w:val="21"/>
                      <w:szCs w:val="21"/>
                      <w:highlight w:val="none"/>
                    </w:rPr>
                    <w:t>建有生化池，处理规模</w:t>
                  </w:r>
                  <w:r>
                    <w:rPr>
                      <w:rFonts w:hint="default" w:ascii="Times New Roman" w:hAnsi="Times New Roman" w:cs="Times New Roman"/>
                      <w:bCs/>
                      <w:color w:val="0000FF"/>
                      <w:sz w:val="21"/>
                      <w:szCs w:val="21"/>
                      <w:highlight w:val="none"/>
                      <w:lang w:val="en-US" w:eastAsia="zh-CN"/>
                    </w:rPr>
                    <w:t>100</w:t>
                  </w:r>
                  <w:r>
                    <w:rPr>
                      <w:rFonts w:hint="default" w:ascii="Times New Roman" w:hAnsi="Times New Roman" w:cs="Times New Roman"/>
                      <w:bCs/>
                      <w:color w:val="0000FF"/>
                      <w:sz w:val="21"/>
                      <w:szCs w:val="21"/>
                      <w:highlight w:val="none"/>
                    </w:rPr>
                    <w:t>m</w:t>
                  </w:r>
                  <w:r>
                    <w:rPr>
                      <w:rFonts w:hint="default" w:ascii="Times New Roman" w:hAnsi="Times New Roman" w:cs="Times New Roman"/>
                      <w:bCs/>
                      <w:color w:val="0000FF"/>
                      <w:sz w:val="21"/>
                      <w:szCs w:val="21"/>
                      <w:highlight w:val="none"/>
                      <w:vertAlign w:val="superscript"/>
                    </w:rPr>
                    <w:t>3</w:t>
                  </w:r>
                  <w:r>
                    <w:rPr>
                      <w:rFonts w:hint="default" w:ascii="Times New Roman" w:hAnsi="Times New Roman" w:cs="Times New Roman"/>
                      <w:bCs/>
                      <w:color w:val="0000FF"/>
                      <w:sz w:val="21"/>
                      <w:szCs w:val="21"/>
                      <w:highlight w:val="none"/>
                    </w:rPr>
                    <w:t>/d。</w:t>
                  </w:r>
                </w:p>
              </w:tc>
              <w:tc>
                <w:tcPr>
                  <w:tcW w:w="3244" w:type="dxa"/>
                  <w:noWrap w:val="0"/>
                  <w:vAlign w:val="center"/>
                </w:tcPr>
                <w:p w14:paraId="41ADC50D">
                  <w:pPr>
                    <w:pStyle w:val="22"/>
                    <w:tabs>
                      <w:tab w:val="right" w:pos="8641"/>
                    </w:tabs>
                    <w:spacing w:line="240" w:lineRule="auto"/>
                    <w:ind w:right="11"/>
                    <w:jc w:val="both"/>
                    <w:rPr>
                      <w:rFonts w:hint="default" w:ascii="Times New Roman" w:hAnsi="Times New Roman" w:cs="Times New Roman"/>
                      <w:bCs/>
                      <w:color w:val="auto"/>
                      <w:sz w:val="21"/>
                      <w:szCs w:val="21"/>
                      <w:highlight w:val="none"/>
                    </w:rPr>
                  </w:pPr>
                  <w:r>
                    <w:rPr>
                      <w:rFonts w:hint="default" w:ascii="Times New Roman" w:hAnsi="Times New Roman" w:cs="Times New Roman"/>
                      <w:bCs/>
                      <w:color w:val="auto"/>
                      <w:sz w:val="21"/>
                      <w:szCs w:val="21"/>
                      <w:highlight w:val="none"/>
                    </w:rPr>
                    <w:t>本项目排入生化池的</w:t>
                  </w:r>
                  <w:r>
                    <w:rPr>
                      <w:rFonts w:hint="default" w:ascii="Times New Roman" w:hAnsi="Times New Roman" w:cs="Times New Roman"/>
                      <w:bCs/>
                      <w:color w:val="auto"/>
                      <w:sz w:val="21"/>
                      <w:szCs w:val="21"/>
                      <w:highlight w:val="none"/>
                      <w:lang w:val="en-US" w:eastAsia="zh-CN"/>
                    </w:rPr>
                    <w:t>每日最大</w:t>
                  </w:r>
                  <w:r>
                    <w:rPr>
                      <w:rFonts w:hint="default" w:ascii="Times New Roman" w:hAnsi="Times New Roman" w:cs="Times New Roman"/>
                      <w:bCs/>
                      <w:color w:val="auto"/>
                      <w:sz w:val="21"/>
                      <w:szCs w:val="21"/>
                      <w:highlight w:val="none"/>
                    </w:rPr>
                    <w:t>废水量约</w:t>
                  </w:r>
                  <w:r>
                    <w:rPr>
                      <w:rFonts w:hint="eastAsia" w:cs="Times New Roman"/>
                      <w:bCs/>
                      <w:color w:val="auto"/>
                      <w:sz w:val="21"/>
                      <w:szCs w:val="21"/>
                      <w:highlight w:val="none"/>
                      <w:lang w:val="en-US" w:eastAsia="zh-CN"/>
                    </w:rPr>
                    <w:t>16</w:t>
                  </w:r>
                  <w:r>
                    <w:rPr>
                      <w:rFonts w:hint="default" w:ascii="Times New Roman" w:hAnsi="Times New Roman" w:cs="Times New Roman"/>
                      <w:bCs/>
                      <w:color w:val="auto"/>
                      <w:sz w:val="21"/>
                      <w:szCs w:val="21"/>
                      <w:highlight w:val="none"/>
                    </w:rPr>
                    <w:t>m</w:t>
                  </w:r>
                  <w:r>
                    <w:rPr>
                      <w:rFonts w:hint="default" w:ascii="Times New Roman" w:hAnsi="Times New Roman" w:cs="Times New Roman"/>
                      <w:bCs/>
                      <w:color w:val="auto"/>
                      <w:sz w:val="21"/>
                      <w:szCs w:val="21"/>
                      <w:highlight w:val="none"/>
                      <w:vertAlign w:val="superscript"/>
                    </w:rPr>
                    <w:t>3</w:t>
                  </w:r>
                  <w:r>
                    <w:rPr>
                      <w:rFonts w:hint="default" w:ascii="Times New Roman" w:hAnsi="Times New Roman" w:cs="Times New Roman"/>
                      <w:bCs/>
                      <w:color w:val="auto"/>
                      <w:sz w:val="21"/>
                      <w:szCs w:val="21"/>
                      <w:highlight w:val="none"/>
                    </w:rPr>
                    <w:t>/d，</w:t>
                  </w:r>
                  <w:r>
                    <w:rPr>
                      <w:rFonts w:hint="default" w:ascii="Times New Roman" w:hAnsi="Times New Roman" w:cs="Times New Roman"/>
                      <w:bCs/>
                      <w:color w:val="auto"/>
                      <w:sz w:val="21"/>
                      <w:szCs w:val="21"/>
                      <w:highlight w:val="none"/>
                      <w:lang w:val="en-US" w:eastAsia="zh-CN"/>
                    </w:rPr>
                    <w:t>依托生化池</w:t>
                  </w:r>
                  <w:r>
                    <w:rPr>
                      <w:rFonts w:hint="default" w:ascii="Times New Roman" w:hAnsi="Times New Roman" w:cs="Times New Roman"/>
                      <w:bCs/>
                      <w:color w:val="auto"/>
                      <w:sz w:val="21"/>
                      <w:szCs w:val="21"/>
                      <w:highlight w:val="none"/>
                    </w:rPr>
                    <w:t>处理规模满足本项目建设需要，依托可行。</w:t>
                  </w:r>
                </w:p>
              </w:tc>
            </w:tr>
          </w:tbl>
          <w:p w14:paraId="61043847">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2.2.3产品方案及规模</w:t>
            </w:r>
          </w:p>
          <w:p w14:paraId="6F2CAB26">
            <w:pPr>
              <w:pStyle w:val="49"/>
              <w:keepNext w:val="0"/>
              <w:keepLines w:val="0"/>
              <w:pageBreakBefore w:val="0"/>
              <w:widowControl w:val="0"/>
              <w:kinsoku/>
              <w:wordWrap/>
              <w:overflowPunct/>
              <w:topLinePunct w:val="0"/>
              <w:autoSpaceDE/>
              <w:autoSpaceDN/>
              <w:bidi w:val="0"/>
              <w:ind w:firstLine="48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w:t>
            </w:r>
            <w:r>
              <w:rPr>
                <w:rFonts w:hint="eastAsia" w:cs="Times New Roman"/>
                <w:color w:val="auto"/>
                <w:sz w:val="24"/>
                <w:highlight w:val="none"/>
                <w:lang w:val="en-US" w:eastAsia="zh-CN"/>
              </w:rPr>
              <w:t>年产手机充电器塑胶外壳15000万件、路由器1000万件</w:t>
            </w:r>
            <w:r>
              <w:rPr>
                <w:rFonts w:hint="default" w:ascii="Times New Roman" w:hAnsi="Times New Roman" w:cs="Times New Roman"/>
                <w:color w:val="auto"/>
                <w:sz w:val="24"/>
                <w:highlight w:val="none"/>
              </w:rPr>
              <w:t>。本项目产品方案及规模详见表2.2-3和表2.2-4。</w:t>
            </w:r>
          </w:p>
          <w:p w14:paraId="33A5F7B1">
            <w:pPr>
              <w:pStyle w:val="49"/>
              <w:keepNext w:val="0"/>
              <w:keepLines w:val="0"/>
              <w:pageBreakBefore w:val="0"/>
              <w:widowControl w:val="0"/>
              <w:kinsoku/>
              <w:wordWrap/>
              <w:overflowPunct/>
              <w:topLinePunct w:val="0"/>
              <w:autoSpaceDE/>
              <w:autoSpaceDN/>
              <w:bidi w:val="0"/>
              <w:ind w:left="0" w:leftChars="0" w:firstLine="0" w:firstLineChars="0"/>
              <w:jc w:val="center"/>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val="en-US" w:eastAsia="zh-CN"/>
              </w:rPr>
              <w:t>***</w:t>
            </w:r>
          </w:p>
          <w:p w14:paraId="637D4F2B">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2.2.4主要生产单元、生产工艺、生产设施及参数</w:t>
            </w:r>
          </w:p>
          <w:p w14:paraId="4268DB37">
            <w:pPr>
              <w:pStyle w:val="53"/>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本项目主要生产单元、生产工艺、生产设施、设施参数见表2.2-</w:t>
            </w: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w:t>
            </w:r>
          </w:p>
          <w:p w14:paraId="4EC2595A">
            <w:pPr>
              <w:pStyle w:val="22"/>
              <w:tabs>
                <w:tab w:val="right" w:pos="8641"/>
              </w:tabs>
              <w:spacing w:line="240" w:lineRule="auto"/>
              <w:jc w:val="center"/>
              <w:rPr>
                <w:rFonts w:hint="default" w:ascii="Times New Roman" w:hAnsi="Times New Roman" w:eastAsia="宋体"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w:t>
            </w:r>
          </w:p>
          <w:p w14:paraId="2ED28F19">
            <w:pPr>
              <w:pStyle w:val="22"/>
              <w:keepNext w:val="0"/>
              <w:keepLines w:val="0"/>
              <w:pageBreakBefore w:val="0"/>
              <w:widowControl w:val="0"/>
              <w:tabs>
                <w:tab w:val="right" w:pos="8641"/>
              </w:tabs>
              <w:kinsoku/>
              <w:wordWrap/>
              <w:overflowPunct/>
              <w:topLinePunct w:val="0"/>
              <w:autoSpaceDE/>
              <w:autoSpaceDN/>
              <w:bidi w:val="0"/>
              <w:snapToGrid w:val="0"/>
              <w:spacing w:line="360" w:lineRule="auto"/>
              <w:ind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通过核查《产业结构调整指导目录（2024年本）》可知，本项目所用设备均不属于国家禁止或明令淘汰的设备；同时对照工信部发布</w:t>
            </w:r>
            <w:r>
              <w:rPr>
                <w:rFonts w:hint="default" w:ascii="Times New Roman" w:hAnsi="Times New Roman" w:cs="Times New Roman"/>
                <w:color w:val="auto"/>
                <w:sz w:val="24"/>
                <w:highlight w:val="none"/>
                <w:lang w:val="en-US" w:eastAsia="zh-CN"/>
              </w:rPr>
              <w:t>的</w:t>
            </w:r>
            <w:r>
              <w:rPr>
                <w:rFonts w:hint="default" w:ascii="Times New Roman" w:hAnsi="Times New Roman" w:cs="Times New Roman"/>
                <w:color w:val="auto"/>
                <w:sz w:val="24"/>
                <w:highlight w:val="none"/>
              </w:rPr>
              <w:t>第一、二、三批《高耗能落后机电设备(产品)淘汰目录》，项目所用设备不属于落后机电设备。</w:t>
            </w:r>
          </w:p>
          <w:p w14:paraId="6DB76183">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2.2.5产能匹配性核定</w:t>
            </w:r>
          </w:p>
          <w:p w14:paraId="75E99A5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0000FF"/>
                <w:sz w:val="24"/>
                <w:highlight w:val="none"/>
              </w:rPr>
            </w:pPr>
            <w:r>
              <w:rPr>
                <w:rFonts w:hint="eastAsia"/>
                <w:bCs/>
                <w:color w:val="0000FF"/>
                <w:sz w:val="24"/>
              </w:rPr>
              <w:t>本项目</w:t>
            </w:r>
            <w:r>
              <w:rPr>
                <w:rFonts w:hint="eastAsia"/>
                <w:bCs/>
                <w:color w:val="0000FF"/>
                <w:sz w:val="24"/>
                <w:lang w:val="en-US" w:eastAsia="zh-CN"/>
              </w:rPr>
              <w:t>注塑</w:t>
            </w:r>
            <w:r>
              <w:rPr>
                <w:rFonts w:hint="eastAsia"/>
                <w:bCs/>
                <w:color w:val="0000FF"/>
                <w:sz w:val="24"/>
              </w:rPr>
              <w:t>生产节拍及产能匹配性核定详见</w:t>
            </w:r>
            <w:r>
              <w:rPr>
                <w:rFonts w:hint="eastAsia"/>
                <w:bCs/>
                <w:color w:val="0000FF"/>
                <w:sz w:val="24"/>
                <w:lang w:val="en-US" w:eastAsia="zh-CN"/>
              </w:rPr>
              <w:t>表2.2-7。</w:t>
            </w:r>
          </w:p>
          <w:p w14:paraId="5E27E1DF">
            <w:pPr>
              <w:adjustRightInd w:val="0"/>
              <w:snapToGrid w:val="0"/>
              <w:spacing w:line="240" w:lineRule="auto"/>
              <w:jc w:val="center"/>
              <w:rPr>
                <w:rFonts w:hint="default" w:ascii="Times New Roman" w:hAnsi="Times New Roman" w:cs="Times New Roman"/>
                <w:bCs/>
                <w:color w:val="0000FF"/>
                <w:sz w:val="24"/>
                <w:highlight w:val="none"/>
              </w:rPr>
            </w:pPr>
            <w:r>
              <w:rPr>
                <w:rFonts w:hint="default" w:ascii="Times New Roman" w:hAnsi="Times New Roman" w:cs="Times New Roman"/>
                <w:b/>
                <w:color w:val="0000FF"/>
                <w:kern w:val="0"/>
                <w:sz w:val="24"/>
                <w:szCs w:val="24"/>
                <w:highlight w:val="none"/>
                <w:lang w:val="en-US" w:eastAsia="zh-CN"/>
              </w:rPr>
              <w:t xml:space="preserve">表2.2-7  </w:t>
            </w:r>
            <w:r>
              <w:rPr>
                <w:rFonts w:hint="eastAsia" w:ascii="Times New Roman" w:hAnsi="Times New Roman" w:cs="Times New Roman"/>
                <w:b/>
                <w:color w:val="0000FF"/>
                <w:kern w:val="0"/>
                <w:sz w:val="24"/>
                <w:szCs w:val="24"/>
                <w:highlight w:val="none"/>
                <w:lang w:val="en-US" w:eastAsia="zh-CN"/>
              </w:rPr>
              <w:t>注塑</w:t>
            </w:r>
            <w:r>
              <w:rPr>
                <w:rFonts w:hint="default" w:ascii="Times New Roman" w:hAnsi="Times New Roman" w:cs="Times New Roman"/>
                <w:b/>
                <w:color w:val="0000FF"/>
                <w:kern w:val="0"/>
                <w:sz w:val="24"/>
                <w:szCs w:val="24"/>
                <w:highlight w:val="none"/>
              </w:rPr>
              <w:t>产能匹配性核定一览表</w:t>
            </w:r>
          </w:p>
          <w:tbl>
            <w:tblPr>
              <w:tblStyle w:val="35"/>
              <w:tblW w:w="8476" w:type="dxa"/>
              <w:tblInd w:w="-2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77"/>
              <w:gridCol w:w="1392"/>
              <w:gridCol w:w="1933"/>
              <w:gridCol w:w="705"/>
              <w:gridCol w:w="651"/>
              <w:gridCol w:w="958"/>
              <w:gridCol w:w="843"/>
              <w:gridCol w:w="840"/>
              <w:gridCol w:w="777"/>
            </w:tblGrid>
            <w:tr w14:paraId="452CB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95" w:hRule="atLeast"/>
              </w:trPr>
              <w:tc>
                <w:tcPr>
                  <w:tcW w:w="37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4B230A">
                  <w:pPr>
                    <w:keepNext w:val="0"/>
                    <w:keepLines w:val="0"/>
                    <w:widowControl/>
                    <w:suppressLineNumbers w:val="0"/>
                    <w:jc w:val="center"/>
                    <w:textAlignment w:val="center"/>
                    <w:rPr>
                      <w:rFonts w:hint="eastAsia" w:ascii="宋体" w:hAnsi="宋体" w:eastAsia="宋体" w:cs="宋体"/>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生产工艺</w:t>
                  </w:r>
                </w:p>
              </w:tc>
              <w:tc>
                <w:tcPr>
                  <w:tcW w:w="1392" w:type="dxa"/>
                  <w:tcBorders>
                    <w:top w:val="single" w:color="000000" w:sz="8" w:space="0"/>
                    <w:left w:val="nil"/>
                    <w:bottom w:val="single" w:color="000000" w:sz="8" w:space="0"/>
                    <w:right w:val="single" w:color="000000" w:sz="8" w:space="0"/>
                  </w:tcBorders>
                  <w:shd w:val="clear" w:color="auto" w:fill="auto"/>
                  <w:vAlign w:val="center"/>
                </w:tcPr>
                <w:p w14:paraId="5C8E2A7A">
                  <w:pPr>
                    <w:keepNext w:val="0"/>
                    <w:keepLines w:val="0"/>
                    <w:widowControl/>
                    <w:suppressLineNumbers w:val="0"/>
                    <w:jc w:val="center"/>
                    <w:textAlignment w:val="center"/>
                    <w:rPr>
                      <w:rFonts w:hint="eastAsia" w:ascii="宋体" w:hAnsi="宋体" w:eastAsia="宋体" w:cs="宋体"/>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设施参数</w:t>
                  </w:r>
                </w:p>
              </w:tc>
              <w:tc>
                <w:tcPr>
                  <w:tcW w:w="1933" w:type="dxa"/>
                  <w:tcBorders>
                    <w:top w:val="single" w:color="000000" w:sz="8" w:space="0"/>
                    <w:left w:val="nil"/>
                    <w:bottom w:val="single" w:color="000000" w:sz="8" w:space="0"/>
                    <w:right w:val="single" w:color="000000" w:sz="8" w:space="0"/>
                  </w:tcBorders>
                  <w:shd w:val="clear" w:color="auto" w:fill="auto"/>
                  <w:noWrap/>
                  <w:vAlign w:val="center"/>
                </w:tcPr>
                <w:p w14:paraId="3A6EB173">
                  <w:pPr>
                    <w:keepNext w:val="0"/>
                    <w:keepLines w:val="0"/>
                    <w:widowControl/>
                    <w:suppressLineNumbers w:val="0"/>
                    <w:jc w:val="center"/>
                    <w:textAlignment w:val="center"/>
                    <w:rPr>
                      <w:rFonts w:hint="eastAsia" w:ascii="宋体" w:hAnsi="宋体" w:eastAsia="宋体" w:cs="宋体"/>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单台设备注塑能力（件</w:t>
                  </w:r>
                  <w:r>
                    <w:rPr>
                      <w:rFonts w:hint="default" w:ascii="Times New Roman" w:hAnsi="Times New Roman" w:eastAsia="宋体" w:cs="Times New Roman"/>
                      <w:b/>
                      <w:bCs/>
                      <w:i w:val="0"/>
                      <w:iCs w:val="0"/>
                      <w:color w:val="0000FF"/>
                      <w:kern w:val="0"/>
                      <w:sz w:val="21"/>
                      <w:szCs w:val="21"/>
                      <w:u w:val="none"/>
                      <w:lang w:val="en-US" w:eastAsia="zh-CN" w:bidi="ar"/>
                    </w:rPr>
                    <w:t>/</w:t>
                  </w:r>
                  <w:r>
                    <w:rPr>
                      <w:rFonts w:hint="eastAsia" w:ascii="宋体" w:hAnsi="宋体" w:eastAsia="宋体" w:cs="宋体"/>
                      <w:b/>
                      <w:bCs/>
                      <w:i w:val="0"/>
                      <w:iCs w:val="0"/>
                      <w:color w:val="0000FF"/>
                      <w:kern w:val="0"/>
                      <w:sz w:val="21"/>
                      <w:szCs w:val="21"/>
                      <w:u w:val="none"/>
                      <w:lang w:val="en-US" w:eastAsia="zh-CN" w:bidi="ar"/>
                    </w:rPr>
                    <w:t>模）</w:t>
                  </w:r>
                </w:p>
              </w:tc>
              <w:tc>
                <w:tcPr>
                  <w:tcW w:w="705" w:type="dxa"/>
                  <w:tcBorders>
                    <w:top w:val="single" w:color="000000" w:sz="8" w:space="0"/>
                    <w:left w:val="nil"/>
                    <w:bottom w:val="single" w:color="000000" w:sz="8" w:space="0"/>
                    <w:right w:val="single" w:color="000000" w:sz="8" w:space="0"/>
                  </w:tcBorders>
                  <w:shd w:val="clear" w:color="auto" w:fill="auto"/>
                  <w:noWrap/>
                  <w:vAlign w:val="center"/>
                </w:tcPr>
                <w:p w14:paraId="315C306E">
                  <w:pPr>
                    <w:keepNext w:val="0"/>
                    <w:keepLines w:val="0"/>
                    <w:widowControl/>
                    <w:suppressLineNumbers w:val="0"/>
                    <w:jc w:val="center"/>
                    <w:textAlignment w:val="center"/>
                    <w:rPr>
                      <w:rFonts w:hint="eastAsia" w:ascii="宋体" w:hAnsi="宋体" w:eastAsia="宋体" w:cs="宋体"/>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设备数量（台）</w:t>
                  </w:r>
                </w:p>
              </w:tc>
              <w:tc>
                <w:tcPr>
                  <w:tcW w:w="651" w:type="dxa"/>
                  <w:tcBorders>
                    <w:top w:val="single" w:color="000000" w:sz="8" w:space="0"/>
                    <w:left w:val="nil"/>
                    <w:bottom w:val="single" w:color="000000" w:sz="8" w:space="0"/>
                    <w:right w:val="single" w:color="000000" w:sz="8" w:space="0"/>
                  </w:tcBorders>
                  <w:shd w:val="clear" w:color="auto" w:fill="auto"/>
                  <w:noWrap/>
                  <w:vAlign w:val="center"/>
                </w:tcPr>
                <w:p w14:paraId="22E16D07">
                  <w:pPr>
                    <w:keepNext w:val="0"/>
                    <w:keepLines w:val="0"/>
                    <w:widowControl/>
                    <w:suppressLineNumbers w:val="0"/>
                    <w:jc w:val="center"/>
                    <w:textAlignment w:val="center"/>
                    <w:rPr>
                      <w:rFonts w:hint="eastAsia" w:ascii="宋体" w:hAnsi="宋体" w:eastAsia="宋体" w:cs="宋体"/>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每天生产（</w:t>
                  </w:r>
                  <w:r>
                    <w:rPr>
                      <w:rFonts w:hint="default" w:ascii="Times New Roman" w:hAnsi="Times New Roman" w:eastAsia="宋体" w:cs="Times New Roman"/>
                      <w:b/>
                      <w:bCs/>
                      <w:i w:val="0"/>
                      <w:iCs w:val="0"/>
                      <w:color w:val="0000FF"/>
                      <w:kern w:val="0"/>
                      <w:sz w:val="21"/>
                      <w:szCs w:val="21"/>
                      <w:u w:val="none"/>
                      <w:lang w:val="en-US" w:eastAsia="zh-CN" w:bidi="ar"/>
                    </w:rPr>
                    <w:t>h</w:t>
                  </w:r>
                  <w:r>
                    <w:rPr>
                      <w:rFonts w:hint="eastAsia" w:ascii="宋体" w:hAnsi="宋体" w:eastAsia="宋体" w:cs="宋体"/>
                      <w:b/>
                      <w:bCs/>
                      <w:i w:val="0"/>
                      <w:iCs w:val="0"/>
                      <w:color w:val="0000FF"/>
                      <w:kern w:val="0"/>
                      <w:sz w:val="21"/>
                      <w:szCs w:val="21"/>
                      <w:u w:val="none"/>
                      <w:lang w:val="en-US" w:eastAsia="zh-CN" w:bidi="ar"/>
                    </w:rPr>
                    <w:t>）</w:t>
                  </w:r>
                </w:p>
              </w:tc>
              <w:tc>
                <w:tcPr>
                  <w:tcW w:w="958" w:type="dxa"/>
                  <w:tcBorders>
                    <w:top w:val="single" w:color="000000" w:sz="8" w:space="0"/>
                    <w:left w:val="nil"/>
                    <w:bottom w:val="single" w:color="000000" w:sz="8" w:space="0"/>
                    <w:right w:val="single" w:color="000000" w:sz="8" w:space="0"/>
                  </w:tcBorders>
                  <w:shd w:val="clear" w:color="auto" w:fill="auto"/>
                  <w:vAlign w:val="center"/>
                </w:tcPr>
                <w:p w14:paraId="7DA7456C">
                  <w:pPr>
                    <w:keepNext w:val="0"/>
                    <w:keepLines w:val="0"/>
                    <w:widowControl/>
                    <w:suppressLineNumbers w:val="0"/>
                    <w:jc w:val="center"/>
                    <w:textAlignment w:val="center"/>
                    <w:rPr>
                      <w:rFonts w:hint="eastAsia" w:ascii="宋体" w:hAnsi="宋体" w:eastAsia="宋体" w:cs="宋体"/>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单模生产时间（s/模）</w:t>
                  </w:r>
                </w:p>
              </w:tc>
              <w:tc>
                <w:tcPr>
                  <w:tcW w:w="843" w:type="dxa"/>
                  <w:tcBorders>
                    <w:top w:val="single" w:color="000000" w:sz="8" w:space="0"/>
                    <w:left w:val="nil"/>
                    <w:bottom w:val="single" w:color="000000" w:sz="8" w:space="0"/>
                    <w:right w:val="single" w:color="000000" w:sz="8" w:space="0"/>
                  </w:tcBorders>
                  <w:shd w:val="clear" w:color="auto" w:fill="auto"/>
                  <w:noWrap/>
                  <w:vAlign w:val="center"/>
                </w:tcPr>
                <w:p w14:paraId="11FC4B25">
                  <w:pPr>
                    <w:keepNext w:val="0"/>
                    <w:keepLines w:val="0"/>
                    <w:widowControl/>
                    <w:suppressLineNumbers w:val="0"/>
                    <w:jc w:val="center"/>
                    <w:textAlignment w:val="center"/>
                    <w:rPr>
                      <w:rFonts w:hint="eastAsia" w:ascii="宋体" w:hAnsi="宋体" w:eastAsia="宋体" w:cs="宋体"/>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年生产天数（</w:t>
                  </w:r>
                  <w:r>
                    <w:rPr>
                      <w:rFonts w:hint="default" w:ascii="Times New Roman" w:hAnsi="Times New Roman" w:eastAsia="宋体" w:cs="Times New Roman"/>
                      <w:b/>
                      <w:bCs/>
                      <w:i w:val="0"/>
                      <w:iCs w:val="0"/>
                      <w:color w:val="0000FF"/>
                      <w:kern w:val="0"/>
                      <w:sz w:val="21"/>
                      <w:szCs w:val="21"/>
                      <w:u w:val="none"/>
                      <w:lang w:val="en-US" w:eastAsia="zh-CN" w:bidi="ar"/>
                    </w:rPr>
                    <w:t>d</w:t>
                  </w:r>
                  <w:r>
                    <w:rPr>
                      <w:rFonts w:hint="eastAsia" w:ascii="宋体" w:hAnsi="宋体" w:eastAsia="宋体" w:cs="宋体"/>
                      <w:b/>
                      <w:bCs/>
                      <w:i w:val="0"/>
                      <w:iCs w:val="0"/>
                      <w:color w:val="0000FF"/>
                      <w:kern w:val="0"/>
                      <w:sz w:val="21"/>
                      <w:szCs w:val="21"/>
                      <w:u w:val="none"/>
                      <w:lang w:val="en-US" w:eastAsia="zh-CN" w:bidi="ar"/>
                    </w:rPr>
                    <w:t>）</w:t>
                  </w:r>
                </w:p>
              </w:tc>
              <w:tc>
                <w:tcPr>
                  <w:tcW w:w="840" w:type="dxa"/>
                  <w:tcBorders>
                    <w:top w:val="single" w:color="000000" w:sz="8" w:space="0"/>
                    <w:left w:val="nil"/>
                    <w:bottom w:val="single" w:color="000000" w:sz="8" w:space="0"/>
                    <w:right w:val="single" w:color="000000" w:sz="8" w:space="0"/>
                  </w:tcBorders>
                  <w:shd w:val="clear" w:color="auto" w:fill="auto"/>
                  <w:vAlign w:val="center"/>
                </w:tcPr>
                <w:p w14:paraId="53346BA9">
                  <w:pPr>
                    <w:keepNext w:val="0"/>
                    <w:keepLines w:val="0"/>
                    <w:widowControl/>
                    <w:suppressLineNumbers w:val="0"/>
                    <w:jc w:val="center"/>
                    <w:textAlignment w:val="center"/>
                    <w:rPr>
                      <w:rFonts w:hint="eastAsia" w:ascii="宋体" w:hAnsi="宋体" w:eastAsia="宋体" w:cs="宋体"/>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核算规模（万件</w:t>
                  </w:r>
                  <w:r>
                    <w:rPr>
                      <w:rFonts w:hint="default" w:ascii="Times New Roman" w:hAnsi="Times New Roman" w:eastAsia="宋体" w:cs="Times New Roman"/>
                      <w:b/>
                      <w:bCs/>
                      <w:i w:val="0"/>
                      <w:iCs w:val="0"/>
                      <w:color w:val="0000FF"/>
                      <w:kern w:val="0"/>
                      <w:sz w:val="21"/>
                      <w:szCs w:val="21"/>
                      <w:u w:val="none"/>
                      <w:lang w:val="en-US" w:eastAsia="zh-CN" w:bidi="ar"/>
                    </w:rPr>
                    <w:t>/a</w:t>
                  </w:r>
                  <w:r>
                    <w:rPr>
                      <w:rFonts w:hint="eastAsia" w:ascii="宋体" w:hAnsi="宋体" w:eastAsia="宋体" w:cs="宋体"/>
                      <w:b/>
                      <w:bCs/>
                      <w:i w:val="0"/>
                      <w:iCs w:val="0"/>
                      <w:color w:val="0000FF"/>
                      <w:kern w:val="0"/>
                      <w:sz w:val="21"/>
                      <w:szCs w:val="21"/>
                      <w:u w:val="none"/>
                      <w:lang w:val="en-US" w:eastAsia="zh-CN" w:bidi="ar"/>
                    </w:rPr>
                    <w:t>）</w:t>
                  </w:r>
                </w:p>
              </w:tc>
              <w:tc>
                <w:tcPr>
                  <w:tcW w:w="777" w:type="dxa"/>
                  <w:tcBorders>
                    <w:top w:val="single" w:color="000000" w:sz="8" w:space="0"/>
                    <w:left w:val="nil"/>
                    <w:bottom w:val="single" w:color="000000" w:sz="8" w:space="0"/>
                    <w:right w:val="single" w:color="000000" w:sz="8" w:space="0"/>
                  </w:tcBorders>
                  <w:shd w:val="clear" w:color="auto" w:fill="auto"/>
                  <w:vAlign w:val="center"/>
                </w:tcPr>
                <w:p w14:paraId="084C67CD">
                  <w:pPr>
                    <w:keepNext w:val="0"/>
                    <w:keepLines w:val="0"/>
                    <w:widowControl/>
                    <w:suppressLineNumbers w:val="0"/>
                    <w:jc w:val="center"/>
                    <w:textAlignment w:val="center"/>
                    <w:rPr>
                      <w:rFonts w:hint="eastAsia" w:ascii="宋体" w:hAnsi="宋体" w:eastAsia="宋体" w:cs="宋体"/>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设计规模（万件</w:t>
                  </w:r>
                  <w:r>
                    <w:rPr>
                      <w:rFonts w:hint="default" w:ascii="Times New Roman" w:hAnsi="Times New Roman" w:eastAsia="宋体" w:cs="Times New Roman"/>
                      <w:b/>
                      <w:bCs/>
                      <w:i w:val="0"/>
                      <w:iCs w:val="0"/>
                      <w:color w:val="0000FF"/>
                      <w:kern w:val="0"/>
                      <w:sz w:val="21"/>
                      <w:szCs w:val="21"/>
                      <w:u w:val="none"/>
                      <w:lang w:val="en-US" w:eastAsia="zh-CN" w:bidi="ar"/>
                    </w:rPr>
                    <w:t>/a</w:t>
                  </w:r>
                  <w:r>
                    <w:rPr>
                      <w:rFonts w:hint="eastAsia" w:ascii="宋体" w:hAnsi="宋体" w:eastAsia="宋体" w:cs="宋体"/>
                      <w:b/>
                      <w:bCs/>
                      <w:i w:val="0"/>
                      <w:iCs w:val="0"/>
                      <w:color w:val="0000FF"/>
                      <w:kern w:val="0"/>
                      <w:sz w:val="21"/>
                      <w:szCs w:val="21"/>
                      <w:u w:val="none"/>
                      <w:lang w:val="en-US" w:eastAsia="zh-CN" w:bidi="ar"/>
                    </w:rPr>
                    <w:t>）</w:t>
                  </w:r>
                </w:p>
              </w:tc>
            </w:tr>
            <w:tr w14:paraId="4AA58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77" w:type="dxa"/>
                  <w:vMerge w:val="restart"/>
                  <w:tcBorders>
                    <w:top w:val="nil"/>
                    <w:left w:val="single" w:color="000000" w:sz="8" w:space="0"/>
                    <w:right w:val="single" w:color="000000" w:sz="8" w:space="0"/>
                  </w:tcBorders>
                  <w:shd w:val="clear" w:color="auto" w:fill="auto"/>
                  <w:vAlign w:val="center"/>
                </w:tcPr>
                <w:p w14:paraId="163FCE55">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注塑</w:t>
                  </w:r>
                </w:p>
              </w:tc>
              <w:tc>
                <w:tcPr>
                  <w:tcW w:w="1392" w:type="dxa"/>
                  <w:tcBorders>
                    <w:top w:val="nil"/>
                    <w:left w:val="single" w:color="000000" w:sz="8" w:space="0"/>
                    <w:bottom w:val="single" w:color="000000" w:sz="8" w:space="0"/>
                    <w:right w:val="single" w:color="000000" w:sz="8" w:space="0"/>
                  </w:tcBorders>
                  <w:shd w:val="clear" w:color="auto" w:fill="auto"/>
                  <w:vAlign w:val="center"/>
                </w:tcPr>
                <w:p w14:paraId="4B8EA92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a-S150iA</w:t>
                  </w:r>
                </w:p>
              </w:tc>
              <w:tc>
                <w:tcPr>
                  <w:tcW w:w="1933" w:type="dxa"/>
                  <w:tcBorders>
                    <w:top w:val="nil"/>
                    <w:left w:val="nil"/>
                    <w:bottom w:val="single" w:color="000000" w:sz="8" w:space="0"/>
                    <w:right w:val="single" w:color="000000" w:sz="8" w:space="0"/>
                  </w:tcBorders>
                  <w:shd w:val="clear" w:color="auto" w:fill="auto"/>
                  <w:vAlign w:val="center"/>
                </w:tcPr>
                <w:p w14:paraId="7157E70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2~6</w:t>
                  </w:r>
                  <w:r>
                    <w:rPr>
                      <w:rFonts w:hint="eastAsia" w:ascii="宋体" w:hAnsi="宋体" w:eastAsia="宋体" w:cs="宋体"/>
                      <w:i w:val="0"/>
                      <w:iCs w:val="0"/>
                      <w:color w:val="0000FF"/>
                      <w:kern w:val="0"/>
                      <w:sz w:val="21"/>
                      <w:szCs w:val="21"/>
                      <w:u w:val="none"/>
                      <w:lang w:val="en-US" w:eastAsia="zh-CN" w:bidi="ar"/>
                    </w:rPr>
                    <w:t>（本次取值</w:t>
                  </w:r>
                  <w:r>
                    <w:rPr>
                      <w:rFonts w:hint="default" w:ascii="Times New Roman" w:hAnsi="Times New Roman" w:eastAsia="宋体" w:cs="Times New Roman"/>
                      <w:i w:val="0"/>
                      <w:iCs w:val="0"/>
                      <w:color w:val="0000FF"/>
                      <w:kern w:val="0"/>
                      <w:sz w:val="21"/>
                      <w:szCs w:val="21"/>
                      <w:u w:val="none"/>
                      <w:lang w:val="en-US" w:eastAsia="zh-CN" w:bidi="ar"/>
                    </w:rPr>
                    <w:t>6</w:t>
                  </w:r>
                  <w:r>
                    <w:rPr>
                      <w:rFonts w:hint="eastAsia" w:ascii="宋体" w:hAnsi="宋体" w:eastAsia="宋体" w:cs="宋体"/>
                      <w:i w:val="0"/>
                      <w:iCs w:val="0"/>
                      <w:color w:val="0000FF"/>
                      <w:kern w:val="0"/>
                      <w:sz w:val="21"/>
                      <w:szCs w:val="21"/>
                      <w:u w:val="none"/>
                      <w:lang w:val="en-US" w:eastAsia="zh-CN" w:bidi="ar"/>
                    </w:rPr>
                    <w:t>）</w:t>
                  </w:r>
                </w:p>
              </w:tc>
              <w:tc>
                <w:tcPr>
                  <w:tcW w:w="705" w:type="dxa"/>
                  <w:tcBorders>
                    <w:top w:val="nil"/>
                    <w:left w:val="single" w:color="000000" w:sz="8" w:space="0"/>
                    <w:bottom w:val="single" w:color="000000" w:sz="8" w:space="0"/>
                    <w:right w:val="single" w:color="000000" w:sz="8" w:space="0"/>
                  </w:tcBorders>
                  <w:shd w:val="clear" w:color="auto" w:fill="auto"/>
                  <w:vAlign w:val="center"/>
                </w:tcPr>
                <w:p w14:paraId="17B8C48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17</w:t>
                  </w:r>
                </w:p>
              </w:tc>
              <w:tc>
                <w:tcPr>
                  <w:tcW w:w="651" w:type="dxa"/>
                  <w:tcBorders>
                    <w:top w:val="nil"/>
                    <w:left w:val="nil"/>
                    <w:bottom w:val="single" w:color="000000" w:sz="8" w:space="0"/>
                    <w:right w:val="single" w:color="000000" w:sz="8" w:space="0"/>
                  </w:tcBorders>
                  <w:shd w:val="clear" w:color="auto" w:fill="auto"/>
                  <w:vAlign w:val="center"/>
                </w:tcPr>
                <w:p w14:paraId="17EE7F3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w:t>
                  </w:r>
                </w:p>
              </w:tc>
              <w:tc>
                <w:tcPr>
                  <w:tcW w:w="958" w:type="dxa"/>
                  <w:tcBorders>
                    <w:top w:val="nil"/>
                    <w:left w:val="nil"/>
                    <w:bottom w:val="single" w:color="000000" w:sz="8" w:space="0"/>
                    <w:right w:val="single" w:color="000000" w:sz="8" w:space="0"/>
                  </w:tcBorders>
                  <w:shd w:val="clear" w:color="auto" w:fill="auto"/>
                  <w:noWrap/>
                  <w:vAlign w:val="center"/>
                </w:tcPr>
                <w:p w14:paraId="197C9B2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843" w:type="dxa"/>
                  <w:tcBorders>
                    <w:top w:val="nil"/>
                    <w:left w:val="nil"/>
                    <w:bottom w:val="single" w:color="000000" w:sz="8" w:space="0"/>
                    <w:right w:val="single" w:color="000000" w:sz="8" w:space="0"/>
                  </w:tcBorders>
                  <w:shd w:val="clear" w:color="auto" w:fill="auto"/>
                  <w:vAlign w:val="center"/>
                </w:tcPr>
                <w:p w14:paraId="6DCAA78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300</w:t>
                  </w:r>
                </w:p>
              </w:tc>
              <w:tc>
                <w:tcPr>
                  <w:tcW w:w="840" w:type="dxa"/>
                  <w:tcBorders>
                    <w:top w:val="nil"/>
                    <w:left w:val="nil"/>
                    <w:bottom w:val="single" w:color="000000" w:sz="8" w:space="0"/>
                    <w:right w:val="single" w:color="000000" w:sz="8" w:space="0"/>
                  </w:tcBorders>
                  <w:shd w:val="clear" w:color="auto" w:fill="auto"/>
                  <w:vAlign w:val="center"/>
                </w:tcPr>
                <w:p w14:paraId="607487F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4406.4</w:t>
                  </w:r>
                </w:p>
              </w:tc>
              <w:tc>
                <w:tcPr>
                  <w:tcW w:w="777" w:type="dxa"/>
                  <w:vMerge w:val="restart"/>
                  <w:tcBorders>
                    <w:top w:val="nil"/>
                    <w:left w:val="nil"/>
                    <w:bottom w:val="single" w:color="000000" w:sz="8" w:space="0"/>
                    <w:right w:val="single" w:color="000000" w:sz="8" w:space="0"/>
                  </w:tcBorders>
                  <w:shd w:val="clear" w:color="auto" w:fill="auto"/>
                  <w:vAlign w:val="center"/>
                </w:tcPr>
                <w:p w14:paraId="7333870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r>
                    <w:rPr>
                      <w:rFonts w:hint="eastAsia" w:ascii="Times New Roman" w:hAnsi="Times New Roman" w:eastAsia="宋体" w:cs="Times New Roman"/>
                      <w:i w:val="0"/>
                      <w:iCs w:val="0"/>
                      <w:color w:val="0000FF"/>
                      <w:kern w:val="0"/>
                      <w:sz w:val="21"/>
                      <w:szCs w:val="21"/>
                      <w:u w:val="none"/>
                      <w:lang w:val="en-US" w:eastAsia="zh-CN" w:bidi="ar"/>
                    </w:rPr>
                    <w:t>6</w:t>
                  </w:r>
                  <w:r>
                    <w:rPr>
                      <w:rFonts w:hint="default" w:ascii="Times New Roman" w:hAnsi="Times New Roman" w:eastAsia="宋体" w:cs="Times New Roman"/>
                      <w:i w:val="0"/>
                      <w:iCs w:val="0"/>
                      <w:color w:val="0000FF"/>
                      <w:kern w:val="0"/>
                      <w:sz w:val="21"/>
                      <w:szCs w:val="21"/>
                      <w:u w:val="none"/>
                      <w:lang w:val="en-US" w:eastAsia="zh-CN" w:bidi="ar"/>
                    </w:rPr>
                    <w:t>000</w:t>
                  </w:r>
                </w:p>
              </w:tc>
            </w:tr>
            <w:tr w14:paraId="48819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77" w:type="dxa"/>
                  <w:vMerge w:val="continue"/>
                  <w:tcBorders>
                    <w:left w:val="single" w:color="000000" w:sz="8" w:space="0"/>
                    <w:right w:val="single" w:color="000000" w:sz="8" w:space="0"/>
                  </w:tcBorders>
                  <w:shd w:val="clear" w:color="auto" w:fill="auto"/>
                  <w:vAlign w:val="center"/>
                </w:tcPr>
                <w:p w14:paraId="27973AEB">
                  <w:pPr>
                    <w:jc w:val="center"/>
                    <w:rPr>
                      <w:rFonts w:hint="eastAsia" w:ascii="宋体" w:hAnsi="宋体" w:eastAsia="宋体" w:cs="宋体"/>
                      <w:i w:val="0"/>
                      <w:iCs w:val="0"/>
                      <w:color w:val="0000FF"/>
                      <w:sz w:val="21"/>
                      <w:szCs w:val="21"/>
                      <w:u w:val="none"/>
                    </w:rPr>
                  </w:pPr>
                </w:p>
              </w:tc>
              <w:tc>
                <w:tcPr>
                  <w:tcW w:w="1392" w:type="dxa"/>
                  <w:tcBorders>
                    <w:top w:val="nil"/>
                    <w:left w:val="single" w:color="000000" w:sz="8" w:space="0"/>
                    <w:bottom w:val="single" w:color="000000" w:sz="8" w:space="0"/>
                    <w:right w:val="single" w:color="000000" w:sz="8" w:space="0"/>
                  </w:tcBorders>
                  <w:shd w:val="clear" w:color="auto" w:fill="auto"/>
                  <w:vAlign w:val="center"/>
                </w:tcPr>
                <w:p w14:paraId="0D5BB34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a-S250iA</w:t>
                  </w:r>
                </w:p>
              </w:tc>
              <w:tc>
                <w:tcPr>
                  <w:tcW w:w="1933" w:type="dxa"/>
                  <w:tcBorders>
                    <w:top w:val="nil"/>
                    <w:left w:val="nil"/>
                    <w:bottom w:val="single" w:color="000000" w:sz="8" w:space="0"/>
                    <w:right w:val="single" w:color="000000" w:sz="8" w:space="0"/>
                  </w:tcBorders>
                  <w:shd w:val="clear" w:color="auto" w:fill="auto"/>
                  <w:vAlign w:val="center"/>
                </w:tcPr>
                <w:p w14:paraId="41D9C86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4~8</w:t>
                  </w:r>
                  <w:r>
                    <w:rPr>
                      <w:rFonts w:hint="eastAsia" w:ascii="宋体" w:hAnsi="宋体" w:eastAsia="宋体" w:cs="宋体"/>
                      <w:i w:val="0"/>
                      <w:iCs w:val="0"/>
                      <w:color w:val="0000FF"/>
                      <w:kern w:val="0"/>
                      <w:sz w:val="21"/>
                      <w:szCs w:val="21"/>
                      <w:u w:val="none"/>
                      <w:lang w:val="en-US" w:eastAsia="zh-CN" w:bidi="ar"/>
                    </w:rPr>
                    <w:t>（本次取值</w:t>
                  </w:r>
                  <w:r>
                    <w:rPr>
                      <w:rFonts w:hint="default" w:ascii="Times New Roman" w:hAnsi="Times New Roman" w:eastAsia="宋体" w:cs="Times New Roman"/>
                      <w:i w:val="0"/>
                      <w:iCs w:val="0"/>
                      <w:color w:val="0000FF"/>
                      <w:kern w:val="0"/>
                      <w:sz w:val="21"/>
                      <w:szCs w:val="21"/>
                      <w:u w:val="none"/>
                      <w:lang w:val="en-US" w:eastAsia="zh-CN" w:bidi="ar"/>
                    </w:rPr>
                    <w:t>8</w:t>
                  </w:r>
                  <w:r>
                    <w:rPr>
                      <w:rFonts w:hint="eastAsia" w:ascii="宋体" w:hAnsi="宋体" w:eastAsia="宋体" w:cs="宋体"/>
                      <w:i w:val="0"/>
                      <w:iCs w:val="0"/>
                      <w:color w:val="0000FF"/>
                      <w:kern w:val="0"/>
                      <w:sz w:val="21"/>
                      <w:szCs w:val="21"/>
                      <w:u w:val="none"/>
                      <w:lang w:val="en-US" w:eastAsia="zh-CN" w:bidi="ar"/>
                    </w:rPr>
                    <w:t>）</w:t>
                  </w:r>
                </w:p>
              </w:tc>
              <w:tc>
                <w:tcPr>
                  <w:tcW w:w="705" w:type="dxa"/>
                  <w:tcBorders>
                    <w:top w:val="nil"/>
                    <w:left w:val="single" w:color="000000" w:sz="8" w:space="0"/>
                    <w:bottom w:val="single" w:color="000000" w:sz="8" w:space="0"/>
                    <w:right w:val="single" w:color="000000" w:sz="8" w:space="0"/>
                  </w:tcBorders>
                  <w:shd w:val="clear" w:color="auto" w:fill="auto"/>
                  <w:vAlign w:val="center"/>
                </w:tcPr>
                <w:p w14:paraId="6B43537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w:t>
                  </w:r>
                </w:p>
              </w:tc>
              <w:tc>
                <w:tcPr>
                  <w:tcW w:w="651" w:type="dxa"/>
                  <w:tcBorders>
                    <w:top w:val="nil"/>
                    <w:left w:val="nil"/>
                    <w:bottom w:val="single" w:color="000000" w:sz="8" w:space="0"/>
                    <w:right w:val="single" w:color="000000" w:sz="8" w:space="0"/>
                  </w:tcBorders>
                  <w:shd w:val="clear" w:color="auto" w:fill="auto"/>
                  <w:vAlign w:val="center"/>
                </w:tcPr>
                <w:p w14:paraId="584768A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w:t>
                  </w:r>
                </w:p>
              </w:tc>
              <w:tc>
                <w:tcPr>
                  <w:tcW w:w="958" w:type="dxa"/>
                  <w:tcBorders>
                    <w:top w:val="nil"/>
                    <w:left w:val="nil"/>
                    <w:bottom w:val="single" w:color="000000" w:sz="8" w:space="0"/>
                    <w:right w:val="single" w:color="000000" w:sz="8" w:space="0"/>
                  </w:tcBorders>
                  <w:shd w:val="clear" w:color="auto" w:fill="auto"/>
                  <w:noWrap/>
                  <w:vAlign w:val="center"/>
                </w:tcPr>
                <w:p w14:paraId="0257008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843" w:type="dxa"/>
                  <w:tcBorders>
                    <w:top w:val="nil"/>
                    <w:left w:val="nil"/>
                    <w:bottom w:val="single" w:color="000000" w:sz="8" w:space="0"/>
                    <w:right w:val="single" w:color="000000" w:sz="8" w:space="0"/>
                  </w:tcBorders>
                  <w:shd w:val="clear" w:color="auto" w:fill="auto"/>
                  <w:vAlign w:val="center"/>
                </w:tcPr>
                <w:p w14:paraId="0AE6A6F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300</w:t>
                  </w:r>
                </w:p>
              </w:tc>
              <w:tc>
                <w:tcPr>
                  <w:tcW w:w="840" w:type="dxa"/>
                  <w:tcBorders>
                    <w:top w:val="nil"/>
                    <w:left w:val="nil"/>
                    <w:bottom w:val="single" w:color="000000" w:sz="8" w:space="0"/>
                    <w:right w:val="single" w:color="000000" w:sz="8" w:space="0"/>
                  </w:tcBorders>
                  <w:shd w:val="clear" w:color="auto" w:fill="auto"/>
                  <w:vAlign w:val="center"/>
                </w:tcPr>
                <w:p w14:paraId="584C7DE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691.2</w:t>
                  </w:r>
                </w:p>
              </w:tc>
              <w:tc>
                <w:tcPr>
                  <w:tcW w:w="777" w:type="dxa"/>
                  <w:vMerge w:val="continue"/>
                  <w:tcBorders>
                    <w:top w:val="nil"/>
                    <w:left w:val="nil"/>
                    <w:bottom w:val="single" w:color="000000" w:sz="8" w:space="0"/>
                    <w:right w:val="single" w:color="000000" w:sz="8" w:space="0"/>
                  </w:tcBorders>
                  <w:shd w:val="clear" w:color="auto" w:fill="auto"/>
                  <w:vAlign w:val="center"/>
                </w:tcPr>
                <w:p w14:paraId="4A8AE8BD">
                  <w:pPr>
                    <w:jc w:val="center"/>
                    <w:rPr>
                      <w:rFonts w:hint="default" w:ascii="Times New Roman" w:hAnsi="Times New Roman" w:eastAsia="宋体" w:cs="Times New Roman"/>
                      <w:i w:val="0"/>
                      <w:iCs w:val="0"/>
                      <w:color w:val="0000FF"/>
                      <w:sz w:val="21"/>
                      <w:szCs w:val="21"/>
                      <w:u w:val="none"/>
                    </w:rPr>
                  </w:pPr>
                </w:p>
              </w:tc>
            </w:tr>
            <w:tr w14:paraId="33A9E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77" w:type="dxa"/>
                  <w:vMerge w:val="continue"/>
                  <w:tcBorders>
                    <w:left w:val="single" w:color="000000" w:sz="8" w:space="0"/>
                    <w:right w:val="single" w:color="000000" w:sz="8" w:space="0"/>
                  </w:tcBorders>
                  <w:shd w:val="clear" w:color="auto" w:fill="auto"/>
                  <w:vAlign w:val="center"/>
                </w:tcPr>
                <w:p w14:paraId="350E1F4A">
                  <w:pPr>
                    <w:jc w:val="center"/>
                    <w:rPr>
                      <w:rFonts w:hint="eastAsia" w:ascii="宋体" w:hAnsi="宋体" w:eastAsia="宋体" w:cs="宋体"/>
                      <w:i w:val="0"/>
                      <w:iCs w:val="0"/>
                      <w:color w:val="0000FF"/>
                      <w:sz w:val="21"/>
                      <w:szCs w:val="21"/>
                      <w:u w:val="none"/>
                    </w:rPr>
                  </w:pPr>
                </w:p>
              </w:tc>
              <w:tc>
                <w:tcPr>
                  <w:tcW w:w="1392" w:type="dxa"/>
                  <w:tcBorders>
                    <w:top w:val="nil"/>
                    <w:left w:val="single" w:color="000000" w:sz="8" w:space="0"/>
                    <w:bottom w:val="single" w:color="000000" w:sz="8" w:space="0"/>
                    <w:right w:val="single" w:color="000000" w:sz="8" w:space="0"/>
                  </w:tcBorders>
                  <w:shd w:val="clear" w:color="auto" w:fill="auto"/>
                  <w:vAlign w:val="center"/>
                </w:tcPr>
                <w:p w14:paraId="200E594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a-S300iA</w:t>
                  </w:r>
                </w:p>
              </w:tc>
              <w:tc>
                <w:tcPr>
                  <w:tcW w:w="1933" w:type="dxa"/>
                  <w:tcBorders>
                    <w:top w:val="nil"/>
                    <w:left w:val="nil"/>
                    <w:bottom w:val="single" w:color="000000" w:sz="8" w:space="0"/>
                    <w:right w:val="single" w:color="000000" w:sz="8" w:space="0"/>
                  </w:tcBorders>
                  <w:shd w:val="clear" w:color="auto" w:fill="auto"/>
                  <w:vAlign w:val="center"/>
                </w:tcPr>
                <w:p w14:paraId="53BD7BA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5~10</w:t>
                  </w:r>
                  <w:r>
                    <w:rPr>
                      <w:rFonts w:hint="eastAsia" w:ascii="宋体" w:hAnsi="宋体" w:eastAsia="宋体" w:cs="宋体"/>
                      <w:i w:val="0"/>
                      <w:iCs w:val="0"/>
                      <w:color w:val="0000FF"/>
                      <w:kern w:val="0"/>
                      <w:sz w:val="21"/>
                      <w:szCs w:val="21"/>
                      <w:u w:val="none"/>
                      <w:lang w:val="en-US" w:eastAsia="zh-CN" w:bidi="ar"/>
                    </w:rPr>
                    <w:t>（本次取值</w:t>
                  </w:r>
                  <w:r>
                    <w:rPr>
                      <w:rFonts w:hint="default" w:ascii="Times New Roman" w:hAnsi="Times New Roman" w:eastAsia="宋体" w:cs="Times New Roman"/>
                      <w:i w:val="0"/>
                      <w:iCs w:val="0"/>
                      <w:color w:val="0000FF"/>
                      <w:kern w:val="0"/>
                      <w:sz w:val="21"/>
                      <w:szCs w:val="21"/>
                      <w:u w:val="none"/>
                      <w:lang w:val="en-US" w:eastAsia="zh-CN" w:bidi="ar"/>
                    </w:rPr>
                    <w:t>10</w:t>
                  </w:r>
                  <w:r>
                    <w:rPr>
                      <w:rFonts w:hint="eastAsia" w:ascii="宋体" w:hAnsi="宋体" w:eastAsia="宋体" w:cs="宋体"/>
                      <w:i w:val="0"/>
                      <w:iCs w:val="0"/>
                      <w:color w:val="0000FF"/>
                      <w:kern w:val="0"/>
                      <w:sz w:val="21"/>
                      <w:szCs w:val="21"/>
                      <w:u w:val="none"/>
                      <w:lang w:val="en-US" w:eastAsia="zh-CN" w:bidi="ar"/>
                    </w:rPr>
                    <w:t>）</w:t>
                  </w:r>
                </w:p>
              </w:tc>
              <w:tc>
                <w:tcPr>
                  <w:tcW w:w="705" w:type="dxa"/>
                  <w:tcBorders>
                    <w:top w:val="nil"/>
                    <w:left w:val="single" w:color="000000" w:sz="8" w:space="0"/>
                    <w:bottom w:val="single" w:color="000000" w:sz="8" w:space="0"/>
                    <w:right w:val="single" w:color="000000" w:sz="8" w:space="0"/>
                  </w:tcBorders>
                  <w:shd w:val="clear" w:color="auto" w:fill="auto"/>
                  <w:vAlign w:val="center"/>
                </w:tcPr>
                <w:p w14:paraId="192D4FF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w:t>
                  </w:r>
                </w:p>
              </w:tc>
              <w:tc>
                <w:tcPr>
                  <w:tcW w:w="651" w:type="dxa"/>
                  <w:tcBorders>
                    <w:top w:val="nil"/>
                    <w:left w:val="nil"/>
                    <w:bottom w:val="single" w:color="000000" w:sz="8" w:space="0"/>
                    <w:right w:val="single" w:color="000000" w:sz="8" w:space="0"/>
                  </w:tcBorders>
                  <w:shd w:val="clear" w:color="auto" w:fill="auto"/>
                  <w:vAlign w:val="center"/>
                </w:tcPr>
                <w:p w14:paraId="34BFE92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w:t>
                  </w:r>
                </w:p>
              </w:tc>
              <w:tc>
                <w:tcPr>
                  <w:tcW w:w="958" w:type="dxa"/>
                  <w:tcBorders>
                    <w:top w:val="nil"/>
                    <w:left w:val="nil"/>
                    <w:bottom w:val="single" w:color="000000" w:sz="8" w:space="0"/>
                    <w:right w:val="single" w:color="000000" w:sz="8" w:space="0"/>
                  </w:tcBorders>
                  <w:shd w:val="clear" w:color="auto" w:fill="auto"/>
                  <w:noWrap/>
                  <w:vAlign w:val="center"/>
                </w:tcPr>
                <w:p w14:paraId="4D5A639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843" w:type="dxa"/>
                  <w:tcBorders>
                    <w:top w:val="nil"/>
                    <w:left w:val="nil"/>
                    <w:bottom w:val="single" w:color="000000" w:sz="8" w:space="0"/>
                    <w:right w:val="single" w:color="000000" w:sz="8" w:space="0"/>
                  </w:tcBorders>
                  <w:shd w:val="clear" w:color="auto" w:fill="auto"/>
                  <w:vAlign w:val="center"/>
                </w:tcPr>
                <w:p w14:paraId="6992227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300</w:t>
                  </w:r>
                </w:p>
              </w:tc>
              <w:tc>
                <w:tcPr>
                  <w:tcW w:w="840" w:type="dxa"/>
                  <w:tcBorders>
                    <w:top w:val="nil"/>
                    <w:left w:val="nil"/>
                    <w:bottom w:val="single" w:color="000000" w:sz="8" w:space="0"/>
                    <w:right w:val="single" w:color="000000" w:sz="8" w:space="0"/>
                  </w:tcBorders>
                  <w:shd w:val="clear" w:color="auto" w:fill="auto"/>
                  <w:vAlign w:val="center"/>
                </w:tcPr>
                <w:p w14:paraId="42E0827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864</w:t>
                  </w:r>
                </w:p>
              </w:tc>
              <w:tc>
                <w:tcPr>
                  <w:tcW w:w="777" w:type="dxa"/>
                  <w:vMerge w:val="continue"/>
                  <w:tcBorders>
                    <w:top w:val="nil"/>
                    <w:left w:val="nil"/>
                    <w:bottom w:val="single" w:color="000000" w:sz="8" w:space="0"/>
                    <w:right w:val="single" w:color="000000" w:sz="8" w:space="0"/>
                  </w:tcBorders>
                  <w:shd w:val="clear" w:color="auto" w:fill="auto"/>
                  <w:vAlign w:val="center"/>
                </w:tcPr>
                <w:p w14:paraId="6175CED2">
                  <w:pPr>
                    <w:jc w:val="center"/>
                    <w:rPr>
                      <w:rFonts w:hint="default" w:ascii="Times New Roman" w:hAnsi="Times New Roman" w:eastAsia="宋体" w:cs="Times New Roman"/>
                      <w:i w:val="0"/>
                      <w:iCs w:val="0"/>
                      <w:color w:val="0000FF"/>
                      <w:sz w:val="21"/>
                      <w:szCs w:val="21"/>
                      <w:u w:val="none"/>
                    </w:rPr>
                  </w:pPr>
                </w:p>
              </w:tc>
            </w:tr>
            <w:tr w14:paraId="3FD73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77" w:type="dxa"/>
                  <w:vMerge w:val="continue"/>
                  <w:tcBorders>
                    <w:left w:val="single" w:color="000000" w:sz="8" w:space="0"/>
                    <w:right w:val="single" w:color="000000" w:sz="8" w:space="0"/>
                  </w:tcBorders>
                  <w:shd w:val="clear" w:color="auto" w:fill="auto"/>
                  <w:vAlign w:val="center"/>
                </w:tcPr>
                <w:p w14:paraId="6C9A7D56">
                  <w:pPr>
                    <w:jc w:val="center"/>
                    <w:rPr>
                      <w:rFonts w:hint="eastAsia" w:ascii="宋体" w:hAnsi="宋体" w:eastAsia="宋体" w:cs="宋体"/>
                      <w:i w:val="0"/>
                      <w:iCs w:val="0"/>
                      <w:color w:val="0000FF"/>
                      <w:sz w:val="21"/>
                      <w:szCs w:val="21"/>
                      <w:u w:val="none"/>
                    </w:rPr>
                  </w:pPr>
                </w:p>
              </w:tc>
              <w:tc>
                <w:tcPr>
                  <w:tcW w:w="1392" w:type="dxa"/>
                  <w:tcBorders>
                    <w:top w:val="nil"/>
                    <w:left w:val="single" w:color="000000" w:sz="8" w:space="0"/>
                    <w:bottom w:val="single" w:color="000000" w:sz="8" w:space="0"/>
                    <w:right w:val="single" w:color="000000" w:sz="8" w:space="0"/>
                  </w:tcBorders>
                  <w:shd w:val="clear" w:color="auto" w:fill="auto"/>
                  <w:vAlign w:val="center"/>
                </w:tcPr>
                <w:p w14:paraId="579BA8E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J450AD-890H</w:t>
                  </w:r>
                </w:p>
              </w:tc>
              <w:tc>
                <w:tcPr>
                  <w:tcW w:w="1933" w:type="dxa"/>
                  <w:tcBorders>
                    <w:top w:val="nil"/>
                    <w:left w:val="nil"/>
                    <w:bottom w:val="single" w:color="000000" w:sz="8" w:space="0"/>
                    <w:right w:val="single" w:color="000000" w:sz="8" w:space="0"/>
                  </w:tcBorders>
                  <w:shd w:val="clear" w:color="auto" w:fill="auto"/>
                  <w:vAlign w:val="center"/>
                </w:tcPr>
                <w:p w14:paraId="3BF4DD5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6~12</w:t>
                  </w:r>
                  <w:r>
                    <w:rPr>
                      <w:rFonts w:hint="eastAsia" w:ascii="宋体" w:hAnsi="宋体" w:eastAsia="宋体" w:cs="宋体"/>
                      <w:i w:val="0"/>
                      <w:iCs w:val="0"/>
                      <w:color w:val="0000FF"/>
                      <w:kern w:val="0"/>
                      <w:sz w:val="21"/>
                      <w:szCs w:val="21"/>
                      <w:u w:val="none"/>
                      <w:lang w:val="en-US" w:eastAsia="zh-CN" w:bidi="ar"/>
                    </w:rPr>
                    <w:t>（本次取值</w:t>
                  </w:r>
                  <w:r>
                    <w:rPr>
                      <w:rFonts w:hint="default" w:ascii="Times New Roman" w:hAnsi="Times New Roman" w:eastAsia="宋体" w:cs="Times New Roman"/>
                      <w:i w:val="0"/>
                      <w:iCs w:val="0"/>
                      <w:color w:val="0000FF"/>
                      <w:kern w:val="0"/>
                      <w:sz w:val="21"/>
                      <w:szCs w:val="21"/>
                      <w:u w:val="none"/>
                      <w:lang w:val="en-US" w:eastAsia="zh-CN" w:bidi="ar"/>
                    </w:rPr>
                    <w:t>12</w:t>
                  </w:r>
                  <w:r>
                    <w:rPr>
                      <w:rFonts w:hint="eastAsia" w:ascii="宋体" w:hAnsi="宋体" w:eastAsia="宋体" w:cs="宋体"/>
                      <w:i w:val="0"/>
                      <w:iCs w:val="0"/>
                      <w:color w:val="0000FF"/>
                      <w:kern w:val="0"/>
                      <w:sz w:val="21"/>
                      <w:szCs w:val="21"/>
                      <w:u w:val="none"/>
                      <w:lang w:val="en-US" w:eastAsia="zh-CN" w:bidi="ar"/>
                    </w:rPr>
                    <w:t>）</w:t>
                  </w:r>
                </w:p>
              </w:tc>
              <w:tc>
                <w:tcPr>
                  <w:tcW w:w="705" w:type="dxa"/>
                  <w:tcBorders>
                    <w:top w:val="nil"/>
                    <w:left w:val="single" w:color="000000" w:sz="8" w:space="0"/>
                    <w:bottom w:val="single" w:color="000000" w:sz="8" w:space="0"/>
                    <w:right w:val="single" w:color="000000" w:sz="8" w:space="0"/>
                  </w:tcBorders>
                  <w:shd w:val="clear" w:color="auto" w:fill="auto"/>
                  <w:vAlign w:val="center"/>
                </w:tcPr>
                <w:p w14:paraId="3600BA6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w:t>
                  </w:r>
                </w:p>
              </w:tc>
              <w:tc>
                <w:tcPr>
                  <w:tcW w:w="651" w:type="dxa"/>
                  <w:tcBorders>
                    <w:top w:val="nil"/>
                    <w:left w:val="nil"/>
                    <w:bottom w:val="single" w:color="000000" w:sz="8" w:space="0"/>
                    <w:right w:val="single" w:color="000000" w:sz="8" w:space="0"/>
                  </w:tcBorders>
                  <w:shd w:val="clear" w:color="auto" w:fill="auto"/>
                  <w:vAlign w:val="center"/>
                </w:tcPr>
                <w:p w14:paraId="1DFAEF6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w:t>
                  </w:r>
                </w:p>
              </w:tc>
              <w:tc>
                <w:tcPr>
                  <w:tcW w:w="958" w:type="dxa"/>
                  <w:tcBorders>
                    <w:top w:val="nil"/>
                    <w:left w:val="nil"/>
                    <w:bottom w:val="single" w:color="000000" w:sz="8" w:space="0"/>
                    <w:right w:val="single" w:color="000000" w:sz="8" w:space="0"/>
                  </w:tcBorders>
                  <w:shd w:val="clear" w:color="auto" w:fill="auto"/>
                  <w:noWrap/>
                  <w:vAlign w:val="center"/>
                </w:tcPr>
                <w:p w14:paraId="0A99488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843" w:type="dxa"/>
                  <w:tcBorders>
                    <w:top w:val="nil"/>
                    <w:left w:val="nil"/>
                    <w:bottom w:val="single" w:color="000000" w:sz="8" w:space="0"/>
                    <w:right w:val="single" w:color="000000" w:sz="8" w:space="0"/>
                  </w:tcBorders>
                  <w:shd w:val="clear" w:color="auto" w:fill="auto"/>
                  <w:vAlign w:val="center"/>
                </w:tcPr>
                <w:p w14:paraId="1A83355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300</w:t>
                  </w:r>
                </w:p>
              </w:tc>
              <w:tc>
                <w:tcPr>
                  <w:tcW w:w="840" w:type="dxa"/>
                  <w:tcBorders>
                    <w:top w:val="nil"/>
                    <w:left w:val="nil"/>
                    <w:bottom w:val="single" w:color="000000" w:sz="8" w:space="0"/>
                    <w:right w:val="single" w:color="000000" w:sz="8" w:space="0"/>
                  </w:tcBorders>
                  <w:shd w:val="clear" w:color="auto" w:fill="auto"/>
                  <w:vAlign w:val="center"/>
                </w:tcPr>
                <w:p w14:paraId="0777AB9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1555.2</w:t>
                  </w:r>
                </w:p>
              </w:tc>
              <w:tc>
                <w:tcPr>
                  <w:tcW w:w="777" w:type="dxa"/>
                  <w:vMerge w:val="continue"/>
                  <w:tcBorders>
                    <w:top w:val="nil"/>
                    <w:left w:val="nil"/>
                    <w:bottom w:val="single" w:color="000000" w:sz="8" w:space="0"/>
                    <w:right w:val="single" w:color="000000" w:sz="8" w:space="0"/>
                  </w:tcBorders>
                  <w:shd w:val="clear" w:color="auto" w:fill="auto"/>
                  <w:vAlign w:val="center"/>
                </w:tcPr>
                <w:p w14:paraId="6DC8289E">
                  <w:pPr>
                    <w:jc w:val="center"/>
                    <w:rPr>
                      <w:rFonts w:hint="default" w:ascii="Times New Roman" w:hAnsi="Times New Roman" w:eastAsia="宋体" w:cs="Times New Roman"/>
                      <w:i w:val="0"/>
                      <w:iCs w:val="0"/>
                      <w:color w:val="0000FF"/>
                      <w:sz w:val="21"/>
                      <w:szCs w:val="21"/>
                      <w:u w:val="none"/>
                    </w:rPr>
                  </w:pPr>
                </w:p>
              </w:tc>
            </w:tr>
            <w:tr w14:paraId="77478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77" w:type="dxa"/>
                  <w:vMerge w:val="continue"/>
                  <w:tcBorders>
                    <w:left w:val="single" w:color="000000" w:sz="8" w:space="0"/>
                    <w:right w:val="single" w:color="000000" w:sz="8" w:space="0"/>
                  </w:tcBorders>
                  <w:shd w:val="clear" w:color="auto" w:fill="auto"/>
                  <w:noWrap/>
                  <w:vAlign w:val="center"/>
                </w:tcPr>
                <w:p w14:paraId="04C36DA9">
                  <w:pPr>
                    <w:jc w:val="center"/>
                    <w:rPr>
                      <w:rFonts w:hint="eastAsia" w:ascii="宋体" w:hAnsi="宋体" w:eastAsia="宋体" w:cs="宋体"/>
                      <w:i w:val="0"/>
                      <w:iCs w:val="0"/>
                      <w:color w:val="0000FF"/>
                      <w:sz w:val="21"/>
                      <w:szCs w:val="21"/>
                      <w:u w:val="none"/>
                    </w:rPr>
                  </w:pPr>
                </w:p>
              </w:tc>
              <w:tc>
                <w:tcPr>
                  <w:tcW w:w="1392" w:type="dxa"/>
                  <w:tcBorders>
                    <w:top w:val="nil"/>
                    <w:left w:val="single" w:color="000000" w:sz="8" w:space="0"/>
                    <w:bottom w:val="single" w:color="000000" w:sz="8" w:space="0"/>
                    <w:right w:val="single" w:color="000000" w:sz="8" w:space="0"/>
                  </w:tcBorders>
                  <w:shd w:val="clear" w:color="auto" w:fill="auto"/>
                  <w:vAlign w:val="center"/>
                </w:tcPr>
                <w:p w14:paraId="42FCA26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S-2000i100A</w:t>
                  </w:r>
                </w:p>
              </w:tc>
              <w:tc>
                <w:tcPr>
                  <w:tcW w:w="1933" w:type="dxa"/>
                  <w:tcBorders>
                    <w:top w:val="nil"/>
                    <w:left w:val="nil"/>
                    <w:bottom w:val="single" w:color="000000" w:sz="8" w:space="0"/>
                    <w:right w:val="single" w:color="000000" w:sz="8" w:space="0"/>
                  </w:tcBorders>
                  <w:shd w:val="clear" w:color="auto" w:fill="auto"/>
                  <w:vAlign w:val="center"/>
                </w:tcPr>
                <w:p w14:paraId="2219556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2~6</w:t>
                  </w:r>
                  <w:r>
                    <w:rPr>
                      <w:rFonts w:hint="eastAsia" w:ascii="宋体" w:hAnsi="宋体" w:eastAsia="宋体" w:cs="宋体"/>
                      <w:i w:val="0"/>
                      <w:iCs w:val="0"/>
                      <w:color w:val="0000FF"/>
                      <w:kern w:val="0"/>
                      <w:sz w:val="21"/>
                      <w:szCs w:val="21"/>
                      <w:u w:val="none"/>
                      <w:lang w:val="en-US" w:eastAsia="zh-CN" w:bidi="ar"/>
                    </w:rPr>
                    <w:t>（本次取值</w:t>
                  </w:r>
                  <w:r>
                    <w:rPr>
                      <w:rFonts w:hint="default" w:ascii="Times New Roman" w:hAnsi="Times New Roman" w:eastAsia="宋体" w:cs="Times New Roman"/>
                      <w:i w:val="0"/>
                      <w:iCs w:val="0"/>
                      <w:color w:val="0000FF"/>
                      <w:kern w:val="0"/>
                      <w:sz w:val="21"/>
                      <w:szCs w:val="21"/>
                      <w:u w:val="none"/>
                      <w:lang w:val="en-US" w:eastAsia="zh-CN" w:bidi="ar"/>
                    </w:rPr>
                    <w:t>6</w:t>
                  </w:r>
                  <w:r>
                    <w:rPr>
                      <w:rFonts w:hint="eastAsia" w:ascii="宋体" w:hAnsi="宋体" w:eastAsia="宋体" w:cs="宋体"/>
                      <w:i w:val="0"/>
                      <w:iCs w:val="0"/>
                      <w:color w:val="0000FF"/>
                      <w:kern w:val="0"/>
                      <w:sz w:val="21"/>
                      <w:szCs w:val="21"/>
                      <w:u w:val="none"/>
                      <w:lang w:val="en-US" w:eastAsia="zh-CN" w:bidi="ar"/>
                    </w:rPr>
                    <w:t>）</w:t>
                  </w:r>
                </w:p>
              </w:tc>
              <w:tc>
                <w:tcPr>
                  <w:tcW w:w="705" w:type="dxa"/>
                  <w:tcBorders>
                    <w:top w:val="nil"/>
                    <w:left w:val="single" w:color="000000" w:sz="8" w:space="0"/>
                    <w:bottom w:val="single" w:color="000000" w:sz="8" w:space="0"/>
                    <w:right w:val="single" w:color="000000" w:sz="8" w:space="0"/>
                  </w:tcBorders>
                  <w:shd w:val="clear" w:color="auto" w:fill="auto"/>
                  <w:vAlign w:val="center"/>
                </w:tcPr>
                <w:p w14:paraId="406D5F5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w:t>
                  </w:r>
                </w:p>
              </w:tc>
              <w:tc>
                <w:tcPr>
                  <w:tcW w:w="651" w:type="dxa"/>
                  <w:tcBorders>
                    <w:top w:val="nil"/>
                    <w:left w:val="nil"/>
                    <w:bottom w:val="single" w:color="000000" w:sz="8" w:space="0"/>
                    <w:right w:val="single" w:color="000000" w:sz="8" w:space="0"/>
                  </w:tcBorders>
                  <w:shd w:val="clear" w:color="auto" w:fill="auto"/>
                  <w:vAlign w:val="center"/>
                </w:tcPr>
                <w:p w14:paraId="7290B86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w:t>
                  </w:r>
                </w:p>
              </w:tc>
              <w:tc>
                <w:tcPr>
                  <w:tcW w:w="958" w:type="dxa"/>
                  <w:tcBorders>
                    <w:top w:val="nil"/>
                    <w:left w:val="nil"/>
                    <w:bottom w:val="single" w:color="000000" w:sz="8" w:space="0"/>
                    <w:right w:val="single" w:color="000000" w:sz="8" w:space="0"/>
                  </w:tcBorders>
                  <w:shd w:val="clear" w:color="auto" w:fill="auto"/>
                  <w:noWrap/>
                  <w:vAlign w:val="center"/>
                </w:tcPr>
                <w:p w14:paraId="3E8B09F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843" w:type="dxa"/>
                  <w:tcBorders>
                    <w:top w:val="nil"/>
                    <w:left w:val="nil"/>
                    <w:bottom w:val="single" w:color="000000" w:sz="8" w:space="0"/>
                    <w:right w:val="single" w:color="000000" w:sz="8" w:space="0"/>
                  </w:tcBorders>
                  <w:shd w:val="clear" w:color="auto" w:fill="auto"/>
                  <w:vAlign w:val="center"/>
                </w:tcPr>
                <w:p w14:paraId="7AB1997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300</w:t>
                  </w:r>
                </w:p>
              </w:tc>
              <w:tc>
                <w:tcPr>
                  <w:tcW w:w="840" w:type="dxa"/>
                  <w:tcBorders>
                    <w:top w:val="nil"/>
                    <w:left w:val="nil"/>
                    <w:bottom w:val="single" w:color="000000" w:sz="8" w:space="0"/>
                    <w:right w:val="single" w:color="000000" w:sz="8" w:space="0"/>
                  </w:tcBorders>
                  <w:shd w:val="clear" w:color="auto" w:fill="auto"/>
                  <w:vAlign w:val="center"/>
                </w:tcPr>
                <w:p w14:paraId="5B90DE8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1555.2</w:t>
                  </w:r>
                </w:p>
              </w:tc>
              <w:tc>
                <w:tcPr>
                  <w:tcW w:w="777" w:type="dxa"/>
                  <w:vMerge w:val="continue"/>
                  <w:tcBorders>
                    <w:top w:val="nil"/>
                    <w:left w:val="nil"/>
                    <w:bottom w:val="single" w:color="000000" w:sz="8" w:space="0"/>
                    <w:right w:val="single" w:color="000000" w:sz="8" w:space="0"/>
                  </w:tcBorders>
                  <w:shd w:val="clear" w:color="auto" w:fill="auto"/>
                  <w:vAlign w:val="center"/>
                </w:tcPr>
                <w:p w14:paraId="4FA201AA">
                  <w:pPr>
                    <w:jc w:val="center"/>
                    <w:rPr>
                      <w:rFonts w:hint="default" w:ascii="Times New Roman" w:hAnsi="Times New Roman" w:eastAsia="宋体" w:cs="Times New Roman"/>
                      <w:i w:val="0"/>
                      <w:iCs w:val="0"/>
                      <w:color w:val="0000FF"/>
                      <w:sz w:val="21"/>
                      <w:szCs w:val="21"/>
                      <w:u w:val="none"/>
                    </w:rPr>
                  </w:pPr>
                </w:p>
              </w:tc>
            </w:tr>
            <w:tr w14:paraId="12FD2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77" w:type="dxa"/>
                  <w:vMerge w:val="continue"/>
                  <w:tcBorders>
                    <w:left w:val="single" w:color="000000" w:sz="8" w:space="0"/>
                    <w:right w:val="single" w:color="000000" w:sz="8" w:space="0"/>
                  </w:tcBorders>
                  <w:shd w:val="clear" w:color="auto" w:fill="auto"/>
                  <w:noWrap/>
                  <w:vAlign w:val="center"/>
                </w:tcPr>
                <w:p w14:paraId="5CFE403D">
                  <w:pPr>
                    <w:jc w:val="center"/>
                    <w:rPr>
                      <w:rFonts w:hint="eastAsia" w:ascii="宋体" w:hAnsi="宋体" w:eastAsia="宋体" w:cs="宋体"/>
                      <w:i w:val="0"/>
                      <w:iCs w:val="0"/>
                      <w:color w:val="0000FF"/>
                      <w:sz w:val="21"/>
                      <w:szCs w:val="21"/>
                      <w:u w:val="none"/>
                    </w:rPr>
                  </w:pPr>
                </w:p>
              </w:tc>
              <w:tc>
                <w:tcPr>
                  <w:tcW w:w="1392" w:type="dxa"/>
                  <w:tcBorders>
                    <w:top w:val="nil"/>
                    <w:left w:val="single" w:color="000000" w:sz="8" w:space="0"/>
                    <w:bottom w:val="single" w:color="000000" w:sz="8" w:space="0"/>
                    <w:right w:val="single" w:color="000000" w:sz="8" w:space="0"/>
                  </w:tcBorders>
                  <w:shd w:val="clear" w:color="auto" w:fill="auto"/>
                  <w:vAlign w:val="center"/>
                </w:tcPr>
                <w:p w14:paraId="739BB22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S-2000i100B</w:t>
                  </w:r>
                </w:p>
              </w:tc>
              <w:tc>
                <w:tcPr>
                  <w:tcW w:w="1933" w:type="dxa"/>
                  <w:tcBorders>
                    <w:top w:val="nil"/>
                    <w:left w:val="nil"/>
                    <w:bottom w:val="single" w:color="000000" w:sz="8" w:space="0"/>
                    <w:right w:val="single" w:color="000000" w:sz="8" w:space="0"/>
                  </w:tcBorders>
                  <w:shd w:val="clear" w:color="auto" w:fill="auto"/>
                  <w:vAlign w:val="center"/>
                </w:tcPr>
                <w:p w14:paraId="0C0F917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2~6</w:t>
                  </w:r>
                  <w:r>
                    <w:rPr>
                      <w:rFonts w:hint="eastAsia" w:ascii="宋体" w:hAnsi="宋体" w:eastAsia="宋体" w:cs="宋体"/>
                      <w:i w:val="0"/>
                      <w:iCs w:val="0"/>
                      <w:color w:val="0000FF"/>
                      <w:kern w:val="0"/>
                      <w:sz w:val="21"/>
                      <w:szCs w:val="21"/>
                      <w:u w:val="none"/>
                      <w:lang w:val="en-US" w:eastAsia="zh-CN" w:bidi="ar"/>
                    </w:rPr>
                    <w:t>（本次取值</w:t>
                  </w:r>
                  <w:r>
                    <w:rPr>
                      <w:rFonts w:hint="default" w:ascii="Times New Roman" w:hAnsi="Times New Roman" w:eastAsia="宋体" w:cs="Times New Roman"/>
                      <w:i w:val="0"/>
                      <w:iCs w:val="0"/>
                      <w:color w:val="0000FF"/>
                      <w:kern w:val="0"/>
                      <w:sz w:val="21"/>
                      <w:szCs w:val="21"/>
                      <w:u w:val="none"/>
                      <w:lang w:val="en-US" w:eastAsia="zh-CN" w:bidi="ar"/>
                    </w:rPr>
                    <w:t>6</w:t>
                  </w:r>
                  <w:r>
                    <w:rPr>
                      <w:rFonts w:hint="eastAsia" w:ascii="宋体" w:hAnsi="宋体" w:eastAsia="宋体" w:cs="宋体"/>
                      <w:i w:val="0"/>
                      <w:iCs w:val="0"/>
                      <w:color w:val="0000FF"/>
                      <w:kern w:val="0"/>
                      <w:sz w:val="21"/>
                      <w:szCs w:val="21"/>
                      <w:u w:val="none"/>
                      <w:lang w:val="en-US" w:eastAsia="zh-CN" w:bidi="ar"/>
                    </w:rPr>
                    <w:t>）</w:t>
                  </w:r>
                </w:p>
              </w:tc>
              <w:tc>
                <w:tcPr>
                  <w:tcW w:w="705" w:type="dxa"/>
                  <w:tcBorders>
                    <w:top w:val="nil"/>
                    <w:left w:val="single" w:color="000000" w:sz="8" w:space="0"/>
                    <w:bottom w:val="single" w:color="000000" w:sz="8" w:space="0"/>
                    <w:right w:val="single" w:color="000000" w:sz="8" w:space="0"/>
                  </w:tcBorders>
                  <w:shd w:val="clear" w:color="auto" w:fill="auto"/>
                  <w:vAlign w:val="center"/>
                </w:tcPr>
                <w:p w14:paraId="2DCBC6B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w:t>
                  </w:r>
                </w:p>
              </w:tc>
              <w:tc>
                <w:tcPr>
                  <w:tcW w:w="651" w:type="dxa"/>
                  <w:tcBorders>
                    <w:top w:val="nil"/>
                    <w:left w:val="nil"/>
                    <w:bottom w:val="single" w:color="000000" w:sz="8" w:space="0"/>
                    <w:right w:val="single" w:color="000000" w:sz="8" w:space="0"/>
                  </w:tcBorders>
                  <w:shd w:val="clear" w:color="auto" w:fill="auto"/>
                  <w:vAlign w:val="center"/>
                </w:tcPr>
                <w:p w14:paraId="774ABDE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w:t>
                  </w:r>
                </w:p>
              </w:tc>
              <w:tc>
                <w:tcPr>
                  <w:tcW w:w="958" w:type="dxa"/>
                  <w:tcBorders>
                    <w:top w:val="nil"/>
                    <w:left w:val="nil"/>
                    <w:bottom w:val="single" w:color="000000" w:sz="8" w:space="0"/>
                    <w:right w:val="single" w:color="000000" w:sz="8" w:space="0"/>
                  </w:tcBorders>
                  <w:shd w:val="clear" w:color="auto" w:fill="auto"/>
                  <w:noWrap/>
                  <w:vAlign w:val="center"/>
                </w:tcPr>
                <w:p w14:paraId="6DA95EF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843" w:type="dxa"/>
                  <w:tcBorders>
                    <w:top w:val="nil"/>
                    <w:left w:val="nil"/>
                    <w:bottom w:val="single" w:color="000000" w:sz="8" w:space="0"/>
                    <w:right w:val="single" w:color="000000" w:sz="8" w:space="0"/>
                  </w:tcBorders>
                  <w:shd w:val="clear" w:color="auto" w:fill="auto"/>
                  <w:vAlign w:val="center"/>
                </w:tcPr>
                <w:p w14:paraId="71B474A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300</w:t>
                  </w:r>
                </w:p>
              </w:tc>
              <w:tc>
                <w:tcPr>
                  <w:tcW w:w="840" w:type="dxa"/>
                  <w:tcBorders>
                    <w:top w:val="nil"/>
                    <w:left w:val="nil"/>
                    <w:bottom w:val="single" w:color="000000" w:sz="8" w:space="0"/>
                    <w:right w:val="single" w:color="000000" w:sz="8" w:space="0"/>
                  </w:tcBorders>
                  <w:shd w:val="clear" w:color="auto" w:fill="auto"/>
                  <w:vAlign w:val="center"/>
                </w:tcPr>
                <w:p w14:paraId="385BED6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1555.2</w:t>
                  </w:r>
                </w:p>
              </w:tc>
              <w:tc>
                <w:tcPr>
                  <w:tcW w:w="777" w:type="dxa"/>
                  <w:vMerge w:val="continue"/>
                  <w:tcBorders>
                    <w:top w:val="nil"/>
                    <w:left w:val="nil"/>
                    <w:bottom w:val="single" w:color="000000" w:sz="8" w:space="0"/>
                    <w:right w:val="single" w:color="000000" w:sz="8" w:space="0"/>
                  </w:tcBorders>
                  <w:shd w:val="clear" w:color="auto" w:fill="auto"/>
                  <w:vAlign w:val="center"/>
                </w:tcPr>
                <w:p w14:paraId="79DCE9CB">
                  <w:pPr>
                    <w:jc w:val="center"/>
                    <w:rPr>
                      <w:rFonts w:hint="default" w:ascii="Times New Roman" w:hAnsi="Times New Roman" w:eastAsia="宋体" w:cs="Times New Roman"/>
                      <w:i w:val="0"/>
                      <w:iCs w:val="0"/>
                      <w:color w:val="0000FF"/>
                      <w:sz w:val="21"/>
                      <w:szCs w:val="21"/>
                      <w:u w:val="none"/>
                    </w:rPr>
                  </w:pPr>
                </w:p>
              </w:tc>
            </w:tr>
            <w:tr w14:paraId="489DE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77" w:type="dxa"/>
                  <w:vMerge w:val="continue"/>
                  <w:tcBorders>
                    <w:left w:val="single" w:color="000000" w:sz="8" w:space="0"/>
                    <w:right w:val="single" w:color="000000" w:sz="8" w:space="0"/>
                  </w:tcBorders>
                  <w:shd w:val="clear" w:color="auto" w:fill="auto"/>
                  <w:noWrap/>
                  <w:vAlign w:val="center"/>
                </w:tcPr>
                <w:p w14:paraId="13593516">
                  <w:pPr>
                    <w:jc w:val="center"/>
                    <w:rPr>
                      <w:rFonts w:hint="eastAsia" w:ascii="宋体" w:hAnsi="宋体" w:eastAsia="宋体" w:cs="宋体"/>
                      <w:i w:val="0"/>
                      <w:iCs w:val="0"/>
                      <w:color w:val="0000FF"/>
                      <w:sz w:val="21"/>
                      <w:szCs w:val="21"/>
                      <w:u w:val="none"/>
                    </w:rPr>
                  </w:pPr>
                </w:p>
              </w:tc>
              <w:tc>
                <w:tcPr>
                  <w:tcW w:w="1392" w:type="dxa"/>
                  <w:tcBorders>
                    <w:top w:val="nil"/>
                    <w:left w:val="single" w:color="000000" w:sz="8" w:space="0"/>
                    <w:bottom w:val="single" w:color="000000" w:sz="8" w:space="0"/>
                    <w:right w:val="single" w:color="000000" w:sz="8" w:space="0"/>
                  </w:tcBorders>
                  <w:shd w:val="clear" w:color="auto" w:fill="auto"/>
                  <w:vAlign w:val="center"/>
                </w:tcPr>
                <w:p w14:paraId="40E1AE8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S-2000i150A</w:t>
                  </w:r>
                </w:p>
              </w:tc>
              <w:tc>
                <w:tcPr>
                  <w:tcW w:w="1933" w:type="dxa"/>
                  <w:tcBorders>
                    <w:top w:val="nil"/>
                    <w:left w:val="nil"/>
                    <w:bottom w:val="single" w:color="000000" w:sz="8" w:space="0"/>
                    <w:right w:val="single" w:color="000000" w:sz="8" w:space="0"/>
                  </w:tcBorders>
                  <w:shd w:val="clear" w:color="auto" w:fill="auto"/>
                  <w:vAlign w:val="center"/>
                </w:tcPr>
                <w:p w14:paraId="5AB5A98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2~6</w:t>
                  </w:r>
                  <w:r>
                    <w:rPr>
                      <w:rFonts w:hint="eastAsia" w:ascii="宋体" w:hAnsi="宋体" w:eastAsia="宋体" w:cs="宋体"/>
                      <w:i w:val="0"/>
                      <w:iCs w:val="0"/>
                      <w:color w:val="0000FF"/>
                      <w:kern w:val="0"/>
                      <w:sz w:val="21"/>
                      <w:szCs w:val="21"/>
                      <w:u w:val="none"/>
                      <w:lang w:val="en-US" w:eastAsia="zh-CN" w:bidi="ar"/>
                    </w:rPr>
                    <w:t>（本次取值</w:t>
                  </w:r>
                  <w:r>
                    <w:rPr>
                      <w:rFonts w:hint="default" w:ascii="Times New Roman" w:hAnsi="Times New Roman" w:eastAsia="宋体" w:cs="Times New Roman"/>
                      <w:i w:val="0"/>
                      <w:iCs w:val="0"/>
                      <w:color w:val="0000FF"/>
                      <w:kern w:val="0"/>
                      <w:sz w:val="21"/>
                      <w:szCs w:val="21"/>
                      <w:u w:val="none"/>
                      <w:lang w:val="en-US" w:eastAsia="zh-CN" w:bidi="ar"/>
                    </w:rPr>
                    <w:t>6</w:t>
                  </w:r>
                  <w:r>
                    <w:rPr>
                      <w:rFonts w:hint="eastAsia" w:ascii="宋体" w:hAnsi="宋体" w:eastAsia="宋体" w:cs="宋体"/>
                      <w:i w:val="0"/>
                      <w:iCs w:val="0"/>
                      <w:color w:val="0000FF"/>
                      <w:kern w:val="0"/>
                      <w:sz w:val="21"/>
                      <w:szCs w:val="21"/>
                      <w:u w:val="none"/>
                      <w:lang w:val="en-US" w:eastAsia="zh-CN" w:bidi="ar"/>
                    </w:rPr>
                    <w:t>）</w:t>
                  </w:r>
                </w:p>
              </w:tc>
              <w:tc>
                <w:tcPr>
                  <w:tcW w:w="705" w:type="dxa"/>
                  <w:tcBorders>
                    <w:top w:val="nil"/>
                    <w:left w:val="single" w:color="000000" w:sz="8" w:space="0"/>
                    <w:bottom w:val="single" w:color="000000" w:sz="8" w:space="0"/>
                    <w:right w:val="single" w:color="000000" w:sz="8" w:space="0"/>
                  </w:tcBorders>
                  <w:shd w:val="clear" w:color="auto" w:fill="auto"/>
                  <w:vAlign w:val="center"/>
                </w:tcPr>
                <w:p w14:paraId="6330B55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w:t>
                  </w:r>
                </w:p>
              </w:tc>
              <w:tc>
                <w:tcPr>
                  <w:tcW w:w="651" w:type="dxa"/>
                  <w:tcBorders>
                    <w:top w:val="nil"/>
                    <w:left w:val="nil"/>
                    <w:bottom w:val="single" w:color="000000" w:sz="8" w:space="0"/>
                    <w:right w:val="single" w:color="000000" w:sz="8" w:space="0"/>
                  </w:tcBorders>
                  <w:shd w:val="clear" w:color="auto" w:fill="auto"/>
                  <w:vAlign w:val="center"/>
                </w:tcPr>
                <w:p w14:paraId="44A9F98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w:t>
                  </w:r>
                </w:p>
              </w:tc>
              <w:tc>
                <w:tcPr>
                  <w:tcW w:w="958" w:type="dxa"/>
                  <w:tcBorders>
                    <w:top w:val="nil"/>
                    <w:left w:val="nil"/>
                    <w:bottom w:val="single" w:color="000000" w:sz="8" w:space="0"/>
                    <w:right w:val="single" w:color="000000" w:sz="8" w:space="0"/>
                  </w:tcBorders>
                  <w:shd w:val="clear" w:color="auto" w:fill="auto"/>
                  <w:noWrap/>
                  <w:vAlign w:val="center"/>
                </w:tcPr>
                <w:p w14:paraId="0EBD069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843" w:type="dxa"/>
                  <w:tcBorders>
                    <w:top w:val="nil"/>
                    <w:left w:val="nil"/>
                    <w:bottom w:val="single" w:color="000000" w:sz="8" w:space="0"/>
                    <w:right w:val="single" w:color="000000" w:sz="8" w:space="0"/>
                  </w:tcBorders>
                  <w:shd w:val="clear" w:color="auto" w:fill="auto"/>
                  <w:vAlign w:val="center"/>
                </w:tcPr>
                <w:p w14:paraId="375DE76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300</w:t>
                  </w:r>
                </w:p>
              </w:tc>
              <w:tc>
                <w:tcPr>
                  <w:tcW w:w="840" w:type="dxa"/>
                  <w:tcBorders>
                    <w:top w:val="nil"/>
                    <w:left w:val="nil"/>
                    <w:bottom w:val="single" w:color="000000" w:sz="8" w:space="0"/>
                    <w:right w:val="single" w:color="000000" w:sz="8" w:space="0"/>
                  </w:tcBorders>
                  <w:shd w:val="clear" w:color="auto" w:fill="auto"/>
                  <w:vAlign w:val="center"/>
                </w:tcPr>
                <w:p w14:paraId="48CE969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1036.8</w:t>
                  </w:r>
                </w:p>
              </w:tc>
              <w:tc>
                <w:tcPr>
                  <w:tcW w:w="777" w:type="dxa"/>
                  <w:vMerge w:val="continue"/>
                  <w:tcBorders>
                    <w:top w:val="nil"/>
                    <w:left w:val="nil"/>
                    <w:bottom w:val="single" w:color="000000" w:sz="8" w:space="0"/>
                    <w:right w:val="single" w:color="000000" w:sz="8" w:space="0"/>
                  </w:tcBorders>
                  <w:shd w:val="clear" w:color="auto" w:fill="auto"/>
                  <w:vAlign w:val="center"/>
                </w:tcPr>
                <w:p w14:paraId="1D304176">
                  <w:pPr>
                    <w:jc w:val="center"/>
                    <w:rPr>
                      <w:rFonts w:hint="default" w:ascii="Times New Roman" w:hAnsi="Times New Roman" w:eastAsia="宋体" w:cs="Times New Roman"/>
                      <w:i w:val="0"/>
                      <w:iCs w:val="0"/>
                      <w:color w:val="0000FF"/>
                      <w:sz w:val="21"/>
                      <w:szCs w:val="21"/>
                      <w:u w:val="none"/>
                    </w:rPr>
                  </w:pPr>
                </w:p>
              </w:tc>
            </w:tr>
            <w:tr w14:paraId="317C5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77" w:type="dxa"/>
                  <w:vMerge w:val="continue"/>
                  <w:tcBorders>
                    <w:left w:val="single" w:color="000000" w:sz="8" w:space="0"/>
                    <w:right w:val="single" w:color="000000" w:sz="8" w:space="0"/>
                  </w:tcBorders>
                  <w:shd w:val="clear" w:color="auto" w:fill="auto"/>
                  <w:noWrap/>
                  <w:vAlign w:val="center"/>
                </w:tcPr>
                <w:p w14:paraId="03EE9114">
                  <w:pPr>
                    <w:jc w:val="center"/>
                    <w:rPr>
                      <w:rFonts w:hint="eastAsia" w:ascii="宋体" w:hAnsi="宋体" w:eastAsia="宋体" w:cs="宋体"/>
                      <w:i w:val="0"/>
                      <w:iCs w:val="0"/>
                      <w:color w:val="0000FF"/>
                      <w:sz w:val="21"/>
                      <w:szCs w:val="21"/>
                      <w:u w:val="none"/>
                    </w:rPr>
                  </w:pPr>
                </w:p>
              </w:tc>
              <w:tc>
                <w:tcPr>
                  <w:tcW w:w="1392" w:type="dxa"/>
                  <w:tcBorders>
                    <w:top w:val="nil"/>
                    <w:left w:val="single" w:color="000000" w:sz="8" w:space="0"/>
                    <w:bottom w:val="single" w:color="000000" w:sz="8" w:space="0"/>
                    <w:right w:val="single" w:color="000000" w:sz="8" w:space="0"/>
                  </w:tcBorders>
                  <w:shd w:val="clear" w:color="auto" w:fill="auto"/>
                  <w:vAlign w:val="center"/>
                </w:tcPr>
                <w:p w14:paraId="76D443B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S-2000i150B</w:t>
                  </w:r>
                </w:p>
              </w:tc>
              <w:tc>
                <w:tcPr>
                  <w:tcW w:w="1933" w:type="dxa"/>
                  <w:tcBorders>
                    <w:top w:val="nil"/>
                    <w:left w:val="nil"/>
                    <w:bottom w:val="single" w:color="000000" w:sz="8" w:space="0"/>
                    <w:right w:val="single" w:color="000000" w:sz="8" w:space="0"/>
                  </w:tcBorders>
                  <w:shd w:val="clear" w:color="auto" w:fill="auto"/>
                  <w:vAlign w:val="center"/>
                </w:tcPr>
                <w:p w14:paraId="0357CF3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2~6</w:t>
                  </w:r>
                  <w:r>
                    <w:rPr>
                      <w:rFonts w:hint="eastAsia" w:ascii="宋体" w:hAnsi="宋体" w:eastAsia="宋体" w:cs="宋体"/>
                      <w:i w:val="0"/>
                      <w:iCs w:val="0"/>
                      <w:color w:val="0000FF"/>
                      <w:kern w:val="0"/>
                      <w:sz w:val="21"/>
                      <w:szCs w:val="21"/>
                      <w:u w:val="none"/>
                      <w:lang w:val="en-US" w:eastAsia="zh-CN" w:bidi="ar"/>
                    </w:rPr>
                    <w:t>（本次取值</w:t>
                  </w:r>
                  <w:r>
                    <w:rPr>
                      <w:rFonts w:hint="default" w:ascii="Times New Roman" w:hAnsi="Times New Roman" w:eastAsia="宋体" w:cs="Times New Roman"/>
                      <w:i w:val="0"/>
                      <w:iCs w:val="0"/>
                      <w:color w:val="0000FF"/>
                      <w:kern w:val="0"/>
                      <w:sz w:val="21"/>
                      <w:szCs w:val="21"/>
                      <w:u w:val="none"/>
                      <w:lang w:val="en-US" w:eastAsia="zh-CN" w:bidi="ar"/>
                    </w:rPr>
                    <w:t>6</w:t>
                  </w:r>
                  <w:r>
                    <w:rPr>
                      <w:rFonts w:hint="eastAsia" w:ascii="宋体" w:hAnsi="宋体" w:eastAsia="宋体" w:cs="宋体"/>
                      <w:i w:val="0"/>
                      <w:iCs w:val="0"/>
                      <w:color w:val="0000FF"/>
                      <w:kern w:val="0"/>
                      <w:sz w:val="21"/>
                      <w:szCs w:val="21"/>
                      <w:u w:val="none"/>
                      <w:lang w:val="en-US" w:eastAsia="zh-CN" w:bidi="ar"/>
                    </w:rPr>
                    <w:t>）</w:t>
                  </w:r>
                </w:p>
              </w:tc>
              <w:tc>
                <w:tcPr>
                  <w:tcW w:w="705" w:type="dxa"/>
                  <w:tcBorders>
                    <w:top w:val="nil"/>
                    <w:left w:val="single" w:color="000000" w:sz="8" w:space="0"/>
                    <w:bottom w:val="single" w:color="000000" w:sz="8" w:space="0"/>
                    <w:right w:val="single" w:color="000000" w:sz="8" w:space="0"/>
                  </w:tcBorders>
                  <w:shd w:val="clear" w:color="auto" w:fill="auto"/>
                  <w:vAlign w:val="center"/>
                </w:tcPr>
                <w:p w14:paraId="06D2FC8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c>
                <w:tcPr>
                  <w:tcW w:w="651" w:type="dxa"/>
                  <w:tcBorders>
                    <w:top w:val="nil"/>
                    <w:left w:val="nil"/>
                    <w:bottom w:val="single" w:color="000000" w:sz="8" w:space="0"/>
                    <w:right w:val="single" w:color="000000" w:sz="8" w:space="0"/>
                  </w:tcBorders>
                  <w:shd w:val="clear" w:color="auto" w:fill="auto"/>
                  <w:vAlign w:val="center"/>
                </w:tcPr>
                <w:p w14:paraId="06DF190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w:t>
                  </w:r>
                </w:p>
              </w:tc>
              <w:tc>
                <w:tcPr>
                  <w:tcW w:w="958" w:type="dxa"/>
                  <w:tcBorders>
                    <w:top w:val="nil"/>
                    <w:left w:val="nil"/>
                    <w:bottom w:val="single" w:color="000000" w:sz="8" w:space="0"/>
                    <w:right w:val="single" w:color="000000" w:sz="8" w:space="0"/>
                  </w:tcBorders>
                  <w:shd w:val="clear" w:color="auto" w:fill="auto"/>
                  <w:noWrap/>
                  <w:vAlign w:val="center"/>
                </w:tcPr>
                <w:p w14:paraId="3656B5E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843" w:type="dxa"/>
                  <w:tcBorders>
                    <w:top w:val="nil"/>
                    <w:left w:val="nil"/>
                    <w:bottom w:val="single" w:color="000000" w:sz="8" w:space="0"/>
                    <w:right w:val="single" w:color="000000" w:sz="8" w:space="0"/>
                  </w:tcBorders>
                  <w:shd w:val="clear" w:color="auto" w:fill="auto"/>
                  <w:vAlign w:val="center"/>
                </w:tcPr>
                <w:p w14:paraId="6455A0A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300</w:t>
                  </w:r>
                </w:p>
              </w:tc>
              <w:tc>
                <w:tcPr>
                  <w:tcW w:w="840" w:type="dxa"/>
                  <w:tcBorders>
                    <w:top w:val="nil"/>
                    <w:left w:val="nil"/>
                    <w:bottom w:val="single" w:color="000000" w:sz="8" w:space="0"/>
                    <w:right w:val="single" w:color="000000" w:sz="8" w:space="0"/>
                  </w:tcBorders>
                  <w:shd w:val="clear" w:color="auto" w:fill="auto"/>
                  <w:vAlign w:val="center"/>
                </w:tcPr>
                <w:p w14:paraId="3C27CF3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259.2</w:t>
                  </w:r>
                </w:p>
              </w:tc>
              <w:tc>
                <w:tcPr>
                  <w:tcW w:w="777" w:type="dxa"/>
                  <w:vMerge w:val="continue"/>
                  <w:tcBorders>
                    <w:top w:val="nil"/>
                    <w:left w:val="nil"/>
                    <w:bottom w:val="single" w:color="000000" w:sz="8" w:space="0"/>
                    <w:right w:val="single" w:color="000000" w:sz="8" w:space="0"/>
                  </w:tcBorders>
                  <w:shd w:val="clear" w:color="auto" w:fill="auto"/>
                  <w:vAlign w:val="center"/>
                </w:tcPr>
                <w:p w14:paraId="2062E82B">
                  <w:pPr>
                    <w:jc w:val="center"/>
                    <w:rPr>
                      <w:rFonts w:hint="default" w:ascii="Times New Roman" w:hAnsi="Times New Roman" w:eastAsia="宋体" w:cs="Times New Roman"/>
                      <w:i w:val="0"/>
                      <w:iCs w:val="0"/>
                      <w:color w:val="0000FF"/>
                      <w:sz w:val="21"/>
                      <w:szCs w:val="21"/>
                      <w:u w:val="none"/>
                    </w:rPr>
                  </w:pPr>
                </w:p>
              </w:tc>
            </w:tr>
            <w:tr w14:paraId="73BEB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377" w:type="dxa"/>
                  <w:vMerge w:val="continue"/>
                  <w:tcBorders>
                    <w:left w:val="single" w:color="000000" w:sz="8" w:space="0"/>
                    <w:right w:val="single" w:color="000000" w:sz="8" w:space="0"/>
                  </w:tcBorders>
                  <w:shd w:val="clear" w:color="auto" w:fill="auto"/>
                  <w:noWrap/>
                  <w:vAlign w:val="center"/>
                </w:tcPr>
                <w:p w14:paraId="7254F552">
                  <w:pPr>
                    <w:jc w:val="center"/>
                    <w:rPr>
                      <w:rFonts w:hint="eastAsia" w:ascii="宋体" w:hAnsi="宋体" w:eastAsia="宋体" w:cs="宋体"/>
                      <w:i w:val="0"/>
                      <w:iCs w:val="0"/>
                      <w:color w:val="0000FF"/>
                      <w:sz w:val="21"/>
                      <w:szCs w:val="21"/>
                      <w:u w:val="none"/>
                    </w:rPr>
                  </w:pPr>
                </w:p>
              </w:tc>
              <w:tc>
                <w:tcPr>
                  <w:tcW w:w="1392" w:type="dxa"/>
                  <w:tcBorders>
                    <w:top w:val="nil"/>
                    <w:left w:val="single" w:color="000000" w:sz="8" w:space="0"/>
                    <w:bottom w:val="single" w:color="000000" w:sz="8" w:space="0"/>
                    <w:right w:val="single" w:color="000000" w:sz="8" w:space="0"/>
                  </w:tcBorders>
                  <w:shd w:val="clear" w:color="auto" w:fill="auto"/>
                  <w:vAlign w:val="center"/>
                </w:tcPr>
                <w:p w14:paraId="4E28BC3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S-2000i250B</w:t>
                  </w:r>
                </w:p>
              </w:tc>
              <w:tc>
                <w:tcPr>
                  <w:tcW w:w="1933" w:type="dxa"/>
                  <w:tcBorders>
                    <w:top w:val="nil"/>
                    <w:left w:val="nil"/>
                    <w:bottom w:val="single" w:color="000000" w:sz="8" w:space="0"/>
                    <w:right w:val="single" w:color="000000" w:sz="8" w:space="0"/>
                  </w:tcBorders>
                  <w:shd w:val="clear" w:color="auto" w:fill="auto"/>
                  <w:vAlign w:val="center"/>
                </w:tcPr>
                <w:p w14:paraId="1992C02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4~8</w:t>
                  </w:r>
                  <w:r>
                    <w:rPr>
                      <w:rFonts w:hint="eastAsia" w:ascii="宋体" w:hAnsi="宋体" w:eastAsia="宋体" w:cs="宋体"/>
                      <w:i w:val="0"/>
                      <w:iCs w:val="0"/>
                      <w:color w:val="0000FF"/>
                      <w:kern w:val="0"/>
                      <w:sz w:val="21"/>
                      <w:szCs w:val="21"/>
                      <w:u w:val="none"/>
                      <w:lang w:val="en-US" w:eastAsia="zh-CN" w:bidi="ar"/>
                    </w:rPr>
                    <w:t>（本次取值</w:t>
                  </w:r>
                  <w:r>
                    <w:rPr>
                      <w:rFonts w:hint="default" w:ascii="Times New Roman" w:hAnsi="Times New Roman" w:eastAsia="宋体" w:cs="Times New Roman"/>
                      <w:i w:val="0"/>
                      <w:iCs w:val="0"/>
                      <w:color w:val="0000FF"/>
                      <w:kern w:val="0"/>
                      <w:sz w:val="21"/>
                      <w:szCs w:val="21"/>
                      <w:u w:val="none"/>
                      <w:lang w:val="en-US" w:eastAsia="zh-CN" w:bidi="ar"/>
                    </w:rPr>
                    <w:t>8</w:t>
                  </w:r>
                  <w:r>
                    <w:rPr>
                      <w:rFonts w:hint="eastAsia" w:ascii="宋体" w:hAnsi="宋体" w:eastAsia="宋体" w:cs="宋体"/>
                      <w:i w:val="0"/>
                      <w:iCs w:val="0"/>
                      <w:color w:val="0000FF"/>
                      <w:kern w:val="0"/>
                      <w:sz w:val="21"/>
                      <w:szCs w:val="21"/>
                      <w:u w:val="none"/>
                      <w:lang w:val="en-US" w:eastAsia="zh-CN" w:bidi="ar"/>
                    </w:rPr>
                    <w:t>）</w:t>
                  </w:r>
                </w:p>
              </w:tc>
              <w:tc>
                <w:tcPr>
                  <w:tcW w:w="705" w:type="dxa"/>
                  <w:tcBorders>
                    <w:top w:val="nil"/>
                    <w:left w:val="single" w:color="000000" w:sz="8" w:space="0"/>
                    <w:bottom w:val="single" w:color="000000" w:sz="8" w:space="0"/>
                    <w:right w:val="single" w:color="000000" w:sz="8" w:space="0"/>
                  </w:tcBorders>
                  <w:shd w:val="clear" w:color="auto" w:fill="auto"/>
                  <w:vAlign w:val="center"/>
                </w:tcPr>
                <w:p w14:paraId="4EC05DA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c>
                <w:tcPr>
                  <w:tcW w:w="651" w:type="dxa"/>
                  <w:tcBorders>
                    <w:top w:val="nil"/>
                    <w:left w:val="nil"/>
                    <w:bottom w:val="single" w:color="000000" w:sz="8" w:space="0"/>
                    <w:right w:val="single" w:color="000000" w:sz="8" w:space="0"/>
                  </w:tcBorders>
                  <w:shd w:val="clear" w:color="auto" w:fill="auto"/>
                  <w:vAlign w:val="center"/>
                </w:tcPr>
                <w:p w14:paraId="091C5E7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w:t>
                  </w:r>
                </w:p>
              </w:tc>
              <w:tc>
                <w:tcPr>
                  <w:tcW w:w="958" w:type="dxa"/>
                  <w:tcBorders>
                    <w:top w:val="nil"/>
                    <w:left w:val="nil"/>
                    <w:bottom w:val="single" w:color="000000" w:sz="8" w:space="0"/>
                    <w:right w:val="single" w:color="000000" w:sz="8" w:space="0"/>
                  </w:tcBorders>
                  <w:shd w:val="clear" w:color="auto" w:fill="auto"/>
                  <w:noWrap/>
                  <w:vAlign w:val="center"/>
                </w:tcPr>
                <w:p w14:paraId="286BD10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843" w:type="dxa"/>
                  <w:tcBorders>
                    <w:top w:val="nil"/>
                    <w:left w:val="nil"/>
                    <w:bottom w:val="single" w:color="000000" w:sz="8" w:space="0"/>
                    <w:right w:val="single" w:color="000000" w:sz="8" w:space="0"/>
                  </w:tcBorders>
                  <w:shd w:val="clear" w:color="auto" w:fill="auto"/>
                  <w:vAlign w:val="center"/>
                </w:tcPr>
                <w:p w14:paraId="22C692F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300</w:t>
                  </w:r>
                </w:p>
              </w:tc>
              <w:tc>
                <w:tcPr>
                  <w:tcW w:w="840" w:type="dxa"/>
                  <w:tcBorders>
                    <w:top w:val="nil"/>
                    <w:left w:val="nil"/>
                    <w:bottom w:val="single" w:color="000000" w:sz="8" w:space="0"/>
                    <w:right w:val="single" w:color="000000" w:sz="8" w:space="0"/>
                  </w:tcBorders>
                  <w:shd w:val="clear" w:color="auto" w:fill="auto"/>
                  <w:vAlign w:val="center"/>
                </w:tcPr>
                <w:p w14:paraId="367C86A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345.6</w:t>
                  </w:r>
                </w:p>
              </w:tc>
              <w:tc>
                <w:tcPr>
                  <w:tcW w:w="777" w:type="dxa"/>
                  <w:vMerge w:val="continue"/>
                  <w:tcBorders>
                    <w:top w:val="nil"/>
                    <w:left w:val="nil"/>
                    <w:bottom w:val="single" w:color="000000" w:sz="8" w:space="0"/>
                    <w:right w:val="single" w:color="000000" w:sz="8" w:space="0"/>
                  </w:tcBorders>
                  <w:shd w:val="clear" w:color="auto" w:fill="auto"/>
                  <w:vAlign w:val="center"/>
                </w:tcPr>
                <w:p w14:paraId="6D5E8641">
                  <w:pPr>
                    <w:jc w:val="center"/>
                    <w:rPr>
                      <w:rFonts w:hint="default" w:ascii="Times New Roman" w:hAnsi="Times New Roman" w:eastAsia="宋体" w:cs="Times New Roman"/>
                      <w:i w:val="0"/>
                      <w:iCs w:val="0"/>
                      <w:color w:val="0000FF"/>
                      <w:sz w:val="21"/>
                      <w:szCs w:val="21"/>
                      <w:u w:val="none"/>
                    </w:rPr>
                  </w:pPr>
                </w:p>
              </w:tc>
            </w:tr>
            <w:tr w14:paraId="61E9F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77" w:type="dxa"/>
                  <w:vMerge w:val="continue"/>
                  <w:tcBorders>
                    <w:left w:val="single" w:color="000000" w:sz="8" w:space="0"/>
                    <w:right w:val="single" w:color="000000" w:sz="8" w:space="0"/>
                  </w:tcBorders>
                  <w:shd w:val="clear" w:color="auto" w:fill="auto"/>
                  <w:noWrap/>
                  <w:vAlign w:val="center"/>
                </w:tcPr>
                <w:p w14:paraId="3BB47F98">
                  <w:pPr>
                    <w:jc w:val="center"/>
                    <w:rPr>
                      <w:rFonts w:hint="eastAsia" w:ascii="宋体" w:hAnsi="宋体" w:eastAsia="宋体" w:cs="宋体"/>
                      <w:i w:val="0"/>
                      <w:iCs w:val="0"/>
                      <w:color w:val="0000FF"/>
                      <w:sz w:val="21"/>
                      <w:szCs w:val="21"/>
                      <w:u w:val="none"/>
                    </w:rPr>
                  </w:pPr>
                </w:p>
              </w:tc>
              <w:tc>
                <w:tcPr>
                  <w:tcW w:w="1392" w:type="dxa"/>
                  <w:tcBorders>
                    <w:top w:val="nil"/>
                    <w:left w:val="single" w:color="000000" w:sz="8" w:space="0"/>
                    <w:bottom w:val="single" w:color="000000" w:sz="8" w:space="0"/>
                    <w:right w:val="single" w:color="000000" w:sz="8" w:space="0"/>
                  </w:tcBorders>
                  <w:shd w:val="clear" w:color="auto" w:fill="auto"/>
                  <w:vAlign w:val="center"/>
                </w:tcPr>
                <w:p w14:paraId="0D8DAB0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S-2000i300A</w:t>
                  </w:r>
                </w:p>
              </w:tc>
              <w:tc>
                <w:tcPr>
                  <w:tcW w:w="1933" w:type="dxa"/>
                  <w:tcBorders>
                    <w:top w:val="nil"/>
                    <w:left w:val="nil"/>
                    <w:bottom w:val="single" w:color="000000" w:sz="8" w:space="0"/>
                    <w:right w:val="single" w:color="000000" w:sz="8" w:space="0"/>
                  </w:tcBorders>
                  <w:shd w:val="clear" w:color="auto" w:fill="auto"/>
                  <w:vAlign w:val="center"/>
                </w:tcPr>
                <w:p w14:paraId="712CCAB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4~8</w:t>
                  </w:r>
                  <w:r>
                    <w:rPr>
                      <w:rFonts w:hint="eastAsia" w:ascii="宋体" w:hAnsi="宋体" w:eastAsia="宋体" w:cs="宋体"/>
                      <w:i w:val="0"/>
                      <w:iCs w:val="0"/>
                      <w:color w:val="0000FF"/>
                      <w:kern w:val="0"/>
                      <w:sz w:val="21"/>
                      <w:szCs w:val="21"/>
                      <w:u w:val="none"/>
                      <w:lang w:val="en-US" w:eastAsia="zh-CN" w:bidi="ar"/>
                    </w:rPr>
                    <w:t>（本次取值</w:t>
                  </w:r>
                  <w:r>
                    <w:rPr>
                      <w:rFonts w:hint="default" w:ascii="Times New Roman" w:hAnsi="Times New Roman" w:eastAsia="宋体" w:cs="Times New Roman"/>
                      <w:i w:val="0"/>
                      <w:iCs w:val="0"/>
                      <w:color w:val="0000FF"/>
                      <w:kern w:val="0"/>
                      <w:sz w:val="21"/>
                      <w:szCs w:val="21"/>
                      <w:u w:val="none"/>
                      <w:lang w:val="en-US" w:eastAsia="zh-CN" w:bidi="ar"/>
                    </w:rPr>
                    <w:t>8</w:t>
                  </w:r>
                  <w:r>
                    <w:rPr>
                      <w:rFonts w:hint="eastAsia" w:ascii="宋体" w:hAnsi="宋体" w:eastAsia="宋体" w:cs="宋体"/>
                      <w:i w:val="0"/>
                      <w:iCs w:val="0"/>
                      <w:color w:val="0000FF"/>
                      <w:kern w:val="0"/>
                      <w:sz w:val="21"/>
                      <w:szCs w:val="21"/>
                      <w:u w:val="none"/>
                      <w:lang w:val="en-US" w:eastAsia="zh-CN" w:bidi="ar"/>
                    </w:rPr>
                    <w:t>）</w:t>
                  </w:r>
                </w:p>
              </w:tc>
              <w:tc>
                <w:tcPr>
                  <w:tcW w:w="705" w:type="dxa"/>
                  <w:tcBorders>
                    <w:top w:val="nil"/>
                    <w:left w:val="single" w:color="000000" w:sz="8" w:space="0"/>
                    <w:bottom w:val="single" w:color="000000" w:sz="8" w:space="0"/>
                    <w:right w:val="single" w:color="000000" w:sz="8" w:space="0"/>
                  </w:tcBorders>
                  <w:shd w:val="clear" w:color="auto" w:fill="auto"/>
                  <w:vAlign w:val="center"/>
                </w:tcPr>
                <w:p w14:paraId="365AA62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w:t>
                  </w:r>
                </w:p>
              </w:tc>
              <w:tc>
                <w:tcPr>
                  <w:tcW w:w="651" w:type="dxa"/>
                  <w:tcBorders>
                    <w:top w:val="nil"/>
                    <w:left w:val="nil"/>
                    <w:bottom w:val="single" w:color="000000" w:sz="8" w:space="0"/>
                    <w:right w:val="single" w:color="000000" w:sz="8" w:space="0"/>
                  </w:tcBorders>
                  <w:shd w:val="clear" w:color="auto" w:fill="auto"/>
                  <w:vAlign w:val="center"/>
                </w:tcPr>
                <w:p w14:paraId="3FBDC9B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w:t>
                  </w:r>
                </w:p>
              </w:tc>
              <w:tc>
                <w:tcPr>
                  <w:tcW w:w="958" w:type="dxa"/>
                  <w:tcBorders>
                    <w:top w:val="nil"/>
                    <w:left w:val="nil"/>
                    <w:bottom w:val="single" w:color="000000" w:sz="8" w:space="0"/>
                    <w:right w:val="single" w:color="000000" w:sz="8" w:space="0"/>
                  </w:tcBorders>
                  <w:shd w:val="clear" w:color="auto" w:fill="auto"/>
                  <w:noWrap/>
                  <w:vAlign w:val="center"/>
                </w:tcPr>
                <w:p w14:paraId="505FF65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843" w:type="dxa"/>
                  <w:tcBorders>
                    <w:top w:val="nil"/>
                    <w:left w:val="nil"/>
                    <w:bottom w:val="single" w:color="000000" w:sz="8" w:space="0"/>
                    <w:right w:val="single" w:color="000000" w:sz="8" w:space="0"/>
                  </w:tcBorders>
                  <w:shd w:val="clear" w:color="auto" w:fill="auto"/>
                  <w:vAlign w:val="center"/>
                </w:tcPr>
                <w:p w14:paraId="47662D7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300</w:t>
                  </w:r>
                </w:p>
              </w:tc>
              <w:tc>
                <w:tcPr>
                  <w:tcW w:w="840" w:type="dxa"/>
                  <w:tcBorders>
                    <w:top w:val="nil"/>
                    <w:left w:val="nil"/>
                    <w:bottom w:val="single" w:color="000000" w:sz="8" w:space="0"/>
                    <w:right w:val="single" w:color="000000" w:sz="8" w:space="0"/>
                  </w:tcBorders>
                  <w:shd w:val="clear" w:color="auto" w:fill="auto"/>
                  <w:vAlign w:val="center"/>
                </w:tcPr>
                <w:p w14:paraId="5173C40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1036.8</w:t>
                  </w:r>
                </w:p>
              </w:tc>
              <w:tc>
                <w:tcPr>
                  <w:tcW w:w="777" w:type="dxa"/>
                  <w:vMerge w:val="continue"/>
                  <w:tcBorders>
                    <w:top w:val="nil"/>
                    <w:left w:val="nil"/>
                    <w:bottom w:val="single" w:color="000000" w:sz="8" w:space="0"/>
                    <w:right w:val="single" w:color="000000" w:sz="8" w:space="0"/>
                  </w:tcBorders>
                  <w:shd w:val="clear" w:color="auto" w:fill="auto"/>
                  <w:vAlign w:val="center"/>
                </w:tcPr>
                <w:p w14:paraId="6B5D6588">
                  <w:pPr>
                    <w:jc w:val="center"/>
                    <w:rPr>
                      <w:rFonts w:hint="default" w:ascii="Times New Roman" w:hAnsi="Times New Roman" w:eastAsia="宋体" w:cs="Times New Roman"/>
                      <w:i w:val="0"/>
                      <w:iCs w:val="0"/>
                      <w:color w:val="0000FF"/>
                      <w:sz w:val="21"/>
                      <w:szCs w:val="21"/>
                      <w:u w:val="none"/>
                    </w:rPr>
                  </w:pPr>
                </w:p>
              </w:tc>
            </w:tr>
            <w:tr w14:paraId="4BB07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77" w:type="dxa"/>
                  <w:vMerge w:val="continue"/>
                  <w:tcBorders>
                    <w:left w:val="single" w:color="000000" w:sz="8" w:space="0"/>
                    <w:right w:val="single" w:color="000000" w:sz="8" w:space="0"/>
                  </w:tcBorders>
                  <w:shd w:val="clear" w:color="auto" w:fill="auto"/>
                  <w:noWrap/>
                  <w:vAlign w:val="center"/>
                </w:tcPr>
                <w:p w14:paraId="55BE36C1">
                  <w:pPr>
                    <w:jc w:val="center"/>
                    <w:rPr>
                      <w:rFonts w:hint="eastAsia" w:ascii="宋体" w:hAnsi="宋体" w:eastAsia="宋体" w:cs="宋体"/>
                      <w:i w:val="0"/>
                      <w:iCs w:val="0"/>
                      <w:color w:val="0000FF"/>
                      <w:sz w:val="21"/>
                      <w:szCs w:val="21"/>
                      <w:u w:val="none"/>
                    </w:rPr>
                  </w:pPr>
                </w:p>
              </w:tc>
              <w:tc>
                <w:tcPr>
                  <w:tcW w:w="1392" w:type="dxa"/>
                  <w:tcBorders>
                    <w:top w:val="nil"/>
                    <w:left w:val="single" w:color="000000" w:sz="8" w:space="0"/>
                    <w:bottom w:val="single" w:color="000000" w:sz="8" w:space="0"/>
                    <w:right w:val="single" w:color="000000" w:sz="8" w:space="0"/>
                  </w:tcBorders>
                  <w:shd w:val="clear" w:color="auto" w:fill="auto"/>
                  <w:vAlign w:val="center"/>
                </w:tcPr>
                <w:p w14:paraId="389661E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S-2000i300B</w:t>
                  </w:r>
                </w:p>
              </w:tc>
              <w:tc>
                <w:tcPr>
                  <w:tcW w:w="1933" w:type="dxa"/>
                  <w:tcBorders>
                    <w:top w:val="nil"/>
                    <w:left w:val="nil"/>
                    <w:bottom w:val="single" w:color="000000" w:sz="8" w:space="0"/>
                    <w:right w:val="single" w:color="000000" w:sz="8" w:space="0"/>
                  </w:tcBorders>
                  <w:shd w:val="clear" w:color="auto" w:fill="auto"/>
                  <w:vAlign w:val="center"/>
                </w:tcPr>
                <w:p w14:paraId="53A816D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4~8</w:t>
                  </w:r>
                  <w:r>
                    <w:rPr>
                      <w:rFonts w:hint="eastAsia" w:ascii="宋体" w:hAnsi="宋体" w:eastAsia="宋体" w:cs="宋体"/>
                      <w:i w:val="0"/>
                      <w:iCs w:val="0"/>
                      <w:color w:val="0000FF"/>
                      <w:kern w:val="0"/>
                      <w:sz w:val="21"/>
                      <w:szCs w:val="21"/>
                      <w:u w:val="none"/>
                      <w:lang w:val="en-US" w:eastAsia="zh-CN" w:bidi="ar"/>
                    </w:rPr>
                    <w:t>（本次取值</w:t>
                  </w:r>
                  <w:r>
                    <w:rPr>
                      <w:rFonts w:hint="default" w:ascii="Times New Roman" w:hAnsi="Times New Roman" w:eastAsia="宋体" w:cs="Times New Roman"/>
                      <w:i w:val="0"/>
                      <w:iCs w:val="0"/>
                      <w:color w:val="0000FF"/>
                      <w:kern w:val="0"/>
                      <w:sz w:val="21"/>
                      <w:szCs w:val="21"/>
                      <w:u w:val="none"/>
                      <w:lang w:val="en-US" w:eastAsia="zh-CN" w:bidi="ar"/>
                    </w:rPr>
                    <w:t>8</w:t>
                  </w:r>
                  <w:r>
                    <w:rPr>
                      <w:rFonts w:hint="eastAsia" w:ascii="宋体" w:hAnsi="宋体" w:eastAsia="宋体" w:cs="宋体"/>
                      <w:i w:val="0"/>
                      <w:iCs w:val="0"/>
                      <w:color w:val="0000FF"/>
                      <w:kern w:val="0"/>
                      <w:sz w:val="21"/>
                      <w:szCs w:val="21"/>
                      <w:u w:val="none"/>
                      <w:lang w:val="en-US" w:eastAsia="zh-CN" w:bidi="ar"/>
                    </w:rPr>
                    <w:t>）</w:t>
                  </w:r>
                </w:p>
              </w:tc>
              <w:tc>
                <w:tcPr>
                  <w:tcW w:w="705" w:type="dxa"/>
                  <w:tcBorders>
                    <w:top w:val="nil"/>
                    <w:left w:val="single" w:color="000000" w:sz="8" w:space="0"/>
                    <w:bottom w:val="single" w:color="000000" w:sz="8" w:space="0"/>
                    <w:right w:val="single" w:color="000000" w:sz="8" w:space="0"/>
                  </w:tcBorders>
                  <w:shd w:val="clear" w:color="auto" w:fill="auto"/>
                  <w:vAlign w:val="center"/>
                </w:tcPr>
                <w:p w14:paraId="4E7335E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w:t>
                  </w:r>
                </w:p>
              </w:tc>
              <w:tc>
                <w:tcPr>
                  <w:tcW w:w="651" w:type="dxa"/>
                  <w:tcBorders>
                    <w:top w:val="nil"/>
                    <w:left w:val="nil"/>
                    <w:bottom w:val="single" w:color="000000" w:sz="8" w:space="0"/>
                    <w:right w:val="single" w:color="000000" w:sz="8" w:space="0"/>
                  </w:tcBorders>
                  <w:shd w:val="clear" w:color="auto" w:fill="auto"/>
                  <w:vAlign w:val="center"/>
                </w:tcPr>
                <w:p w14:paraId="39FF3D4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w:t>
                  </w:r>
                </w:p>
              </w:tc>
              <w:tc>
                <w:tcPr>
                  <w:tcW w:w="958" w:type="dxa"/>
                  <w:tcBorders>
                    <w:top w:val="nil"/>
                    <w:left w:val="nil"/>
                    <w:bottom w:val="single" w:color="000000" w:sz="8" w:space="0"/>
                    <w:right w:val="single" w:color="000000" w:sz="8" w:space="0"/>
                  </w:tcBorders>
                  <w:shd w:val="clear" w:color="auto" w:fill="auto"/>
                  <w:noWrap/>
                  <w:vAlign w:val="center"/>
                </w:tcPr>
                <w:p w14:paraId="560363D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843" w:type="dxa"/>
                  <w:tcBorders>
                    <w:top w:val="nil"/>
                    <w:left w:val="nil"/>
                    <w:bottom w:val="single" w:color="000000" w:sz="8" w:space="0"/>
                    <w:right w:val="single" w:color="000000" w:sz="8" w:space="0"/>
                  </w:tcBorders>
                  <w:shd w:val="clear" w:color="auto" w:fill="auto"/>
                  <w:vAlign w:val="center"/>
                </w:tcPr>
                <w:p w14:paraId="3DA1953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300</w:t>
                  </w:r>
                </w:p>
              </w:tc>
              <w:tc>
                <w:tcPr>
                  <w:tcW w:w="840" w:type="dxa"/>
                  <w:tcBorders>
                    <w:top w:val="nil"/>
                    <w:left w:val="nil"/>
                    <w:bottom w:val="single" w:color="000000" w:sz="8" w:space="0"/>
                    <w:right w:val="single" w:color="000000" w:sz="8" w:space="0"/>
                  </w:tcBorders>
                  <w:shd w:val="clear" w:color="auto" w:fill="auto"/>
                  <w:vAlign w:val="center"/>
                </w:tcPr>
                <w:p w14:paraId="577FFF2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1036.8</w:t>
                  </w:r>
                </w:p>
              </w:tc>
              <w:tc>
                <w:tcPr>
                  <w:tcW w:w="777" w:type="dxa"/>
                  <w:vMerge w:val="continue"/>
                  <w:tcBorders>
                    <w:top w:val="nil"/>
                    <w:left w:val="nil"/>
                    <w:bottom w:val="single" w:color="000000" w:sz="8" w:space="0"/>
                    <w:right w:val="single" w:color="000000" w:sz="8" w:space="0"/>
                  </w:tcBorders>
                  <w:shd w:val="clear" w:color="auto" w:fill="auto"/>
                  <w:vAlign w:val="center"/>
                </w:tcPr>
                <w:p w14:paraId="7D8EC6E8">
                  <w:pPr>
                    <w:jc w:val="center"/>
                    <w:rPr>
                      <w:rFonts w:hint="default" w:ascii="Times New Roman" w:hAnsi="Times New Roman" w:eastAsia="宋体" w:cs="Times New Roman"/>
                      <w:i w:val="0"/>
                      <w:iCs w:val="0"/>
                      <w:color w:val="0000FF"/>
                      <w:sz w:val="21"/>
                      <w:szCs w:val="21"/>
                      <w:u w:val="none"/>
                    </w:rPr>
                  </w:pPr>
                </w:p>
              </w:tc>
            </w:tr>
            <w:tr w14:paraId="4C4E6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77" w:type="dxa"/>
                  <w:vMerge w:val="continue"/>
                  <w:tcBorders>
                    <w:left w:val="single" w:color="000000" w:sz="8" w:space="0"/>
                    <w:right w:val="single" w:color="000000" w:sz="8" w:space="0"/>
                  </w:tcBorders>
                  <w:shd w:val="clear" w:color="auto" w:fill="auto"/>
                  <w:noWrap/>
                  <w:vAlign w:val="center"/>
                </w:tcPr>
                <w:p w14:paraId="1F893B52">
                  <w:pPr>
                    <w:jc w:val="center"/>
                    <w:rPr>
                      <w:rFonts w:hint="eastAsia" w:ascii="宋体" w:hAnsi="宋体" w:eastAsia="宋体" w:cs="宋体"/>
                      <w:i w:val="0"/>
                      <w:iCs w:val="0"/>
                      <w:color w:val="0000FF"/>
                      <w:sz w:val="21"/>
                      <w:szCs w:val="21"/>
                      <w:u w:val="none"/>
                    </w:rPr>
                  </w:pPr>
                </w:p>
              </w:tc>
              <w:tc>
                <w:tcPr>
                  <w:tcW w:w="1392" w:type="dxa"/>
                  <w:tcBorders>
                    <w:top w:val="nil"/>
                    <w:left w:val="single" w:color="000000" w:sz="8" w:space="0"/>
                    <w:bottom w:val="single" w:color="000000" w:sz="8" w:space="0"/>
                    <w:right w:val="single" w:color="000000" w:sz="8" w:space="0"/>
                  </w:tcBorders>
                  <w:shd w:val="clear" w:color="auto" w:fill="auto"/>
                  <w:vAlign w:val="center"/>
                </w:tcPr>
                <w:p w14:paraId="4E74E30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S-2000i350A</w:t>
                  </w:r>
                </w:p>
              </w:tc>
              <w:tc>
                <w:tcPr>
                  <w:tcW w:w="1933" w:type="dxa"/>
                  <w:tcBorders>
                    <w:top w:val="nil"/>
                    <w:left w:val="nil"/>
                    <w:bottom w:val="single" w:color="000000" w:sz="8" w:space="0"/>
                    <w:right w:val="single" w:color="000000" w:sz="8" w:space="0"/>
                  </w:tcBorders>
                  <w:shd w:val="clear" w:color="auto" w:fill="auto"/>
                  <w:vAlign w:val="center"/>
                </w:tcPr>
                <w:p w14:paraId="48CC238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5~10</w:t>
                  </w:r>
                  <w:r>
                    <w:rPr>
                      <w:rFonts w:hint="eastAsia" w:ascii="宋体" w:hAnsi="宋体" w:eastAsia="宋体" w:cs="宋体"/>
                      <w:i w:val="0"/>
                      <w:iCs w:val="0"/>
                      <w:color w:val="0000FF"/>
                      <w:kern w:val="0"/>
                      <w:sz w:val="21"/>
                      <w:szCs w:val="21"/>
                      <w:u w:val="none"/>
                      <w:lang w:val="en-US" w:eastAsia="zh-CN" w:bidi="ar"/>
                    </w:rPr>
                    <w:t>（本次取值</w:t>
                  </w:r>
                  <w:r>
                    <w:rPr>
                      <w:rFonts w:hint="default" w:ascii="Times New Roman" w:hAnsi="Times New Roman" w:eastAsia="宋体" w:cs="Times New Roman"/>
                      <w:i w:val="0"/>
                      <w:iCs w:val="0"/>
                      <w:color w:val="0000FF"/>
                      <w:kern w:val="0"/>
                      <w:sz w:val="21"/>
                      <w:szCs w:val="21"/>
                      <w:u w:val="none"/>
                      <w:lang w:val="en-US" w:eastAsia="zh-CN" w:bidi="ar"/>
                    </w:rPr>
                    <w:t>10</w:t>
                  </w:r>
                  <w:r>
                    <w:rPr>
                      <w:rFonts w:hint="eastAsia" w:ascii="宋体" w:hAnsi="宋体" w:eastAsia="宋体" w:cs="宋体"/>
                      <w:i w:val="0"/>
                      <w:iCs w:val="0"/>
                      <w:color w:val="0000FF"/>
                      <w:kern w:val="0"/>
                      <w:sz w:val="21"/>
                      <w:szCs w:val="21"/>
                      <w:u w:val="none"/>
                      <w:lang w:val="en-US" w:eastAsia="zh-CN" w:bidi="ar"/>
                    </w:rPr>
                    <w:t>）</w:t>
                  </w:r>
                </w:p>
              </w:tc>
              <w:tc>
                <w:tcPr>
                  <w:tcW w:w="705" w:type="dxa"/>
                  <w:tcBorders>
                    <w:top w:val="nil"/>
                    <w:left w:val="single" w:color="000000" w:sz="8" w:space="0"/>
                    <w:bottom w:val="single" w:color="000000" w:sz="8" w:space="0"/>
                    <w:right w:val="single" w:color="000000" w:sz="8" w:space="0"/>
                  </w:tcBorders>
                  <w:shd w:val="clear" w:color="auto" w:fill="auto"/>
                  <w:vAlign w:val="center"/>
                </w:tcPr>
                <w:p w14:paraId="73C52B8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w:t>
                  </w:r>
                </w:p>
              </w:tc>
              <w:tc>
                <w:tcPr>
                  <w:tcW w:w="651" w:type="dxa"/>
                  <w:tcBorders>
                    <w:top w:val="nil"/>
                    <w:left w:val="nil"/>
                    <w:bottom w:val="single" w:color="000000" w:sz="8" w:space="0"/>
                    <w:right w:val="single" w:color="000000" w:sz="8" w:space="0"/>
                  </w:tcBorders>
                  <w:shd w:val="clear" w:color="auto" w:fill="auto"/>
                  <w:vAlign w:val="center"/>
                </w:tcPr>
                <w:p w14:paraId="213FDA1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w:t>
                  </w:r>
                </w:p>
              </w:tc>
              <w:tc>
                <w:tcPr>
                  <w:tcW w:w="958" w:type="dxa"/>
                  <w:tcBorders>
                    <w:top w:val="nil"/>
                    <w:left w:val="nil"/>
                    <w:bottom w:val="single" w:color="000000" w:sz="8" w:space="0"/>
                    <w:right w:val="single" w:color="000000" w:sz="8" w:space="0"/>
                  </w:tcBorders>
                  <w:shd w:val="clear" w:color="auto" w:fill="auto"/>
                  <w:noWrap/>
                  <w:vAlign w:val="center"/>
                </w:tcPr>
                <w:p w14:paraId="4D98721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843" w:type="dxa"/>
                  <w:tcBorders>
                    <w:top w:val="nil"/>
                    <w:left w:val="nil"/>
                    <w:bottom w:val="single" w:color="000000" w:sz="8" w:space="0"/>
                    <w:right w:val="single" w:color="000000" w:sz="8" w:space="0"/>
                  </w:tcBorders>
                  <w:shd w:val="clear" w:color="auto" w:fill="auto"/>
                  <w:vAlign w:val="center"/>
                </w:tcPr>
                <w:p w14:paraId="0F77845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300</w:t>
                  </w:r>
                </w:p>
              </w:tc>
              <w:tc>
                <w:tcPr>
                  <w:tcW w:w="840" w:type="dxa"/>
                  <w:tcBorders>
                    <w:top w:val="nil"/>
                    <w:left w:val="nil"/>
                    <w:bottom w:val="single" w:color="000000" w:sz="8" w:space="0"/>
                    <w:right w:val="single" w:color="000000" w:sz="8" w:space="0"/>
                  </w:tcBorders>
                  <w:shd w:val="clear" w:color="auto" w:fill="auto"/>
                  <w:vAlign w:val="center"/>
                </w:tcPr>
                <w:p w14:paraId="68DB4A2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864</w:t>
                  </w:r>
                </w:p>
              </w:tc>
              <w:tc>
                <w:tcPr>
                  <w:tcW w:w="777" w:type="dxa"/>
                  <w:vMerge w:val="continue"/>
                  <w:tcBorders>
                    <w:top w:val="nil"/>
                    <w:left w:val="nil"/>
                    <w:bottom w:val="single" w:color="000000" w:sz="8" w:space="0"/>
                    <w:right w:val="single" w:color="000000" w:sz="8" w:space="0"/>
                  </w:tcBorders>
                  <w:shd w:val="clear" w:color="auto" w:fill="auto"/>
                  <w:vAlign w:val="center"/>
                </w:tcPr>
                <w:p w14:paraId="1367A298">
                  <w:pPr>
                    <w:jc w:val="center"/>
                    <w:rPr>
                      <w:rFonts w:hint="default" w:ascii="Times New Roman" w:hAnsi="Times New Roman" w:eastAsia="宋体" w:cs="Times New Roman"/>
                      <w:i w:val="0"/>
                      <w:iCs w:val="0"/>
                      <w:color w:val="0000FF"/>
                      <w:sz w:val="21"/>
                      <w:szCs w:val="21"/>
                      <w:u w:val="none"/>
                    </w:rPr>
                  </w:pPr>
                </w:p>
              </w:tc>
            </w:tr>
            <w:tr w14:paraId="400E2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77" w:type="dxa"/>
                  <w:vMerge w:val="continue"/>
                  <w:tcBorders>
                    <w:left w:val="single" w:color="000000" w:sz="8" w:space="0"/>
                    <w:right w:val="single" w:color="000000" w:sz="8" w:space="0"/>
                  </w:tcBorders>
                  <w:shd w:val="clear" w:color="auto" w:fill="auto"/>
                  <w:noWrap/>
                  <w:vAlign w:val="center"/>
                </w:tcPr>
                <w:p w14:paraId="5F9C7C86">
                  <w:pPr>
                    <w:jc w:val="center"/>
                    <w:rPr>
                      <w:rFonts w:hint="eastAsia" w:ascii="宋体" w:hAnsi="宋体" w:eastAsia="宋体" w:cs="宋体"/>
                      <w:i w:val="0"/>
                      <w:iCs w:val="0"/>
                      <w:color w:val="0000FF"/>
                      <w:sz w:val="21"/>
                      <w:szCs w:val="21"/>
                      <w:u w:val="none"/>
                    </w:rPr>
                  </w:pPr>
                </w:p>
              </w:tc>
              <w:tc>
                <w:tcPr>
                  <w:tcW w:w="1392" w:type="dxa"/>
                  <w:tcBorders>
                    <w:top w:val="nil"/>
                    <w:left w:val="single" w:color="000000" w:sz="8" w:space="0"/>
                    <w:bottom w:val="single" w:color="000000" w:sz="8" w:space="0"/>
                    <w:right w:val="single" w:color="000000" w:sz="8" w:space="0"/>
                  </w:tcBorders>
                  <w:shd w:val="clear" w:color="auto" w:fill="auto"/>
                  <w:vAlign w:val="center"/>
                </w:tcPr>
                <w:p w14:paraId="7891402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S-2000i450A</w:t>
                  </w:r>
                </w:p>
              </w:tc>
              <w:tc>
                <w:tcPr>
                  <w:tcW w:w="1933" w:type="dxa"/>
                  <w:tcBorders>
                    <w:top w:val="nil"/>
                    <w:left w:val="nil"/>
                    <w:bottom w:val="single" w:color="000000" w:sz="8" w:space="0"/>
                    <w:right w:val="single" w:color="000000" w:sz="8" w:space="0"/>
                  </w:tcBorders>
                  <w:shd w:val="clear" w:color="auto" w:fill="auto"/>
                  <w:vAlign w:val="center"/>
                </w:tcPr>
                <w:p w14:paraId="40B8B75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6~12</w:t>
                  </w:r>
                  <w:r>
                    <w:rPr>
                      <w:rFonts w:hint="eastAsia" w:ascii="宋体" w:hAnsi="宋体" w:eastAsia="宋体" w:cs="宋体"/>
                      <w:i w:val="0"/>
                      <w:iCs w:val="0"/>
                      <w:color w:val="0000FF"/>
                      <w:kern w:val="0"/>
                      <w:sz w:val="21"/>
                      <w:szCs w:val="21"/>
                      <w:u w:val="none"/>
                      <w:lang w:val="en-US" w:eastAsia="zh-CN" w:bidi="ar"/>
                    </w:rPr>
                    <w:t>（本次取值</w:t>
                  </w:r>
                  <w:r>
                    <w:rPr>
                      <w:rFonts w:hint="default" w:ascii="Times New Roman" w:hAnsi="Times New Roman" w:eastAsia="宋体" w:cs="Times New Roman"/>
                      <w:i w:val="0"/>
                      <w:iCs w:val="0"/>
                      <w:color w:val="0000FF"/>
                      <w:kern w:val="0"/>
                      <w:sz w:val="21"/>
                      <w:szCs w:val="21"/>
                      <w:u w:val="none"/>
                      <w:lang w:val="en-US" w:eastAsia="zh-CN" w:bidi="ar"/>
                    </w:rPr>
                    <w:t>12</w:t>
                  </w:r>
                  <w:r>
                    <w:rPr>
                      <w:rFonts w:hint="eastAsia" w:ascii="宋体" w:hAnsi="宋体" w:eastAsia="宋体" w:cs="宋体"/>
                      <w:i w:val="0"/>
                      <w:iCs w:val="0"/>
                      <w:color w:val="0000FF"/>
                      <w:kern w:val="0"/>
                      <w:sz w:val="21"/>
                      <w:szCs w:val="21"/>
                      <w:u w:val="none"/>
                      <w:lang w:val="en-US" w:eastAsia="zh-CN" w:bidi="ar"/>
                    </w:rPr>
                    <w:t>）</w:t>
                  </w:r>
                </w:p>
              </w:tc>
              <w:tc>
                <w:tcPr>
                  <w:tcW w:w="705" w:type="dxa"/>
                  <w:tcBorders>
                    <w:top w:val="nil"/>
                    <w:left w:val="single" w:color="000000" w:sz="8" w:space="0"/>
                    <w:bottom w:val="single" w:color="000000" w:sz="8" w:space="0"/>
                    <w:right w:val="single" w:color="000000" w:sz="8" w:space="0"/>
                  </w:tcBorders>
                  <w:shd w:val="clear" w:color="auto" w:fill="auto"/>
                  <w:vAlign w:val="center"/>
                </w:tcPr>
                <w:p w14:paraId="04DF420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w:t>
                  </w:r>
                </w:p>
              </w:tc>
              <w:tc>
                <w:tcPr>
                  <w:tcW w:w="651" w:type="dxa"/>
                  <w:tcBorders>
                    <w:top w:val="nil"/>
                    <w:left w:val="nil"/>
                    <w:bottom w:val="single" w:color="000000" w:sz="8" w:space="0"/>
                    <w:right w:val="single" w:color="000000" w:sz="8" w:space="0"/>
                  </w:tcBorders>
                  <w:shd w:val="clear" w:color="auto" w:fill="auto"/>
                  <w:vAlign w:val="center"/>
                </w:tcPr>
                <w:p w14:paraId="54E16F1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w:t>
                  </w:r>
                </w:p>
              </w:tc>
              <w:tc>
                <w:tcPr>
                  <w:tcW w:w="958" w:type="dxa"/>
                  <w:tcBorders>
                    <w:top w:val="nil"/>
                    <w:left w:val="nil"/>
                    <w:bottom w:val="single" w:color="000000" w:sz="8" w:space="0"/>
                    <w:right w:val="single" w:color="000000" w:sz="8" w:space="0"/>
                  </w:tcBorders>
                  <w:shd w:val="clear" w:color="auto" w:fill="auto"/>
                  <w:noWrap/>
                  <w:vAlign w:val="center"/>
                </w:tcPr>
                <w:p w14:paraId="05D96C5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843" w:type="dxa"/>
                  <w:tcBorders>
                    <w:top w:val="nil"/>
                    <w:left w:val="nil"/>
                    <w:bottom w:val="single" w:color="000000" w:sz="8" w:space="0"/>
                    <w:right w:val="single" w:color="000000" w:sz="8" w:space="0"/>
                  </w:tcBorders>
                  <w:shd w:val="clear" w:color="auto" w:fill="auto"/>
                  <w:vAlign w:val="center"/>
                </w:tcPr>
                <w:p w14:paraId="4CA1015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300</w:t>
                  </w:r>
                </w:p>
              </w:tc>
              <w:tc>
                <w:tcPr>
                  <w:tcW w:w="840" w:type="dxa"/>
                  <w:tcBorders>
                    <w:top w:val="nil"/>
                    <w:left w:val="nil"/>
                    <w:bottom w:val="single" w:color="000000" w:sz="8" w:space="0"/>
                    <w:right w:val="single" w:color="000000" w:sz="8" w:space="0"/>
                  </w:tcBorders>
                  <w:shd w:val="clear" w:color="auto" w:fill="auto"/>
                  <w:vAlign w:val="center"/>
                </w:tcPr>
                <w:p w14:paraId="79CBCF7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1036.8</w:t>
                  </w:r>
                </w:p>
              </w:tc>
              <w:tc>
                <w:tcPr>
                  <w:tcW w:w="777" w:type="dxa"/>
                  <w:vMerge w:val="continue"/>
                  <w:tcBorders>
                    <w:top w:val="nil"/>
                    <w:left w:val="nil"/>
                    <w:bottom w:val="single" w:color="000000" w:sz="8" w:space="0"/>
                    <w:right w:val="single" w:color="000000" w:sz="8" w:space="0"/>
                  </w:tcBorders>
                  <w:shd w:val="clear" w:color="auto" w:fill="auto"/>
                  <w:vAlign w:val="center"/>
                </w:tcPr>
                <w:p w14:paraId="0252F994">
                  <w:pPr>
                    <w:jc w:val="center"/>
                    <w:rPr>
                      <w:rFonts w:hint="default" w:ascii="Times New Roman" w:hAnsi="Times New Roman" w:eastAsia="宋体" w:cs="Times New Roman"/>
                      <w:i w:val="0"/>
                      <w:iCs w:val="0"/>
                      <w:color w:val="0000FF"/>
                      <w:sz w:val="21"/>
                      <w:szCs w:val="21"/>
                      <w:u w:val="none"/>
                    </w:rPr>
                  </w:pPr>
                </w:p>
              </w:tc>
            </w:tr>
            <w:tr w14:paraId="2FAFE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77" w:type="dxa"/>
                  <w:vMerge w:val="continue"/>
                  <w:tcBorders>
                    <w:left w:val="single" w:color="000000" w:sz="8" w:space="0"/>
                    <w:right w:val="single" w:color="000000" w:sz="8" w:space="0"/>
                  </w:tcBorders>
                  <w:shd w:val="clear" w:color="auto" w:fill="auto"/>
                  <w:noWrap/>
                  <w:vAlign w:val="center"/>
                </w:tcPr>
                <w:p w14:paraId="2CD6EA94">
                  <w:pPr>
                    <w:jc w:val="center"/>
                    <w:rPr>
                      <w:rFonts w:hint="eastAsia" w:ascii="宋体" w:hAnsi="宋体" w:eastAsia="宋体" w:cs="宋体"/>
                      <w:i w:val="0"/>
                      <w:iCs w:val="0"/>
                      <w:color w:val="0000FF"/>
                      <w:sz w:val="21"/>
                      <w:szCs w:val="21"/>
                      <w:u w:val="none"/>
                    </w:rPr>
                  </w:pPr>
                </w:p>
              </w:tc>
              <w:tc>
                <w:tcPr>
                  <w:tcW w:w="1392" w:type="dxa"/>
                  <w:tcBorders>
                    <w:top w:val="nil"/>
                    <w:left w:val="single" w:color="000000" w:sz="8" w:space="0"/>
                    <w:bottom w:val="single" w:color="000000" w:sz="8" w:space="0"/>
                    <w:right w:val="single" w:color="000000" w:sz="8" w:space="0"/>
                  </w:tcBorders>
                  <w:shd w:val="clear" w:color="auto" w:fill="auto"/>
                  <w:vAlign w:val="center"/>
                </w:tcPr>
                <w:p w14:paraId="4B77518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S-2000i450B</w:t>
                  </w:r>
                </w:p>
              </w:tc>
              <w:tc>
                <w:tcPr>
                  <w:tcW w:w="1933" w:type="dxa"/>
                  <w:tcBorders>
                    <w:top w:val="nil"/>
                    <w:left w:val="nil"/>
                    <w:bottom w:val="single" w:color="000000" w:sz="8" w:space="0"/>
                    <w:right w:val="single" w:color="000000" w:sz="8" w:space="0"/>
                  </w:tcBorders>
                  <w:shd w:val="clear" w:color="auto" w:fill="auto"/>
                  <w:vAlign w:val="center"/>
                </w:tcPr>
                <w:p w14:paraId="2AE463C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6~12</w:t>
                  </w:r>
                  <w:r>
                    <w:rPr>
                      <w:rFonts w:hint="eastAsia" w:ascii="宋体" w:hAnsi="宋体" w:eastAsia="宋体" w:cs="宋体"/>
                      <w:i w:val="0"/>
                      <w:iCs w:val="0"/>
                      <w:color w:val="0000FF"/>
                      <w:kern w:val="0"/>
                      <w:sz w:val="21"/>
                      <w:szCs w:val="21"/>
                      <w:u w:val="none"/>
                      <w:lang w:val="en-US" w:eastAsia="zh-CN" w:bidi="ar"/>
                    </w:rPr>
                    <w:t>（本次取值</w:t>
                  </w:r>
                  <w:r>
                    <w:rPr>
                      <w:rFonts w:hint="default" w:ascii="Times New Roman" w:hAnsi="Times New Roman" w:eastAsia="宋体" w:cs="Times New Roman"/>
                      <w:i w:val="0"/>
                      <w:iCs w:val="0"/>
                      <w:color w:val="0000FF"/>
                      <w:kern w:val="0"/>
                      <w:sz w:val="21"/>
                      <w:szCs w:val="21"/>
                      <w:u w:val="none"/>
                      <w:lang w:val="en-US" w:eastAsia="zh-CN" w:bidi="ar"/>
                    </w:rPr>
                    <w:t>12</w:t>
                  </w:r>
                  <w:r>
                    <w:rPr>
                      <w:rFonts w:hint="eastAsia" w:ascii="宋体" w:hAnsi="宋体" w:eastAsia="宋体" w:cs="宋体"/>
                      <w:i w:val="0"/>
                      <w:iCs w:val="0"/>
                      <w:color w:val="0000FF"/>
                      <w:kern w:val="0"/>
                      <w:sz w:val="21"/>
                      <w:szCs w:val="21"/>
                      <w:u w:val="none"/>
                      <w:lang w:val="en-US" w:eastAsia="zh-CN" w:bidi="ar"/>
                    </w:rPr>
                    <w:t>）</w:t>
                  </w:r>
                </w:p>
              </w:tc>
              <w:tc>
                <w:tcPr>
                  <w:tcW w:w="705" w:type="dxa"/>
                  <w:tcBorders>
                    <w:top w:val="nil"/>
                    <w:left w:val="single" w:color="000000" w:sz="8" w:space="0"/>
                    <w:bottom w:val="single" w:color="000000" w:sz="8" w:space="0"/>
                    <w:right w:val="single" w:color="000000" w:sz="8" w:space="0"/>
                  </w:tcBorders>
                  <w:shd w:val="clear" w:color="auto" w:fill="auto"/>
                  <w:vAlign w:val="center"/>
                </w:tcPr>
                <w:p w14:paraId="4665C6B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c>
                <w:tcPr>
                  <w:tcW w:w="651" w:type="dxa"/>
                  <w:tcBorders>
                    <w:top w:val="nil"/>
                    <w:left w:val="nil"/>
                    <w:bottom w:val="single" w:color="000000" w:sz="8" w:space="0"/>
                    <w:right w:val="single" w:color="000000" w:sz="8" w:space="0"/>
                  </w:tcBorders>
                  <w:shd w:val="clear" w:color="auto" w:fill="auto"/>
                  <w:vAlign w:val="center"/>
                </w:tcPr>
                <w:p w14:paraId="18CA220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w:t>
                  </w:r>
                </w:p>
              </w:tc>
              <w:tc>
                <w:tcPr>
                  <w:tcW w:w="958" w:type="dxa"/>
                  <w:tcBorders>
                    <w:top w:val="nil"/>
                    <w:left w:val="nil"/>
                    <w:bottom w:val="single" w:color="000000" w:sz="8" w:space="0"/>
                    <w:right w:val="single" w:color="000000" w:sz="8" w:space="0"/>
                  </w:tcBorders>
                  <w:shd w:val="clear" w:color="auto" w:fill="auto"/>
                  <w:noWrap/>
                  <w:vAlign w:val="center"/>
                </w:tcPr>
                <w:p w14:paraId="5250CB8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843" w:type="dxa"/>
                  <w:tcBorders>
                    <w:top w:val="nil"/>
                    <w:left w:val="nil"/>
                    <w:bottom w:val="single" w:color="000000" w:sz="8" w:space="0"/>
                    <w:right w:val="single" w:color="000000" w:sz="8" w:space="0"/>
                  </w:tcBorders>
                  <w:shd w:val="clear" w:color="auto" w:fill="auto"/>
                  <w:vAlign w:val="center"/>
                </w:tcPr>
                <w:p w14:paraId="01CDCAC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300</w:t>
                  </w:r>
                </w:p>
              </w:tc>
              <w:tc>
                <w:tcPr>
                  <w:tcW w:w="840" w:type="dxa"/>
                  <w:tcBorders>
                    <w:top w:val="nil"/>
                    <w:left w:val="nil"/>
                    <w:bottom w:val="single" w:color="000000" w:sz="8" w:space="0"/>
                    <w:right w:val="single" w:color="000000" w:sz="8" w:space="0"/>
                  </w:tcBorders>
                  <w:shd w:val="clear" w:color="auto" w:fill="auto"/>
                  <w:vAlign w:val="center"/>
                </w:tcPr>
                <w:p w14:paraId="5B0031B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518.4</w:t>
                  </w:r>
                </w:p>
              </w:tc>
              <w:tc>
                <w:tcPr>
                  <w:tcW w:w="777" w:type="dxa"/>
                  <w:vMerge w:val="continue"/>
                  <w:tcBorders>
                    <w:top w:val="nil"/>
                    <w:left w:val="nil"/>
                    <w:bottom w:val="single" w:color="000000" w:sz="8" w:space="0"/>
                    <w:right w:val="single" w:color="000000" w:sz="8" w:space="0"/>
                  </w:tcBorders>
                  <w:shd w:val="clear" w:color="auto" w:fill="auto"/>
                  <w:vAlign w:val="center"/>
                </w:tcPr>
                <w:p w14:paraId="7C7F1FE8">
                  <w:pPr>
                    <w:jc w:val="center"/>
                    <w:rPr>
                      <w:rFonts w:hint="default" w:ascii="Times New Roman" w:hAnsi="Times New Roman" w:eastAsia="宋体" w:cs="Times New Roman"/>
                      <w:i w:val="0"/>
                      <w:iCs w:val="0"/>
                      <w:color w:val="0000FF"/>
                      <w:sz w:val="21"/>
                      <w:szCs w:val="21"/>
                      <w:u w:val="none"/>
                    </w:rPr>
                  </w:pPr>
                </w:p>
              </w:tc>
            </w:tr>
            <w:tr w14:paraId="7F08A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77" w:type="dxa"/>
                  <w:vMerge w:val="continue"/>
                  <w:tcBorders>
                    <w:left w:val="single" w:color="000000" w:sz="8" w:space="0"/>
                    <w:bottom w:val="single" w:color="000000" w:sz="8" w:space="0"/>
                    <w:right w:val="single" w:color="000000" w:sz="8" w:space="0"/>
                  </w:tcBorders>
                  <w:shd w:val="clear" w:color="auto" w:fill="auto"/>
                  <w:noWrap/>
                  <w:vAlign w:val="center"/>
                </w:tcPr>
                <w:p w14:paraId="68DEADFA">
                  <w:pPr>
                    <w:jc w:val="center"/>
                    <w:rPr>
                      <w:rFonts w:hint="eastAsia" w:ascii="宋体" w:hAnsi="宋体" w:eastAsia="宋体" w:cs="宋体"/>
                      <w:i w:val="0"/>
                      <w:iCs w:val="0"/>
                      <w:color w:val="0000FF"/>
                      <w:sz w:val="21"/>
                      <w:szCs w:val="21"/>
                      <w:u w:val="none"/>
                    </w:rPr>
                  </w:pPr>
                </w:p>
              </w:tc>
              <w:tc>
                <w:tcPr>
                  <w:tcW w:w="1392" w:type="dxa"/>
                  <w:tcBorders>
                    <w:top w:val="nil"/>
                    <w:left w:val="single" w:color="000000" w:sz="8" w:space="0"/>
                    <w:bottom w:val="single" w:color="000000" w:sz="8" w:space="0"/>
                    <w:right w:val="single" w:color="000000" w:sz="8" w:space="0"/>
                  </w:tcBorders>
                  <w:shd w:val="clear" w:color="auto" w:fill="auto"/>
                  <w:vAlign w:val="center"/>
                </w:tcPr>
                <w:p w14:paraId="6F57603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SE450HDZ-C2200</w:t>
                  </w:r>
                </w:p>
              </w:tc>
              <w:tc>
                <w:tcPr>
                  <w:tcW w:w="1933" w:type="dxa"/>
                  <w:tcBorders>
                    <w:top w:val="nil"/>
                    <w:left w:val="nil"/>
                    <w:bottom w:val="single" w:color="000000" w:sz="8" w:space="0"/>
                    <w:right w:val="single" w:color="000000" w:sz="8" w:space="0"/>
                  </w:tcBorders>
                  <w:shd w:val="clear" w:color="auto" w:fill="auto"/>
                  <w:vAlign w:val="center"/>
                </w:tcPr>
                <w:p w14:paraId="576A2BD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6~12</w:t>
                  </w:r>
                  <w:r>
                    <w:rPr>
                      <w:rFonts w:hint="eastAsia" w:ascii="宋体" w:hAnsi="宋体" w:eastAsia="宋体" w:cs="宋体"/>
                      <w:i w:val="0"/>
                      <w:iCs w:val="0"/>
                      <w:color w:val="0000FF"/>
                      <w:kern w:val="0"/>
                      <w:sz w:val="21"/>
                      <w:szCs w:val="21"/>
                      <w:u w:val="none"/>
                      <w:lang w:val="en-US" w:eastAsia="zh-CN" w:bidi="ar"/>
                    </w:rPr>
                    <w:t>（本次取值</w:t>
                  </w:r>
                  <w:r>
                    <w:rPr>
                      <w:rFonts w:hint="default" w:ascii="Times New Roman" w:hAnsi="Times New Roman" w:eastAsia="宋体" w:cs="Times New Roman"/>
                      <w:i w:val="0"/>
                      <w:iCs w:val="0"/>
                      <w:color w:val="0000FF"/>
                      <w:kern w:val="0"/>
                      <w:sz w:val="21"/>
                      <w:szCs w:val="21"/>
                      <w:u w:val="none"/>
                      <w:lang w:val="en-US" w:eastAsia="zh-CN" w:bidi="ar"/>
                    </w:rPr>
                    <w:t>12</w:t>
                  </w:r>
                  <w:r>
                    <w:rPr>
                      <w:rFonts w:hint="eastAsia" w:ascii="宋体" w:hAnsi="宋体" w:eastAsia="宋体" w:cs="宋体"/>
                      <w:i w:val="0"/>
                      <w:iCs w:val="0"/>
                      <w:color w:val="0000FF"/>
                      <w:kern w:val="0"/>
                      <w:sz w:val="21"/>
                      <w:szCs w:val="21"/>
                      <w:u w:val="none"/>
                      <w:lang w:val="en-US" w:eastAsia="zh-CN" w:bidi="ar"/>
                    </w:rPr>
                    <w:t>）</w:t>
                  </w:r>
                </w:p>
              </w:tc>
              <w:tc>
                <w:tcPr>
                  <w:tcW w:w="705" w:type="dxa"/>
                  <w:tcBorders>
                    <w:top w:val="nil"/>
                    <w:left w:val="single" w:color="000000" w:sz="8" w:space="0"/>
                    <w:bottom w:val="single" w:color="000000" w:sz="8" w:space="0"/>
                    <w:right w:val="single" w:color="000000" w:sz="8" w:space="0"/>
                  </w:tcBorders>
                  <w:shd w:val="clear" w:color="auto" w:fill="auto"/>
                  <w:vAlign w:val="center"/>
                </w:tcPr>
                <w:p w14:paraId="38B78A7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c>
                <w:tcPr>
                  <w:tcW w:w="651" w:type="dxa"/>
                  <w:tcBorders>
                    <w:top w:val="nil"/>
                    <w:left w:val="nil"/>
                    <w:bottom w:val="single" w:color="000000" w:sz="8" w:space="0"/>
                    <w:right w:val="single" w:color="000000" w:sz="8" w:space="0"/>
                  </w:tcBorders>
                  <w:shd w:val="clear" w:color="auto" w:fill="auto"/>
                  <w:vAlign w:val="center"/>
                </w:tcPr>
                <w:p w14:paraId="6DD3076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w:t>
                  </w:r>
                </w:p>
              </w:tc>
              <w:tc>
                <w:tcPr>
                  <w:tcW w:w="958" w:type="dxa"/>
                  <w:tcBorders>
                    <w:top w:val="nil"/>
                    <w:left w:val="nil"/>
                    <w:bottom w:val="single" w:color="000000" w:sz="8" w:space="0"/>
                    <w:right w:val="single" w:color="000000" w:sz="8" w:space="0"/>
                  </w:tcBorders>
                  <w:shd w:val="clear" w:color="auto" w:fill="auto"/>
                  <w:noWrap/>
                  <w:vAlign w:val="center"/>
                </w:tcPr>
                <w:p w14:paraId="1417B15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843" w:type="dxa"/>
                  <w:tcBorders>
                    <w:top w:val="nil"/>
                    <w:left w:val="nil"/>
                    <w:bottom w:val="single" w:color="000000" w:sz="8" w:space="0"/>
                    <w:right w:val="single" w:color="000000" w:sz="8" w:space="0"/>
                  </w:tcBorders>
                  <w:shd w:val="clear" w:color="auto" w:fill="auto"/>
                  <w:vAlign w:val="center"/>
                </w:tcPr>
                <w:p w14:paraId="51F9911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300</w:t>
                  </w:r>
                </w:p>
              </w:tc>
              <w:tc>
                <w:tcPr>
                  <w:tcW w:w="840" w:type="dxa"/>
                  <w:tcBorders>
                    <w:top w:val="nil"/>
                    <w:left w:val="nil"/>
                    <w:bottom w:val="single" w:color="000000" w:sz="8" w:space="0"/>
                    <w:right w:val="single" w:color="000000" w:sz="8" w:space="0"/>
                  </w:tcBorders>
                  <w:shd w:val="clear" w:color="auto" w:fill="auto"/>
                  <w:vAlign w:val="center"/>
                </w:tcPr>
                <w:p w14:paraId="4A5439A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518.4</w:t>
                  </w:r>
                </w:p>
              </w:tc>
              <w:tc>
                <w:tcPr>
                  <w:tcW w:w="777" w:type="dxa"/>
                  <w:vMerge w:val="continue"/>
                  <w:tcBorders>
                    <w:top w:val="nil"/>
                    <w:left w:val="nil"/>
                    <w:bottom w:val="single" w:color="000000" w:sz="8" w:space="0"/>
                    <w:right w:val="single" w:color="000000" w:sz="8" w:space="0"/>
                  </w:tcBorders>
                  <w:shd w:val="clear" w:color="auto" w:fill="auto"/>
                  <w:vAlign w:val="center"/>
                </w:tcPr>
                <w:p w14:paraId="32CA7CE2">
                  <w:pPr>
                    <w:jc w:val="center"/>
                    <w:rPr>
                      <w:rFonts w:hint="default" w:ascii="Times New Roman" w:hAnsi="Times New Roman" w:eastAsia="宋体" w:cs="Times New Roman"/>
                      <w:i w:val="0"/>
                      <w:iCs w:val="0"/>
                      <w:color w:val="0000FF"/>
                      <w:sz w:val="21"/>
                      <w:szCs w:val="21"/>
                      <w:u w:val="none"/>
                    </w:rPr>
                  </w:pPr>
                </w:p>
              </w:tc>
            </w:tr>
            <w:tr w14:paraId="2293B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859" w:type="dxa"/>
                  <w:gridSpan w:val="7"/>
                  <w:tcBorders>
                    <w:top w:val="nil"/>
                    <w:left w:val="single" w:color="000000" w:sz="8" w:space="0"/>
                    <w:bottom w:val="single" w:color="000000" w:sz="8" w:space="0"/>
                    <w:right w:val="single" w:color="000000" w:sz="8" w:space="0"/>
                  </w:tcBorders>
                  <w:shd w:val="clear" w:color="auto" w:fill="auto"/>
                  <w:noWrap/>
                  <w:vAlign w:val="center"/>
                </w:tcPr>
                <w:p w14:paraId="47E30B16">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合计</w:t>
                  </w:r>
                </w:p>
              </w:tc>
              <w:tc>
                <w:tcPr>
                  <w:tcW w:w="840" w:type="dxa"/>
                  <w:tcBorders>
                    <w:top w:val="nil"/>
                    <w:left w:val="nil"/>
                    <w:bottom w:val="single" w:color="000000" w:sz="8" w:space="0"/>
                    <w:right w:val="single" w:color="000000" w:sz="8" w:space="0"/>
                  </w:tcBorders>
                  <w:shd w:val="clear" w:color="auto" w:fill="auto"/>
                  <w:noWrap/>
                  <w:vAlign w:val="center"/>
                </w:tcPr>
                <w:p w14:paraId="7110402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17280</w:t>
                  </w:r>
                </w:p>
              </w:tc>
              <w:tc>
                <w:tcPr>
                  <w:tcW w:w="777" w:type="dxa"/>
                  <w:tcBorders>
                    <w:top w:val="nil"/>
                    <w:left w:val="nil"/>
                    <w:bottom w:val="single" w:color="000000" w:sz="8" w:space="0"/>
                    <w:right w:val="single" w:color="000000" w:sz="8" w:space="0"/>
                  </w:tcBorders>
                  <w:shd w:val="clear" w:color="auto" w:fill="auto"/>
                  <w:noWrap/>
                  <w:vAlign w:val="center"/>
                </w:tcPr>
                <w:p w14:paraId="1E71D4B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r>
                    <w:rPr>
                      <w:rFonts w:hint="eastAsia" w:ascii="Times New Roman" w:hAnsi="Times New Roman" w:eastAsia="宋体" w:cs="Times New Roman"/>
                      <w:i w:val="0"/>
                      <w:iCs w:val="0"/>
                      <w:color w:val="0000FF"/>
                      <w:kern w:val="0"/>
                      <w:sz w:val="21"/>
                      <w:szCs w:val="21"/>
                      <w:u w:val="none"/>
                      <w:lang w:val="en-US" w:eastAsia="zh-CN" w:bidi="ar"/>
                    </w:rPr>
                    <w:t>6</w:t>
                  </w:r>
                  <w:r>
                    <w:rPr>
                      <w:rFonts w:hint="default" w:ascii="Times New Roman" w:hAnsi="Times New Roman" w:eastAsia="宋体" w:cs="Times New Roman"/>
                      <w:i w:val="0"/>
                      <w:iCs w:val="0"/>
                      <w:color w:val="0000FF"/>
                      <w:kern w:val="0"/>
                      <w:sz w:val="21"/>
                      <w:szCs w:val="21"/>
                      <w:u w:val="none"/>
                      <w:lang w:val="en-US" w:eastAsia="zh-CN" w:bidi="ar"/>
                    </w:rPr>
                    <w:t>000</w:t>
                  </w:r>
                </w:p>
              </w:tc>
            </w:tr>
          </w:tbl>
          <w:p w14:paraId="2C31EBB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bCs/>
                <w:color w:val="0000FF"/>
                <w:sz w:val="24"/>
              </w:rPr>
            </w:pPr>
            <w:r>
              <w:rPr>
                <w:rFonts w:hint="eastAsia"/>
                <w:bCs/>
                <w:color w:val="0000FF"/>
                <w:sz w:val="24"/>
                <w:lang w:val="en-US" w:eastAsia="zh-CN"/>
              </w:rPr>
              <w:t>根据上表可知，本项目注塑</w:t>
            </w:r>
            <w:r>
              <w:rPr>
                <w:rFonts w:hint="eastAsia"/>
                <w:bCs/>
                <w:color w:val="0000FF"/>
                <w:sz w:val="24"/>
              </w:rPr>
              <w:t>生产设备的生产能力能够满足设计规模</w:t>
            </w:r>
            <w:r>
              <w:rPr>
                <w:rFonts w:hint="eastAsia"/>
                <w:bCs/>
                <w:color w:val="0000FF"/>
                <w:sz w:val="24"/>
                <w:lang w:eastAsia="zh-CN"/>
              </w:rPr>
              <w:t>。</w:t>
            </w:r>
          </w:p>
          <w:p w14:paraId="22D8EC9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0000FF"/>
                <w:sz w:val="24"/>
                <w:highlight w:val="none"/>
              </w:rPr>
            </w:pPr>
            <w:r>
              <w:rPr>
                <w:rFonts w:hint="eastAsia"/>
                <w:bCs/>
                <w:color w:val="0000FF"/>
                <w:sz w:val="24"/>
              </w:rPr>
              <w:t>本项目</w:t>
            </w:r>
            <w:r>
              <w:rPr>
                <w:rFonts w:hint="eastAsia"/>
                <w:bCs/>
                <w:color w:val="0000FF"/>
                <w:sz w:val="24"/>
                <w:lang w:val="en-US" w:eastAsia="zh-CN"/>
              </w:rPr>
              <w:t>移印设备</w:t>
            </w:r>
            <w:r>
              <w:rPr>
                <w:rFonts w:hint="eastAsia"/>
                <w:bCs/>
                <w:color w:val="0000FF"/>
                <w:sz w:val="24"/>
              </w:rPr>
              <w:t>匹配性核定详见</w:t>
            </w:r>
            <w:r>
              <w:rPr>
                <w:rFonts w:hint="eastAsia"/>
                <w:bCs/>
                <w:color w:val="0000FF"/>
                <w:sz w:val="24"/>
                <w:lang w:val="en-US" w:eastAsia="zh-CN"/>
              </w:rPr>
              <w:t>表2.2-8。</w:t>
            </w:r>
          </w:p>
          <w:p w14:paraId="3A1537F1">
            <w:pPr>
              <w:adjustRightInd w:val="0"/>
              <w:snapToGrid w:val="0"/>
              <w:spacing w:line="240" w:lineRule="auto"/>
              <w:jc w:val="center"/>
              <w:rPr>
                <w:rFonts w:hint="default" w:ascii="Times New Roman" w:hAnsi="Times New Roman" w:cs="Times New Roman"/>
                <w:bCs/>
                <w:color w:val="auto"/>
                <w:sz w:val="24"/>
                <w:highlight w:val="none"/>
              </w:rPr>
            </w:pPr>
            <w:r>
              <w:rPr>
                <w:rFonts w:hint="default" w:ascii="Times New Roman" w:hAnsi="Times New Roman" w:cs="Times New Roman"/>
                <w:b/>
                <w:color w:val="auto"/>
                <w:kern w:val="0"/>
                <w:sz w:val="24"/>
                <w:szCs w:val="24"/>
                <w:highlight w:val="none"/>
                <w:lang w:val="en-US" w:eastAsia="zh-CN"/>
              </w:rPr>
              <w:t>表2.2-</w:t>
            </w:r>
            <w:r>
              <w:rPr>
                <w:rFonts w:hint="eastAsia" w:cs="Times New Roman"/>
                <w:b/>
                <w:color w:val="auto"/>
                <w:kern w:val="0"/>
                <w:sz w:val="24"/>
                <w:szCs w:val="24"/>
                <w:highlight w:val="none"/>
                <w:lang w:val="en-US" w:eastAsia="zh-CN"/>
              </w:rPr>
              <w:t>8</w:t>
            </w:r>
            <w:r>
              <w:rPr>
                <w:rFonts w:hint="default" w:ascii="Times New Roman" w:hAnsi="Times New Roman" w:cs="Times New Roman"/>
                <w:b/>
                <w:color w:val="auto"/>
                <w:kern w:val="0"/>
                <w:sz w:val="24"/>
                <w:szCs w:val="24"/>
                <w:highlight w:val="none"/>
                <w:lang w:val="en-US" w:eastAsia="zh-CN"/>
              </w:rPr>
              <w:t xml:space="preserve">  </w:t>
            </w:r>
            <w:r>
              <w:rPr>
                <w:rFonts w:hint="eastAsia" w:cs="Times New Roman"/>
                <w:b/>
                <w:color w:val="auto"/>
                <w:kern w:val="0"/>
                <w:sz w:val="24"/>
                <w:szCs w:val="24"/>
                <w:highlight w:val="none"/>
                <w:lang w:val="en-US" w:eastAsia="zh-CN"/>
              </w:rPr>
              <w:t>移印</w:t>
            </w:r>
            <w:r>
              <w:rPr>
                <w:rFonts w:hint="default" w:ascii="Times New Roman" w:hAnsi="Times New Roman" w:cs="Times New Roman"/>
                <w:b/>
                <w:color w:val="auto"/>
                <w:kern w:val="0"/>
                <w:sz w:val="24"/>
                <w:szCs w:val="24"/>
                <w:highlight w:val="none"/>
              </w:rPr>
              <w:t>产能匹配性核定一览表</w:t>
            </w:r>
          </w:p>
          <w:tbl>
            <w:tblPr>
              <w:tblStyle w:val="35"/>
              <w:tblW w:w="860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71"/>
              <w:gridCol w:w="924"/>
              <w:gridCol w:w="888"/>
              <w:gridCol w:w="1165"/>
              <w:gridCol w:w="845"/>
              <w:gridCol w:w="699"/>
              <w:gridCol w:w="801"/>
              <w:gridCol w:w="888"/>
              <w:gridCol w:w="874"/>
              <w:gridCol w:w="852"/>
            </w:tblGrid>
            <w:tr w14:paraId="59F68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671" w:type="dxa"/>
                  <w:tcBorders>
                    <w:top w:val="single" w:color="000000" w:sz="4" w:space="0"/>
                    <w:left w:val="single" w:color="000000" w:sz="4" w:space="0"/>
                    <w:bottom w:val="single" w:color="000000" w:sz="4" w:space="0"/>
                    <w:right w:val="single" w:color="000000" w:sz="4" w:space="0"/>
                  </w:tcBorders>
                  <w:noWrap w:val="0"/>
                  <w:vAlign w:val="center"/>
                </w:tcPr>
                <w:p w14:paraId="75DF854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生产工艺</w:t>
                  </w:r>
                </w:p>
              </w:tc>
              <w:tc>
                <w:tcPr>
                  <w:tcW w:w="924" w:type="dxa"/>
                  <w:tcBorders>
                    <w:top w:val="single" w:color="000000" w:sz="4" w:space="0"/>
                    <w:left w:val="single" w:color="000000" w:sz="4" w:space="0"/>
                    <w:bottom w:val="single" w:color="000000" w:sz="4" w:space="0"/>
                    <w:right w:val="single" w:color="000000" w:sz="4" w:space="0"/>
                  </w:tcBorders>
                  <w:noWrap w:val="0"/>
                  <w:vAlign w:val="center"/>
                </w:tcPr>
                <w:p w14:paraId="3195AA41">
                  <w:pPr>
                    <w:keepNext w:val="0"/>
                    <w:keepLines w:val="0"/>
                    <w:widowControl/>
                    <w:suppressLineNumbers w:val="0"/>
                    <w:jc w:val="both"/>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产品名称</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F5BDBA5">
                  <w:pPr>
                    <w:keepNext w:val="0"/>
                    <w:keepLines w:val="0"/>
                    <w:widowControl/>
                    <w:suppressLineNumbers w:val="0"/>
                    <w:jc w:val="both"/>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一批次生产个数（个）</w:t>
                  </w:r>
                </w:p>
              </w:tc>
              <w:tc>
                <w:tcPr>
                  <w:tcW w:w="1165" w:type="dxa"/>
                  <w:tcBorders>
                    <w:top w:val="single" w:color="000000" w:sz="4" w:space="0"/>
                    <w:left w:val="single" w:color="000000" w:sz="4" w:space="0"/>
                    <w:bottom w:val="single" w:color="000000" w:sz="4" w:space="0"/>
                    <w:right w:val="single" w:color="000000" w:sz="4" w:space="0"/>
                  </w:tcBorders>
                  <w:noWrap/>
                  <w:vAlign w:val="center"/>
                </w:tcPr>
                <w:p w14:paraId="1A8AD371">
                  <w:pPr>
                    <w:keepNext w:val="0"/>
                    <w:keepLines w:val="0"/>
                    <w:widowControl/>
                    <w:suppressLineNumbers w:val="0"/>
                    <w:jc w:val="both"/>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一批次生产时间（s）</w:t>
                  </w:r>
                </w:p>
              </w:tc>
              <w:tc>
                <w:tcPr>
                  <w:tcW w:w="845" w:type="dxa"/>
                  <w:tcBorders>
                    <w:top w:val="single" w:color="000000" w:sz="4" w:space="0"/>
                    <w:left w:val="single" w:color="000000" w:sz="4" w:space="0"/>
                    <w:bottom w:val="single" w:color="000000" w:sz="4" w:space="0"/>
                    <w:right w:val="single" w:color="000000" w:sz="4" w:space="0"/>
                  </w:tcBorders>
                  <w:noWrap/>
                  <w:vAlign w:val="center"/>
                </w:tcPr>
                <w:p w14:paraId="0597723D">
                  <w:pPr>
                    <w:keepNext w:val="0"/>
                    <w:keepLines w:val="0"/>
                    <w:widowControl/>
                    <w:suppressLineNumbers w:val="0"/>
                    <w:jc w:val="both"/>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设备数量（台）</w:t>
                  </w: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7174B121">
                  <w:pPr>
                    <w:keepNext w:val="0"/>
                    <w:keepLines w:val="0"/>
                    <w:widowControl/>
                    <w:suppressLineNumbers w:val="0"/>
                    <w:jc w:val="both"/>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每天生产（h）</w:t>
                  </w:r>
                </w:p>
              </w:tc>
              <w:tc>
                <w:tcPr>
                  <w:tcW w:w="801" w:type="dxa"/>
                  <w:tcBorders>
                    <w:top w:val="single" w:color="000000" w:sz="4" w:space="0"/>
                    <w:left w:val="single" w:color="000000" w:sz="4" w:space="0"/>
                    <w:bottom w:val="single" w:color="000000" w:sz="4" w:space="0"/>
                    <w:right w:val="single" w:color="000000" w:sz="4" w:space="0"/>
                  </w:tcBorders>
                  <w:noWrap/>
                  <w:vAlign w:val="center"/>
                </w:tcPr>
                <w:p w14:paraId="0F553E63">
                  <w:pPr>
                    <w:keepNext w:val="0"/>
                    <w:keepLines w:val="0"/>
                    <w:widowControl/>
                    <w:suppressLineNumbers w:val="0"/>
                    <w:jc w:val="both"/>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年生产天数（d）</w:t>
                  </w: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2A2668CF">
                  <w:pPr>
                    <w:keepNext w:val="0"/>
                    <w:keepLines w:val="0"/>
                    <w:widowControl/>
                    <w:suppressLineNumbers w:val="0"/>
                    <w:jc w:val="both"/>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工序重复生产次数</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30385C4B">
                  <w:pPr>
                    <w:keepNext w:val="0"/>
                    <w:keepLines w:val="0"/>
                    <w:widowControl/>
                    <w:suppressLineNumbers w:val="0"/>
                    <w:jc w:val="both"/>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核算规模（万件）</w:t>
                  </w:r>
                </w:p>
              </w:tc>
              <w:tc>
                <w:tcPr>
                  <w:tcW w:w="852" w:type="dxa"/>
                  <w:tcBorders>
                    <w:top w:val="single" w:color="000000" w:sz="4" w:space="0"/>
                    <w:left w:val="single" w:color="000000" w:sz="4" w:space="0"/>
                    <w:bottom w:val="single" w:color="000000" w:sz="4" w:space="0"/>
                    <w:right w:val="single" w:color="000000" w:sz="4" w:space="0"/>
                  </w:tcBorders>
                  <w:noWrap w:val="0"/>
                  <w:vAlign w:val="center"/>
                </w:tcPr>
                <w:p w14:paraId="02F89E70">
                  <w:pPr>
                    <w:keepNext w:val="0"/>
                    <w:keepLines w:val="0"/>
                    <w:widowControl/>
                    <w:suppressLineNumbers w:val="0"/>
                    <w:jc w:val="both"/>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设计规模（万件）</w:t>
                  </w:r>
                </w:p>
              </w:tc>
            </w:tr>
            <w:tr w14:paraId="1DF69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71" w:type="dxa"/>
                  <w:tcBorders>
                    <w:top w:val="single" w:color="000000" w:sz="4" w:space="0"/>
                    <w:left w:val="single" w:color="000000" w:sz="4" w:space="0"/>
                    <w:bottom w:val="single" w:color="000000" w:sz="4" w:space="0"/>
                    <w:right w:val="single" w:color="000000" w:sz="4" w:space="0"/>
                  </w:tcBorders>
                  <w:noWrap w:val="0"/>
                  <w:vAlign w:val="center"/>
                </w:tcPr>
                <w:p w14:paraId="2465F171">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sz w:val="21"/>
                      <w:szCs w:val="21"/>
                      <w:u w:val="none"/>
                    </w:rPr>
                    <w:t>移印</w:t>
                  </w:r>
                </w:p>
              </w:tc>
              <w:tc>
                <w:tcPr>
                  <w:tcW w:w="924" w:type="dxa"/>
                  <w:tcBorders>
                    <w:top w:val="single" w:color="000000" w:sz="4" w:space="0"/>
                    <w:left w:val="single" w:color="000000" w:sz="4" w:space="0"/>
                    <w:bottom w:val="single" w:color="000000" w:sz="4" w:space="0"/>
                    <w:right w:val="single" w:color="000000" w:sz="4" w:space="0"/>
                  </w:tcBorders>
                  <w:noWrap w:val="0"/>
                  <w:vAlign w:val="center"/>
                </w:tcPr>
                <w:p w14:paraId="4D842E06">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u w:val="none"/>
                    </w:rPr>
                  </w:pPr>
                  <w:r>
                    <w:rPr>
                      <w:rFonts w:hint="eastAsia" w:ascii="Times New Roman" w:hAnsi="Times New Roman" w:eastAsia="宋体" w:cs="Times New Roman"/>
                      <w:b w:val="0"/>
                      <w:bCs w:val="0"/>
                      <w:i w:val="0"/>
                      <w:iCs w:val="0"/>
                      <w:color w:val="auto"/>
                      <w:kern w:val="0"/>
                      <w:sz w:val="21"/>
                      <w:szCs w:val="21"/>
                      <w:u w:val="none"/>
                      <w:lang w:val="en-US" w:eastAsia="zh-CN" w:bidi="ar"/>
                    </w:rPr>
                    <w:t>路由器</w:t>
                  </w: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6CCA1A4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165" w:type="dxa"/>
                  <w:tcBorders>
                    <w:top w:val="single" w:color="000000" w:sz="4" w:space="0"/>
                    <w:left w:val="single" w:color="000000" w:sz="4" w:space="0"/>
                    <w:bottom w:val="single" w:color="000000" w:sz="4" w:space="0"/>
                    <w:right w:val="single" w:color="000000" w:sz="4" w:space="0"/>
                  </w:tcBorders>
                  <w:noWrap w:val="0"/>
                  <w:vAlign w:val="center"/>
                </w:tcPr>
                <w:p w14:paraId="2EC9DB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30</w:t>
                  </w:r>
                </w:p>
              </w:tc>
              <w:tc>
                <w:tcPr>
                  <w:tcW w:w="845" w:type="dxa"/>
                  <w:tcBorders>
                    <w:top w:val="single" w:color="000000" w:sz="4" w:space="0"/>
                    <w:left w:val="single" w:color="000000" w:sz="4" w:space="0"/>
                    <w:bottom w:val="single" w:color="000000" w:sz="4" w:space="0"/>
                    <w:right w:val="single" w:color="000000" w:sz="4" w:space="0"/>
                  </w:tcBorders>
                  <w:noWrap w:val="0"/>
                  <w:vAlign w:val="center"/>
                </w:tcPr>
                <w:p w14:paraId="1FC9CF4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15</w:t>
                  </w:r>
                </w:p>
              </w:tc>
              <w:tc>
                <w:tcPr>
                  <w:tcW w:w="699" w:type="dxa"/>
                  <w:tcBorders>
                    <w:top w:val="single" w:color="000000" w:sz="4" w:space="0"/>
                    <w:left w:val="single" w:color="000000" w:sz="4" w:space="0"/>
                    <w:bottom w:val="single" w:color="000000" w:sz="4" w:space="0"/>
                    <w:right w:val="single" w:color="000000" w:sz="4" w:space="0"/>
                  </w:tcBorders>
                  <w:noWrap w:val="0"/>
                  <w:vAlign w:val="center"/>
                </w:tcPr>
                <w:p w14:paraId="10F3D0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17E056B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32B6DF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5B53FA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162</w:t>
                  </w:r>
                </w:p>
              </w:tc>
              <w:tc>
                <w:tcPr>
                  <w:tcW w:w="852" w:type="dxa"/>
                  <w:tcBorders>
                    <w:top w:val="single" w:color="000000" w:sz="4" w:space="0"/>
                    <w:left w:val="single" w:color="000000" w:sz="4" w:space="0"/>
                    <w:bottom w:val="single" w:color="000000" w:sz="4" w:space="0"/>
                    <w:right w:val="single" w:color="000000" w:sz="4" w:space="0"/>
                  </w:tcBorders>
                  <w:noWrap w:val="0"/>
                  <w:vAlign w:val="center"/>
                </w:tcPr>
                <w:p w14:paraId="730C8E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150</w:t>
                  </w:r>
                </w:p>
              </w:tc>
            </w:tr>
            <w:tr w14:paraId="6C7F3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671" w:type="dxa"/>
                  <w:vMerge w:val="restart"/>
                  <w:tcBorders>
                    <w:top w:val="single" w:color="000000" w:sz="4" w:space="0"/>
                    <w:left w:val="single" w:color="000000" w:sz="4" w:space="0"/>
                    <w:bottom w:val="single" w:color="000000" w:sz="4" w:space="0"/>
                    <w:right w:val="single" w:color="000000" w:sz="4" w:space="0"/>
                  </w:tcBorders>
                  <w:noWrap w:val="0"/>
                  <w:vAlign w:val="center"/>
                </w:tcPr>
                <w:p w14:paraId="3EA91529">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隧道炉烘烤</w:t>
                  </w:r>
                </w:p>
              </w:tc>
              <w:tc>
                <w:tcPr>
                  <w:tcW w:w="924" w:type="dxa"/>
                  <w:tcBorders>
                    <w:top w:val="single" w:color="000000" w:sz="4" w:space="0"/>
                    <w:left w:val="single" w:color="000000" w:sz="4" w:space="0"/>
                    <w:bottom w:val="single" w:color="000000" w:sz="4" w:space="0"/>
                    <w:right w:val="single" w:color="000000" w:sz="4" w:space="0"/>
                  </w:tcBorders>
                  <w:noWrap w:val="0"/>
                  <w:vAlign w:val="center"/>
                </w:tcPr>
                <w:p w14:paraId="373FB707">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产品名称</w:t>
                  </w: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0C1E37F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一批次生产个数（个）</w:t>
                  </w:r>
                </w:p>
              </w:tc>
              <w:tc>
                <w:tcPr>
                  <w:tcW w:w="1165" w:type="dxa"/>
                  <w:tcBorders>
                    <w:top w:val="single" w:color="000000" w:sz="4" w:space="0"/>
                    <w:left w:val="single" w:color="000000" w:sz="4" w:space="0"/>
                    <w:bottom w:val="single" w:color="000000" w:sz="4" w:space="0"/>
                    <w:right w:val="single" w:color="000000" w:sz="4" w:space="0"/>
                  </w:tcBorders>
                  <w:noWrap/>
                  <w:vAlign w:val="center"/>
                </w:tcPr>
                <w:p w14:paraId="5B573D4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皮带运行速率（m/min）</w:t>
                  </w:r>
                </w:p>
              </w:tc>
              <w:tc>
                <w:tcPr>
                  <w:tcW w:w="845" w:type="dxa"/>
                  <w:tcBorders>
                    <w:top w:val="single" w:color="000000" w:sz="4" w:space="0"/>
                    <w:left w:val="single" w:color="000000" w:sz="4" w:space="0"/>
                    <w:bottom w:val="single" w:color="000000" w:sz="4" w:space="0"/>
                    <w:right w:val="single" w:color="000000" w:sz="4" w:space="0"/>
                  </w:tcBorders>
                  <w:noWrap/>
                  <w:vAlign w:val="center"/>
                </w:tcPr>
                <w:p w14:paraId="6C9AC7C6">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设备数量（台）</w:t>
                  </w:r>
                </w:p>
              </w:tc>
              <w:tc>
                <w:tcPr>
                  <w:tcW w:w="699" w:type="dxa"/>
                  <w:tcBorders>
                    <w:top w:val="single" w:color="000000" w:sz="4" w:space="0"/>
                    <w:left w:val="single" w:color="000000" w:sz="4" w:space="0"/>
                    <w:bottom w:val="single" w:color="000000" w:sz="4" w:space="0"/>
                    <w:right w:val="single" w:color="000000" w:sz="4" w:space="0"/>
                  </w:tcBorders>
                  <w:noWrap/>
                  <w:vAlign w:val="center"/>
                </w:tcPr>
                <w:p w14:paraId="4D4E4EB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每天生产（h）</w:t>
                  </w:r>
                </w:p>
              </w:tc>
              <w:tc>
                <w:tcPr>
                  <w:tcW w:w="801" w:type="dxa"/>
                  <w:tcBorders>
                    <w:top w:val="single" w:color="000000" w:sz="4" w:space="0"/>
                    <w:left w:val="single" w:color="000000" w:sz="4" w:space="0"/>
                    <w:bottom w:val="single" w:color="000000" w:sz="4" w:space="0"/>
                    <w:right w:val="single" w:color="000000" w:sz="4" w:space="0"/>
                  </w:tcBorders>
                  <w:noWrap/>
                  <w:vAlign w:val="center"/>
                </w:tcPr>
                <w:p w14:paraId="1A3CD164">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年生产天数（d）</w:t>
                  </w: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52612E07">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工序重复生产次数</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2846E169">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核算规模（万件）</w:t>
                  </w:r>
                </w:p>
              </w:tc>
              <w:tc>
                <w:tcPr>
                  <w:tcW w:w="852" w:type="dxa"/>
                  <w:tcBorders>
                    <w:top w:val="single" w:color="000000" w:sz="4" w:space="0"/>
                    <w:left w:val="single" w:color="000000" w:sz="4" w:space="0"/>
                    <w:bottom w:val="single" w:color="000000" w:sz="4" w:space="0"/>
                    <w:right w:val="single" w:color="000000" w:sz="4" w:space="0"/>
                  </w:tcBorders>
                  <w:noWrap/>
                  <w:vAlign w:val="center"/>
                </w:tcPr>
                <w:p w14:paraId="3D1C1792">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设计规模（万件）</w:t>
                  </w:r>
                </w:p>
              </w:tc>
            </w:tr>
            <w:tr w14:paraId="4AE4D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7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CEDD6E3">
                  <w:pPr>
                    <w:jc w:val="center"/>
                    <w:rPr>
                      <w:rFonts w:hint="default" w:ascii="Times New Roman" w:hAnsi="Times New Roman" w:eastAsia="宋体" w:cs="Times New Roman"/>
                      <w:b/>
                      <w:bCs/>
                      <w:i w:val="0"/>
                      <w:iCs w:val="0"/>
                      <w:color w:val="auto"/>
                      <w:sz w:val="21"/>
                      <w:szCs w:val="21"/>
                      <w:u w:val="none"/>
                    </w:rPr>
                  </w:pPr>
                </w:p>
              </w:tc>
              <w:tc>
                <w:tcPr>
                  <w:tcW w:w="924" w:type="dxa"/>
                  <w:tcBorders>
                    <w:top w:val="single" w:color="000000" w:sz="4" w:space="0"/>
                    <w:left w:val="single" w:color="000000" w:sz="4" w:space="0"/>
                    <w:bottom w:val="single" w:color="000000" w:sz="4" w:space="0"/>
                    <w:right w:val="single" w:color="000000" w:sz="4" w:space="0"/>
                  </w:tcBorders>
                  <w:noWrap w:val="0"/>
                  <w:vAlign w:val="center"/>
                </w:tcPr>
                <w:p w14:paraId="12C5BF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路由器</w:t>
                  </w: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281885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1165" w:type="dxa"/>
                  <w:tcBorders>
                    <w:top w:val="single" w:color="000000" w:sz="4" w:space="0"/>
                    <w:left w:val="single" w:color="000000" w:sz="4" w:space="0"/>
                    <w:bottom w:val="single" w:color="000000" w:sz="4" w:space="0"/>
                    <w:right w:val="single" w:color="000000" w:sz="4" w:space="0"/>
                  </w:tcBorders>
                  <w:noWrap/>
                  <w:vAlign w:val="center"/>
                </w:tcPr>
                <w:p w14:paraId="6F94B4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845" w:type="dxa"/>
                  <w:tcBorders>
                    <w:top w:val="single" w:color="000000" w:sz="4" w:space="0"/>
                    <w:left w:val="single" w:color="000000" w:sz="4" w:space="0"/>
                    <w:bottom w:val="single" w:color="000000" w:sz="4" w:space="0"/>
                    <w:right w:val="single" w:color="000000" w:sz="4" w:space="0"/>
                  </w:tcBorders>
                  <w:noWrap w:val="0"/>
                  <w:vAlign w:val="center"/>
                </w:tcPr>
                <w:p w14:paraId="256C75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699" w:type="dxa"/>
                  <w:tcBorders>
                    <w:top w:val="single" w:color="000000" w:sz="4" w:space="0"/>
                    <w:left w:val="single" w:color="000000" w:sz="4" w:space="0"/>
                    <w:bottom w:val="single" w:color="000000" w:sz="4" w:space="0"/>
                    <w:right w:val="single" w:color="000000" w:sz="4" w:space="0"/>
                  </w:tcBorders>
                  <w:noWrap w:val="0"/>
                  <w:vAlign w:val="center"/>
                </w:tcPr>
                <w:p w14:paraId="2BE9B4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801" w:type="dxa"/>
                  <w:tcBorders>
                    <w:top w:val="single" w:color="000000" w:sz="4" w:space="0"/>
                    <w:left w:val="single" w:color="000000" w:sz="4" w:space="0"/>
                    <w:bottom w:val="single" w:color="000000" w:sz="4" w:space="0"/>
                    <w:right w:val="single" w:color="000000" w:sz="4" w:space="0"/>
                  </w:tcBorders>
                  <w:noWrap w:val="0"/>
                  <w:vAlign w:val="center"/>
                </w:tcPr>
                <w:p w14:paraId="1C00C9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888" w:type="dxa"/>
                  <w:tcBorders>
                    <w:top w:val="single" w:color="000000" w:sz="4" w:space="0"/>
                    <w:left w:val="single" w:color="000000" w:sz="4" w:space="0"/>
                    <w:bottom w:val="single" w:color="000000" w:sz="4" w:space="0"/>
                    <w:right w:val="single" w:color="000000" w:sz="4" w:space="0"/>
                  </w:tcBorders>
                  <w:noWrap w:val="0"/>
                  <w:vAlign w:val="center"/>
                </w:tcPr>
                <w:p w14:paraId="503E6A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874" w:type="dxa"/>
                  <w:tcBorders>
                    <w:top w:val="single" w:color="000000" w:sz="4" w:space="0"/>
                    <w:left w:val="single" w:color="000000" w:sz="4" w:space="0"/>
                    <w:bottom w:val="single" w:color="000000" w:sz="4" w:space="0"/>
                    <w:right w:val="single" w:color="000000" w:sz="4" w:space="0"/>
                  </w:tcBorders>
                  <w:noWrap w:val="0"/>
                  <w:vAlign w:val="center"/>
                </w:tcPr>
                <w:p w14:paraId="2EC7A2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162</w:t>
                  </w:r>
                </w:p>
              </w:tc>
              <w:tc>
                <w:tcPr>
                  <w:tcW w:w="852" w:type="dxa"/>
                  <w:tcBorders>
                    <w:top w:val="single" w:color="000000" w:sz="4" w:space="0"/>
                    <w:left w:val="single" w:color="000000" w:sz="4" w:space="0"/>
                    <w:bottom w:val="single" w:color="000000" w:sz="4" w:space="0"/>
                    <w:right w:val="single" w:color="000000" w:sz="4" w:space="0"/>
                  </w:tcBorders>
                  <w:noWrap w:val="0"/>
                  <w:vAlign w:val="center"/>
                </w:tcPr>
                <w:p w14:paraId="022C2C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w:t>
                  </w:r>
                </w:p>
              </w:tc>
            </w:tr>
            <w:tr w14:paraId="74BC2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8607" w:type="dxa"/>
                  <w:gridSpan w:val="10"/>
                  <w:tcBorders>
                    <w:top w:val="single" w:color="000000" w:sz="4" w:space="0"/>
                    <w:left w:val="single" w:color="000000" w:sz="4" w:space="0"/>
                    <w:bottom w:val="single" w:color="000000" w:sz="4" w:space="0"/>
                    <w:right w:val="single" w:color="000000" w:sz="4" w:space="0"/>
                  </w:tcBorders>
                  <w:noWrap w:val="0"/>
                  <w:vAlign w:val="center"/>
                </w:tcPr>
                <w:p w14:paraId="5F8AA9A0">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注：1</w:t>
                  </w:r>
                  <w:r>
                    <w:rPr>
                      <w:rFonts w:hint="eastAsia" w:ascii="Times New Roman" w:hAnsi="Times New Roman" w:eastAsia="宋体"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移印机一批次移印1件</w:t>
                  </w:r>
                  <w:r>
                    <w:rPr>
                      <w:rFonts w:hint="eastAsia" w:ascii="Times New Roman" w:hAnsi="Times New Roman" w:eastAsia="宋体" w:cs="Times New Roman"/>
                      <w:i w:val="0"/>
                      <w:iCs w:val="0"/>
                      <w:color w:val="auto"/>
                      <w:kern w:val="0"/>
                      <w:sz w:val="21"/>
                      <w:szCs w:val="21"/>
                      <w:u w:val="none"/>
                      <w:lang w:val="en-US" w:eastAsia="zh-CN" w:bidi="ar"/>
                    </w:rPr>
                    <w:t>路由器</w:t>
                  </w:r>
                  <w:r>
                    <w:rPr>
                      <w:rFonts w:hint="default" w:ascii="Times New Roman" w:hAnsi="Times New Roman" w:eastAsia="宋体" w:cs="Times New Roman"/>
                      <w:i w:val="0"/>
                      <w:iCs w:val="0"/>
                      <w:color w:val="auto"/>
                      <w:kern w:val="0"/>
                      <w:sz w:val="21"/>
                      <w:szCs w:val="21"/>
                      <w:u w:val="none"/>
                      <w:lang w:val="en-US" w:eastAsia="zh-CN" w:bidi="ar"/>
                    </w:rPr>
                    <w:t>，隧道炉一批次烘烤2件</w:t>
                  </w:r>
                  <w:r>
                    <w:rPr>
                      <w:rFonts w:hint="eastAsia" w:ascii="Times New Roman" w:hAnsi="Times New Roman" w:eastAsia="宋体" w:cs="Times New Roman"/>
                      <w:i w:val="0"/>
                      <w:iCs w:val="0"/>
                      <w:color w:val="auto"/>
                      <w:kern w:val="0"/>
                      <w:sz w:val="21"/>
                      <w:szCs w:val="21"/>
                      <w:u w:val="none"/>
                      <w:lang w:val="en-US" w:eastAsia="zh-CN" w:bidi="ar"/>
                    </w:rPr>
                    <w:t>路由器</w:t>
                  </w:r>
                  <w:r>
                    <w:rPr>
                      <w:rFonts w:hint="default" w:ascii="Times New Roman" w:hAnsi="Times New Roman" w:eastAsia="宋体" w:cs="Times New Roman"/>
                      <w:i w:val="0"/>
                      <w:iCs w:val="0"/>
                      <w:color w:val="auto"/>
                      <w:kern w:val="0"/>
                      <w:sz w:val="21"/>
                      <w:szCs w:val="21"/>
                      <w:u w:val="none"/>
                      <w:lang w:val="en-US" w:eastAsia="zh-CN" w:bidi="ar"/>
                    </w:rPr>
                    <w:t>，隧道炉长1m。</w:t>
                  </w:r>
                </w:p>
              </w:tc>
            </w:tr>
          </w:tbl>
          <w:p w14:paraId="0B2F701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color w:val="auto"/>
                <w:sz w:val="24"/>
                <w:highlight w:val="none"/>
              </w:rPr>
            </w:pPr>
            <w:r>
              <w:rPr>
                <w:rFonts w:hint="eastAsia"/>
                <w:bCs/>
                <w:color w:val="0000FF"/>
                <w:sz w:val="24"/>
                <w:lang w:val="en-US" w:eastAsia="zh-CN"/>
              </w:rPr>
              <w:t>根据上表可知，本项目移印设备</w:t>
            </w:r>
            <w:r>
              <w:rPr>
                <w:rFonts w:hint="eastAsia"/>
                <w:bCs/>
                <w:color w:val="0000FF"/>
                <w:sz w:val="24"/>
              </w:rPr>
              <w:t>的生产能力能够满足设计规模</w:t>
            </w:r>
            <w:r>
              <w:rPr>
                <w:rFonts w:hint="eastAsia"/>
                <w:bCs/>
                <w:color w:val="0000FF"/>
                <w:sz w:val="24"/>
                <w:lang w:eastAsia="zh-CN"/>
              </w:rPr>
              <w:t>。</w:t>
            </w:r>
          </w:p>
          <w:p w14:paraId="78061C24">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2.2.6主要原辅材料及燃料</w:t>
            </w:r>
          </w:p>
          <w:p w14:paraId="3336FCE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（1）主要原辅材料及燃料</w:t>
            </w:r>
          </w:p>
          <w:p w14:paraId="3C30400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Cs/>
                <w:color w:val="auto"/>
                <w:sz w:val="24"/>
                <w:highlight w:val="none"/>
              </w:rPr>
            </w:pPr>
            <w:r>
              <w:rPr>
                <w:rFonts w:hint="default" w:ascii="Times New Roman" w:hAnsi="Times New Roman" w:cs="Times New Roman"/>
                <w:bCs/>
                <w:color w:val="auto"/>
                <w:sz w:val="24"/>
                <w:highlight w:val="none"/>
              </w:rPr>
              <w:t>本项目主要原辅料及燃料见表2.2-</w:t>
            </w:r>
            <w:r>
              <w:rPr>
                <w:rFonts w:hint="eastAsia" w:cs="Times New Roman"/>
                <w:bCs/>
                <w:color w:val="auto"/>
                <w:sz w:val="24"/>
                <w:highlight w:val="none"/>
                <w:lang w:val="en-US" w:eastAsia="zh-CN"/>
              </w:rPr>
              <w:t>9</w:t>
            </w:r>
            <w:r>
              <w:rPr>
                <w:rFonts w:hint="default" w:ascii="Times New Roman" w:hAnsi="Times New Roman" w:cs="Times New Roman"/>
                <w:bCs/>
                <w:color w:val="auto"/>
                <w:sz w:val="24"/>
                <w:highlight w:val="none"/>
              </w:rPr>
              <w:t>，主要原辅料理化性质见表2.2-</w:t>
            </w:r>
            <w:r>
              <w:rPr>
                <w:rFonts w:hint="eastAsia" w:cs="Times New Roman"/>
                <w:bCs/>
                <w:color w:val="auto"/>
                <w:sz w:val="24"/>
                <w:highlight w:val="none"/>
                <w:lang w:val="en-US" w:eastAsia="zh-CN"/>
              </w:rPr>
              <w:t>10</w:t>
            </w:r>
            <w:r>
              <w:rPr>
                <w:rFonts w:hint="default" w:ascii="Times New Roman" w:hAnsi="Times New Roman" w:cs="Times New Roman"/>
                <w:bCs/>
                <w:color w:val="auto"/>
                <w:sz w:val="24"/>
                <w:highlight w:val="none"/>
              </w:rPr>
              <w:t>。</w:t>
            </w:r>
          </w:p>
          <w:p w14:paraId="2D5CDE14">
            <w:pPr>
              <w:pStyle w:val="225"/>
              <w:spacing w:line="240" w:lineRule="auto"/>
              <w:rPr>
                <w:rFonts w:hint="eastAsia" w:cs="Times New Roman"/>
                <w:color w:val="auto"/>
                <w:szCs w:val="24"/>
                <w:highlight w:val="none"/>
                <w:lang w:val="en-US" w:eastAsia="zh-CN"/>
              </w:rPr>
            </w:pPr>
            <w:r>
              <w:rPr>
                <w:rFonts w:hint="eastAsia" w:cs="Times New Roman"/>
                <w:color w:val="auto"/>
                <w:szCs w:val="24"/>
                <w:highlight w:val="none"/>
                <w:lang w:val="en-US" w:eastAsia="zh-CN"/>
              </w:rPr>
              <w:t>***</w:t>
            </w:r>
          </w:p>
          <w:p w14:paraId="5C9CABBA">
            <w:pPr>
              <w:rPr>
                <w:rFonts w:hint="default"/>
                <w:lang w:val="en-US" w:eastAsia="zh-CN"/>
              </w:rPr>
            </w:pPr>
          </w:p>
          <w:p w14:paraId="1DAC505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kern w:val="2"/>
                <w:sz w:val="24"/>
                <w:szCs w:val="24"/>
                <w:lang w:val="en-US" w:eastAsia="zh-CN" w:bidi="ar-SA"/>
              </w:rPr>
              <w:t>（一）</w:t>
            </w:r>
            <w:r>
              <w:rPr>
                <w:rFonts w:hint="default" w:ascii="Times New Roman" w:hAnsi="Times New Roman" w:cs="Times New Roman"/>
                <w:b/>
                <w:bCs/>
                <w:color w:val="auto"/>
                <w:sz w:val="24"/>
                <w:lang w:val="en-US" w:eastAsia="zh-CN"/>
              </w:rPr>
              <w:t>油墨相关符合性分析</w:t>
            </w:r>
          </w:p>
          <w:p w14:paraId="7732EA7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bCs/>
                <w:color w:val="auto"/>
                <w:sz w:val="24"/>
                <w:szCs w:val="24"/>
              </w:rPr>
            </w:pPr>
            <w:r>
              <w:rPr>
                <w:rFonts w:hint="default" w:ascii="Times New Roman" w:hAnsi="Times New Roman" w:cs="Times New Roman"/>
                <w:color w:val="auto"/>
                <w:kern w:val="0"/>
                <w:sz w:val="24"/>
                <w:szCs w:val="24"/>
                <w:lang w:val="en-US" w:eastAsia="zh-CN"/>
              </w:rPr>
              <w:t>企业所用油墨</w:t>
            </w:r>
            <w:r>
              <w:rPr>
                <w:rFonts w:hint="default" w:ascii="Times New Roman" w:hAnsi="Times New Roman" w:cs="Times New Roman"/>
                <w:bCs/>
                <w:color w:val="auto"/>
                <w:sz w:val="24"/>
                <w:szCs w:val="24"/>
              </w:rPr>
              <w:t>与《</w:t>
            </w:r>
            <w:r>
              <w:rPr>
                <w:rFonts w:hint="default" w:ascii="Times New Roman" w:hAnsi="Times New Roman" w:cs="Times New Roman"/>
                <w:bCs/>
                <w:color w:val="auto"/>
                <w:sz w:val="24"/>
                <w:szCs w:val="24"/>
                <w:lang w:val="en-US" w:eastAsia="zh-CN"/>
              </w:rPr>
              <w:t>油墨中可挥发性有机化合物（</w:t>
            </w:r>
            <w:r>
              <w:rPr>
                <w:rFonts w:hint="eastAsia" w:ascii="Times New Roman" w:hAnsi="Times New Roman" w:cs="Times New Roman"/>
                <w:bCs/>
                <w:color w:val="auto"/>
                <w:sz w:val="24"/>
                <w:szCs w:val="24"/>
                <w:lang w:val="en-US" w:eastAsia="zh-CN"/>
              </w:rPr>
              <w:t>VOCs</w:t>
            </w:r>
            <w:r>
              <w:rPr>
                <w:rFonts w:hint="default" w:ascii="Times New Roman" w:hAnsi="Times New Roman" w:cs="Times New Roman"/>
                <w:bCs/>
                <w:color w:val="auto"/>
                <w:sz w:val="24"/>
                <w:szCs w:val="24"/>
                <w:lang w:val="en-US" w:eastAsia="zh-CN"/>
              </w:rPr>
              <w:t>）含量的限值</w:t>
            </w:r>
            <w:r>
              <w:rPr>
                <w:rFonts w:hint="default" w:ascii="Times New Roman" w:hAnsi="Times New Roman" w:cs="Times New Roman"/>
                <w:bCs/>
                <w:color w:val="auto"/>
                <w:sz w:val="24"/>
                <w:szCs w:val="24"/>
              </w:rPr>
              <w:t>》（GB</w:t>
            </w:r>
            <w:r>
              <w:rPr>
                <w:rFonts w:hint="default" w:ascii="Times New Roman" w:hAnsi="Times New Roman" w:cs="Times New Roman"/>
                <w:bCs/>
                <w:color w:val="auto"/>
                <w:sz w:val="24"/>
                <w:szCs w:val="24"/>
                <w:lang w:val="en-US" w:eastAsia="zh-CN"/>
              </w:rPr>
              <w:t>38507</w:t>
            </w:r>
            <w:r>
              <w:rPr>
                <w:rFonts w:hint="default" w:ascii="Times New Roman" w:hAnsi="Times New Roman" w:cs="Times New Roman"/>
                <w:bCs/>
                <w:color w:val="auto"/>
                <w:sz w:val="24"/>
                <w:szCs w:val="24"/>
              </w:rPr>
              <w:t>-2020）</w:t>
            </w:r>
            <w:r>
              <w:rPr>
                <w:rFonts w:hint="default" w:ascii="Times New Roman" w:hAnsi="Times New Roman" w:cs="Times New Roman"/>
                <w:bCs/>
                <w:color w:val="auto"/>
                <w:sz w:val="24"/>
                <w:szCs w:val="24"/>
                <w:lang w:val="en-US" w:eastAsia="zh-CN"/>
              </w:rPr>
              <w:t>的</w:t>
            </w:r>
            <w:r>
              <w:rPr>
                <w:rFonts w:hint="default" w:ascii="Times New Roman" w:hAnsi="Times New Roman" w:cs="Times New Roman"/>
                <w:bCs/>
                <w:color w:val="auto"/>
                <w:sz w:val="24"/>
                <w:szCs w:val="24"/>
              </w:rPr>
              <w:t>符合性分析</w:t>
            </w:r>
            <w:r>
              <w:rPr>
                <w:rFonts w:hint="default" w:ascii="Times New Roman" w:hAnsi="Times New Roman" w:cs="Times New Roman"/>
                <w:bCs/>
                <w:color w:val="auto"/>
                <w:sz w:val="24"/>
                <w:szCs w:val="24"/>
                <w:lang w:val="en-US" w:eastAsia="zh-CN"/>
              </w:rPr>
              <w:t>见表2.2-1</w:t>
            </w:r>
            <w:r>
              <w:rPr>
                <w:rFonts w:hint="eastAsia" w:cs="Times New Roman"/>
                <w:bCs/>
                <w:color w:val="auto"/>
                <w:sz w:val="24"/>
                <w:szCs w:val="24"/>
                <w:lang w:val="en-US" w:eastAsia="zh-CN"/>
              </w:rPr>
              <w:t>1</w:t>
            </w:r>
            <w:r>
              <w:rPr>
                <w:rFonts w:hint="default" w:ascii="Times New Roman" w:hAnsi="Times New Roman" w:cs="Times New Roman"/>
                <w:bCs/>
                <w:color w:val="auto"/>
                <w:sz w:val="24"/>
                <w:szCs w:val="24"/>
                <w:lang w:val="en-US" w:eastAsia="zh-CN"/>
              </w:rPr>
              <w:t>。</w:t>
            </w:r>
          </w:p>
          <w:p w14:paraId="55E4BA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表2</w:t>
            </w:r>
            <w:r>
              <w:rPr>
                <w:rFonts w:hint="default" w:ascii="Times New Roman" w:hAnsi="Times New Roman" w:cs="Times New Roman"/>
                <w:b/>
                <w:bCs/>
                <w:color w:val="auto"/>
                <w:sz w:val="24"/>
                <w:szCs w:val="24"/>
                <w:lang w:val="en-US" w:eastAsia="zh-CN"/>
              </w:rPr>
              <w:t>.2-1</w:t>
            </w:r>
            <w:r>
              <w:rPr>
                <w:rFonts w:hint="eastAsia" w:cs="Times New Roman"/>
                <w:b/>
                <w:bCs/>
                <w:color w:val="auto"/>
                <w:sz w:val="24"/>
                <w:szCs w:val="24"/>
                <w:lang w:val="en-US" w:eastAsia="zh-CN"/>
              </w:rPr>
              <w:t>1</w:t>
            </w:r>
            <w:r>
              <w:rPr>
                <w:rFonts w:hint="default" w:ascii="Times New Roman" w:hAnsi="Times New Roman" w:cs="Times New Roman"/>
                <w:b/>
                <w:bCs/>
                <w:color w:val="auto"/>
                <w:sz w:val="24"/>
                <w:szCs w:val="24"/>
              </w:rPr>
              <w:t xml:space="preserve">  </w:t>
            </w:r>
            <w:r>
              <w:rPr>
                <w:rFonts w:hint="default" w:ascii="Times New Roman" w:hAnsi="Times New Roman" w:cs="Times New Roman"/>
                <w:b/>
                <w:bCs/>
                <w:color w:val="auto"/>
                <w:sz w:val="24"/>
                <w:szCs w:val="24"/>
                <w:lang w:val="en-US" w:eastAsia="zh-CN"/>
              </w:rPr>
              <w:t>油墨</w:t>
            </w:r>
            <w:r>
              <w:rPr>
                <w:rFonts w:hint="eastAsia" w:ascii="Times New Roman" w:hAnsi="Times New Roman" w:cs="Times New Roman"/>
                <w:b/>
                <w:bCs/>
                <w:color w:val="auto"/>
                <w:sz w:val="24"/>
                <w:szCs w:val="24"/>
                <w:lang w:val="en-US" w:eastAsia="zh-CN"/>
              </w:rPr>
              <w:t>VOCs</w:t>
            </w:r>
            <w:r>
              <w:rPr>
                <w:rFonts w:hint="default" w:ascii="Times New Roman" w:hAnsi="Times New Roman" w:cs="Times New Roman"/>
                <w:b/>
                <w:bCs/>
                <w:color w:val="auto"/>
                <w:sz w:val="24"/>
                <w:szCs w:val="24"/>
                <w:lang w:val="en-US" w:eastAsia="zh-CN"/>
              </w:rPr>
              <w:t>限量分析表</w:t>
            </w:r>
          </w:p>
          <w:tbl>
            <w:tblPr>
              <w:tblStyle w:val="35"/>
              <w:tblW w:w="49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6"/>
              <w:gridCol w:w="1549"/>
              <w:gridCol w:w="2700"/>
              <w:gridCol w:w="2812"/>
            </w:tblGrid>
            <w:tr w14:paraId="4617C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2" w:type="pct"/>
                  <w:gridSpan w:val="2"/>
                  <w:vMerge w:val="restart"/>
                  <w:tcBorders>
                    <w:tl2br w:val="nil"/>
                    <w:tr2bl w:val="nil"/>
                  </w:tcBorders>
                  <w:noWrap w:val="0"/>
                  <w:vAlign w:val="center"/>
                </w:tcPr>
                <w:p w14:paraId="4AFE09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涂料类型</w:t>
                  </w:r>
                </w:p>
              </w:tc>
              <w:tc>
                <w:tcPr>
                  <w:tcW w:w="1590" w:type="pct"/>
                  <w:tcBorders>
                    <w:tl2br w:val="nil"/>
                    <w:tr2bl w:val="nil"/>
                  </w:tcBorders>
                  <w:noWrap w:val="0"/>
                  <w:vAlign w:val="center"/>
                </w:tcPr>
                <w:p w14:paraId="4A5E81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本项目数据</w:t>
                  </w:r>
                </w:p>
              </w:tc>
              <w:tc>
                <w:tcPr>
                  <w:tcW w:w="1656" w:type="pct"/>
                  <w:tcBorders>
                    <w:tl2br w:val="nil"/>
                    <w:tr2bl w:val="nil"/>
                  </w:tcBorders>
                  <w:noWrap w:val="0"/>
                  <w:vAlign w:val="center"/>
                </w:tcPr>
                <w:p w14:paraId="413EF9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val="0"/>
                      <w:color w:val="auto"/>
                      <w:sz w:val="21"/>
                      <w:szCs w:val="21"/>
                      <w:lang w:val="en-US" w:eastAsia="zh-CN"/>
                    </w:rPr>
                    <w:t>油墨中可挥发性有机化合物（</w:t>
                  </w:r>
                  <w:r>
                    <w:rPr>
                      <w:rFonts w:hint="eastAsia" w:ascii="Times New Roman" w:hAnsi="Times New Roman" w:cs="Times New Roman"/>
                      <w:b/>
                      <w:bCs w:val="0"/>
                      <w:color w:val="auto"/>
                      <w:sz w:val="21"/>
                      <w:szCs w:val="21"/>
                      <w:lang w:val="en-US" w:eastAsia="zh-CN"/>
                    </w:rPr>
                    <w:t>VOCs</w:t>
                  </w:r>
                  <w:r>
                    <w:rPr>
                      <w:rFonts w:hint="default" w:ascii="Times New Roman" w:hAnsi="Times New Roman" w:cs="Times New Roman"/>
                      <w:b/>
                      <w:bCs w:val="0"/>
                      <w:color w:val="auto"/>
                      <w:sz w:val="21"/>
                      <w:szCs w:val="21"/>
                      <w:lang w:val="en-US" w:eastAsia="zh-CN"/>
                    </w:rPr>
                    <w:t>）含量的限值</w:t>
                  </w:r>
                </w:p>
              </w:tc>
            </w:tr>
            <w:tr w14:paraId="66222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2" w:type="pct"/>
                  <w:gridSpan w:val="2"/>
                  <w:vMerge w:val="continue"/>
                  <w:tcBorders>
                    <w:tl2br w:val="nil"/>
                    <w:tr2bl w:val="nil"/>
                  </w:tcBorders>
                  <w:noWrap w:val="0"/>
                  <w:vAlign w:val="center"/>
                </w:tcPr>
                <w:p w14:paraId="48185A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rPr>
                  </w:pPr>
                </w:p>
              </w:tc>
              <w:tc>
                <w:tcPr>
                  <w:tcW w:w="1590" w:type="pct"/>
                  <w:tcBorders>
                    <w:tl2br w:val="nil"/>
                    <w:tr2bl w:val="nil"/>
                  </w:tcBorders>
                  <w:noWrap w:val="0"/>
                  <w:vAlign w:val="center"/>
                </w:tcPr>
                <w:p w14:paraId="380003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VOCs</w:t>
                  </w:r>
                  <w:r>
                    <w:rPr>
                      <w:rFonts w:hint="default" w:ascii="Times New Roman" w:hAnsi="Times New Roman" w:cs="Times New Roman"/>
                      <w:b/>
                      <w:bCs/>
                      <w:color w:val="auto"/>
                      <w:sz w:val="21"/>
                      <w:szCs w:val="21"/>
                      <w:lang w:val="en-US" w:eastAsia="zh-CN"/>
                    </w:rPr>
                    <w:t>含量（%）</w:t>
                  </w:r>
                </w:p>
              </w:tc>
              <w:tc>
                <w:tcPr>
                  <w:tcW w:w="1656" w:type="pct"/>
                  <w:tcBorders>
                    <w:tl2br w:val="nil"/>
                    <w:tr2bl w:val="nil"/>
                  </w:tcBorders>
                  <w:noWrap w:val="0"/>
                  <w:vAlign w:val="center"/>
                </w:tcPr>
                <w:p w14:paraId="426CBE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kern w:val="2"/>
                      <w:sz w:val="21"/>
                      <w:szCs w:val="21"/>
                      <w:lang w:val="en-US" w:eastAsia="zh-CN" w:bidi="ar-SA"/>
                    </w:rPr>
                  </w:pPr>
                  <w:r>
                    <w:rPr>
                      <w:rFonts w:hint="eastAsia" w:ascii="Times New Roman" w:hAnsi="Times New Roman" w:cs="Times New Roman"/>
                      <w:b/>
                      <w:bCs/>
                      <w:color w:val="auto"/>
                      <w:sz w:val="21"/>
                      <w:szCs w:val="21"/>
                      <w:lang w:val="en-US" w:eastAsia="zh-CN"/>
                    </w:rPr>
                    <w:t>VOCs</w:t>
                  </w:r>
                  <w:r>
                    <w:rPr>
                      <w:rFonts w:hint="default" w:ascii="Times New Roman" w:hAnsi="Times New Roman" w:cs="Times New Roman"/>
                      <w:b/>
                      <w:bCs/>
                      <w:color w:val="auto"/>
                      <w:sz w:val="21"/>
                      <w:szCs w:val="21"/>
                      <w:lang w:val="en-US" w:eastAsia="zh-CN"/>
                    </w:rPr>
                    <w:t>含量（%）</w:t>
                  </w:r>
                </w:p>
              </w:tc>
            </w:tr>
            <w:tr w14:paraId="56D03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0" w:type="pct"/>
                  <w:tcBorders>
                    <w:tl2br w:val="nil"/>
                    <w:tr2bl w:val="nil"/>
                  </w:tcBorders>
                  <w:noWrap w:val="0"/>
                  <w:vAlign w:val="center"/>
                </w:tcPr>
                <w:p w14:paraId="1231DF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溶剂油墨</w:t>
                  </w:r>
                </w:p>
              </w:tc>
              <w:tc>
                <w:tcPr>
                  <w:tcW w:w="912" w:type="pct"/>
                  <w:tcBorders>
                    <w:tl2br w:val="nil"/>
                    <w:tr2bl w:val="nil"/>
                  </w:tcBorders>
                  <w:noWrap w:val="0"/>
                  <w:vAlign w:val="center"/>
                </w:tcPr>
                <w:p w14:paraId="16CD33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凹印</w:t>
                  </w:r>
                  <w:r>
                    <w:rPr>
                      <w:rFonts w:hint="default" w:ascii="Times New Roman" w:hAnsi="Times New Roman" w:cs="Times New Roman"/>
                      <w:bCs/>
                      <w:color w:val="auto"/>
                      <w:sz w:val="21"/>
                      <w:szCs w:val="21"/>
                      <w:lang w:val="en-US" w:eastAsia="zh-CN"/>
                    </w:rPr>
                    <w:t>油墨</w:t>
                  </w:r>
                </w:p>
              </w:tc>
              <w:tc>
                <w:tcPr>
                  <w:tcW w:w="1590" w:type="pct"/>
                  <w:tcBorders>
                    <w:tl2br w:val="nil"/>
                    <w:tr2bl w:val="nil"/>
                  </w:tcBorders>
                  <w:noWrap w:val="0"/>
                  <w:vAlign w:val="center"/>
                </w:tcPr>
                <w:p w14:paraId="68999F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45</w:t>
                  </w:r>
                </w:p>
              </w:tc>
              <w:tc>
                <w:tcPr>
                  <w:tcW w:w="1656" w:type="pct"/>
                  <w:tcBorders>
                    <w:tl2br w:val="nil"/>
                    <w:tr2bl w:val="nil"/>
                  </w:tcBorders>
                  <w:noWrap w:val="0"/>
                  <w:vAlign w:val="center"/>
                </w:tcPr>
                <w:p w14:paraId="430F5F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val="0"/>
                      <w:bCs w:val="0"/>
                      <w:color w:val="auto"/>
                      <w:kern w:val="2"/>
                      <w:sz w:val="21"/>
                      <w:szCs w:val="21"/>
                      <w:lang w:val="en-US" w:eastAsia="zh-CN" w:bidi="ar-SA"/>
                    </w:rPr>
                    <w:t>≤75</w:t>
                  </w:r>
                </w:p>
              </w:tc>
            </w:tr>
          </w:tbl>
          <w:p w14:paraId="2559CB12">
            <w:pPr>
              <w:keepNext w:val="0"/>
              <w:keepLines w:val="0"/>
              <w:pageBreakBefore w:val="0"/>
              <w:kinsoku/>
              <w:wordWrap/>
              <w:overflowPunct/>
              <w:topLinePunct w:val="0"/>
              <w:bidi w:val="0"/>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根据上表可知</w:t>
            </w:r>
            <w:r>
              <w:rPr>
                <w:rFonts w:hint="default" w:ascii="Times New Roman" w:hAnsi="Times New Roman" w:cs="Times New Roman"/>
                <w:bCs/>
                <w:color w:val="auto"/>
                <w:sz w:val="24"/>
              </w:rPr>
              <w:t>，企业所使用的</w:t>
            </w:r>
            <w:r>
              <w:rPr>
                <w:rFonts w:hint="default" w:ascii="Times New Roman" w:hAnsi="Times New Roman" w:cs="Times New Roman"/>
                <w:bCs/>
                <w:color w:val="auto"/>
                <w:sz w:val="24"/>
                <w:lang w:val="en-US" w:eastAsia="zh-CN"/>
              </w:rPr>
              <w:t>油墨</w:t>
            </w:r>
            <w:r>
              <w:rPr>
                <w:rFonts w:hint="default" w:ascii="Times New Roman" w:hAnsi="Times New Roman" w:cs="Times New Roman"/>
                <w:bCs/>
                <w:color w:val="auto"/>
                <w:sz w:val="24"/>
              </w:rPr>
              <w:t>满足《</w:t>
            </w:r>
            <w:r>
              <w:rPr>
                <w:rFonts w:hint="default" w:ascii="Times New Roman" w:hAnsi="Times New Roman" w:cs="Times New Roman"/>
                <w:bCs/>
                <w:color w:val="auto"/>
                <w:sz w:val="24"/>
                <w:lang w:val="en-US" w:eastAsia="zh-CN"/>
              </w:rPr>
              <w:t>油墨中可挥发性有机化合物（</w:t>
            </w:r>
            <w:r>
              <w:rPr>
                <w:rFonts w:hint="eastAsia" w:ascii="Times New Roman" w:hAnsi="Times New Roman" w:cs="Times New Roman"/>
                <w:bCs/>
                <w:color w:val="auto"/>
                <w:sz w:val="24"/>
                <w:lang w:val="en-US" w:eastAsia="zh-CN"/>
              </w:rPr>
              <w:t>VOCs</w:t>
            </w:r>
            <w:r>
              <w:rPr>
                <w:rFonts w:hint="default" w:ascii="Times New Roman" w:hAnsi="Times New Roman" w:cs="Times New Roman"/>
                <w:bCs/>
                <w:color w:val="auto"/>
                <w:sz w:val="24"/>
                <w:lang w:val="en-US" w:eastAsia="zh-CN"/>
              </w:rPr>
              <w:t>）含量的限值</w:t>
            </w:r>
            <w:r>
              <w:rPr>
                <w:rFonts w:hint="default" w:ascii="Times New Roman" w:hAnsi="Times New Roman" w:cs="Times New Roman"/>
                <w:bCs/>
                <w:color w:val="auto"/>
                <w:sz w:val="24"/>
              </w:rPr>
              <w:t>》（GB</w:t>
            </w:r>
            <w:r>
              <w:rPr>
                <w:rFonts w:hint="default" w:ascii="Times New Roman" w:hAnsi="Times New Roman" w:cs="Times New Roman"/>
                <w:bCs/>
                <w:color w:val="auto"/>
                <w:sz w:val="24"/>
                <w:lang w:val="en-US" w:eastAsia="zh-CN"/>
              </w:rPr>
              <w:t>38507</w:t>
            </w:r>
            <w:r>
              <w:rPr>
                <w:rFonts w:hint="default" w:ascii="Times New Roman" w:hAnsi="Times New Roman" w:cs="Times New Roman"/>
                <w:bCs/>
                <w:color w:val="auto"/>
                <w:sz w:val="24"/>
              </w:rPr>
              <w:t>-2020）中相应限值要求。</w:t>
            </w:r>
          </w:p>
          <w:p w14:paraId="1B6C81E4">
            <w:pPr>
              <w:keepNext w:val="0"/>
              <w:keepLines w:val="0"/>
              <w:pageBreakBefore w:val="0"/>
              <w:kinsoku/>
              <w:wordWrap/>
              <w:overflowPunct/>
              <w:topLinePunct w:val="0"/>
              <w:bidi w:val="0"/>
              <w:spacing w:line="360" w:lineRule="auto"/>
              <w:jc w:val="left"/>
              <w:rPr>
                <w:rFonts w:hint="default" w:ascii="Times New Roman" w:hAnsi="Times New Roman" w:cs="Times New Roman"/>
                <w:b/>
                <w:color w:val="auto"/>
                <w:sz w:val="24"/>
              </w:rPr>
            </w:pPr>
            <w:r>
              <w:rPr>
                <w:rFonts w:hint="default" w:ascii="Times New Roman" w:hAnsi="Times New Roman" w:cs="Times New Roman"/>
                <w:b/>
                <w:color w:val="auto"/>
                <w:sz w:val="24"/>
              </w:rPr>
              <w:t>2.3工艺流程和产排污环节</w:t>
            </w:r>
          </w:p>
          <w:p w14:paraId="3CC463FD">
            <w:pPr>
              <w:keepNext w:val="0"/>
              <w:keepLines w:val="0"/>
              <w:pageBreakBefore w:val="0"/>
              <w:kinsoku/>
              <w:wordWrap/>
              <w:overflowPunct/>
              <w:topLinePunct w:val="0"/>
              <w:bidi w:val="0"/>
              <w:adjustRightInd w:val="0"/>
              <w:snapToGrid w:val="0"/>
              <w:spacing w:line="360" w:lineRule="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2.3.1给排水</w:t>
            </w:r>
          </w:p>
          <w:p w14:paraId="3D35CEE1">
            <w:pPr>
              <w:pStyle w:val="216"/>
              <w:keepNext w:val="0"/>
              <w:keepLines w:val="0"/>
              <w:pageBreakBefore w:val="0"/>
              <w:kinsoku/>
              <w:wordWrap/>
              <w:overflowPunct/>
              <w:topLinePunct w:val="0"/>
              <w:autoSpaceDE w:val="0"/>
              <w:autoSpaceDN w:val="0"/>
              <w:bidi w:val="0"/>
              <w:spacing w:line="360" w:lineRule="auto"/>
              <w:ind w:firstLine="498" w:firstLineChars="200"/>
              <w:textAlignment w:val="baseline"/>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rPr>
              <w:t>一、用水量及排水量核算</w:t>
            </w:r>
          </w:p>
          <w:p w14:paraId="05D59348">
            <w:pPr>
              <w:keepNext w:val="0"/>
              <w:keepLines w:val="0"/>
              <w:pageBreakBefore w:val="0"/>
              <w:kinsoku/>
              <w:wordWrap/>
              <w:overflowPunct/>
              <w:topLinePunct w:val="0"/>
              <w:bidi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项目用水包括生产用水（冷却循环系统补水）、生活用水。</w:t>
            </w:r>
          </w:p>
          <w:p w14:paraId="453589E9">
            <w:pPr>
              <w:keepNext w:val="0"/>
              <w:keepLines w:val="0"/>
              <w:pageBreakBefore w:val="0"/>
              <w:numPr>
                <w:ilvl w:val="0"/>
                <w:numId w:val="0"/>
              </w:numPr>
              <w:kinsoku/>
              <w:wordWrap/>
              <w:overflowPunct/>
              <w:topLinePunct w:val="0"/>
              <w:bidi w:val="0"/>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w:t>
            </w:r>
            <w:r>
              <w:rPr>
                <w:rFonts w:hint="default" w:ascii="Times New Roman" w:hAnsi="Times New Roman" w:cs="Times New Roman"/>
                <w:color w:val="auto"/>
                <w:sz w:val="24"/>
                <w:highlight w:val="none"/>
                <w:lang w:val="en-US" w:eastAsia="zh-CN"/>
              </w:rPr>
              <w:t>工人</w:t>
            </w:r>
            <w:r>
              <w:rPr>
                <w:rFonts w:hint="default" w:ascii="Times New Roman" w:hAnsi="Times New Roman" w:cs="Times New Roman"/>
                <w:color w:val="auto"/>
                <w:sz w:val="24"/>
                <w:highlight w:val="none"/>
              </w:rPr>
              <w:t>生活用水</w:t>
            </w:r>
          </w:p>
          <w:p w14:paraId="5E9261D7">
            <w:pPr>
              <w:pStyle w:val="14"/>
              <w:keepNext w:val="0"/>
              <w:keepLines w:val="0"/>
              <w:pageBreakBefore w:val="0"/>
              <w:kinsoku/>
              <w:wordWrap/>
              <w:overflowPunct/>
              <w:topLinePunct w:val="0"/>
              <w:bidi w:val="0"/>
              <w:spacing w:before="0" w:after="0" w:line="360" w:lineRule="auto"/>
              <w:ind w:right="0" w:firstLine="480" w:firstLineChars="200"/>
              <w:rPr>
                <w:rFonts w:hint="eastAsia" w:ascii="Times New Roman" w:hAnsi="Times New Roman" w:eastAsia="宋体" w:cs="Times New Roman"/>
                <w:color w:val="0000FF"/>
                <w:sz w:val="24"/>
                <w:highlight w:val="none"/>
                <w:lang w:val="en-US" w:eastAsia="zh-CN"/>
              </w:rPr>
            </w:pPr>
            <w:r>
              <w:rPr>
                <w:rFonts w:hint="default" w:ascii="Times New Roman" w:hAnsi="Times New Roman" w:cs="Times New Roman"/>
                <w:color w:val="0000FF"/>
                <w:sz w:val="24"/>
                <w:highlight w:val="none"/>
              </w:rPr>
              <w:t>项目劳动定员</w:t>
            </w:r>
            <w:r>
              <w:rPr>
                <w:rFonts w:hint="default" w:ascii="Times New Roman" w:hAnsi="Times New Roman" w:cs="Times New Roman"/>
                <w:color w:val="0000FF"/>
                <w:sz w:val="24"/>
                <w:highlight w:val="none"/>
                <w:lang w:val="en-US" w:eastAsia="zh-CN"/>
              </w:rPr>
              <w:t>400</w:t>
            </w:r>
            <w:r>
              <w:rPr>
                <w:rFonts w:hint="default" w:ascii="Times New Roman" w:hAnsi="Times New Roman" w:cs="Times New Roman"/>
                <w:color w:val="0000FF"/>
                <w:sz w:val="24"/>
                <w:highlight w:val="none"/>
              </w:rPr>
              <w:t>人，</w:t>
            </w:r>
            <w:r>
              <w:rPr>
                <w:rFonts w:hint="default" w:ascii="Times New Roman" w:hAnsi="Times New Roman" w:cs="Times New Roman"/>
                <w:color w:val="0000FF"/>
                <w:sz w:val="24"/>
                <w:highlight w:val="none"/>
                <w:lang w:val="en-US" w:eastAsia="zh-CN"/>
              </w:rPr>
              <w:t>年生产300d</w:t>
            </w:r>
            <w:r>
              <w:rPr>
                <w:rFonts w:hint="eastAsia" w:cs="Times New Roman"/>
                <w:color w:val="0000FF"/>
                <w:sz w:val="24"/>
                <w:highlight w:val="none"/>
                <w:lang w:val="en-US" w:eastAsia="zh-CN"/>
              </w:rPr>
              <w:t>。</w:t>
            </w:r>
            <w:r>
              <w:rPr>
                <w:rFonts w:hint="default" w:ascii="Times New Roman" w:hAnsi="Times New Roman" w:cs="Times New Roman"/>
                <w:color w:val="0000FF"/>
                <w:sz w:val="24"/>
                <w:highlight w:val="none"/>
                <w:lang w:val="en-US" w:eastAsia="zh-CN"/>
              </w:rPr>
              <w:t>参考《建筑给水排水设计标准》（GB50015-2019）并结合项目具体情况</w:t>
            </w:r>
            <w:r>
              <w:rPr>
                <w:rFonts w:hint="default" w:ascii="Times New Roman" w:hAnsi="Times New Roman" w:cs="Times New Roman"/>
                <w:color w:val="0000FF"/>
                <w:sz w:val="24"/>
                <w:highlight w:val="none"/>
              </w:rPr>
              <w:t>，用水标准以</w:t>
            </w:r>
            <w:r>
              <w:rPr>
                <w:rFonts w:hint="eastAsia" w:cs="Times New Roman"/>
                <w:color w:val="0000FF"/>
                <w:sz w:val="24"/>
                <w:highlight w:val="none"/>
                <w:lang w:val="en-US" w:eastAsia="zh-CN"/>
              </w:rPr>
              <w:t>5</w:t>
            </w:r>
            <w:r>
              <w:rPr>
                <w:rFonts w:hint="default" w:ascii="Times New Roman" w:hAnsi="Times New Roman" w:cs="Times New Roman"/>
                <w:color w:val="0000FF"/>
                <w:sz w:val="24"/>
                <w:highlight w:val="none"/>
              </w:rPr>
              <w:t>0L/人·d计，则生活用水约</w:t>
            </w:r>
            <w:r>
              <w:rPr>
                <w:rFonts w:hint="eastAsia" w:cs="Times New Roman"/>
                <w:color w:val="0000FF"/>
                <w:sz w:val="24"/>
                <w:highlight w:val="none"/>
                <w:lang w:val="en-US" w:eastAsia="zh-CN"/>
              </w:rPr>
              <w:t>20</w:t>
            </w:r>
            <w:r>
              <w:rPr>
                <w:rFonts w:hint="default" w:ascii="Times New Roman" w:hAnsi="Times New Roman" w:cs="Times New Roman"/>
                <w:color w:val="0000FF"/>
                <w:sz w:val="24"/>
                <w:highlight w:val="none"/>
              </w:rPr>
              <w:t>m</w:t>
            </w:r>
            <w:r>
              <w:rPr>
                <w:rFonts w:hint="default" w:ascii="Times New Roman" w:hAnsi="Times New Roman" w:cs="Times New Roman"/>
                <w:color w:val="0000FF"/>
                <w:sz w:val="24"/>
                <w:highlight w:val="none"/>
                <w:vertAlign w:val="superscript"/>
              </w:rPr>
              <w:t>3</w:t>
            </w:r>
            <w:r>
              <w:rPr>
                <w:rFonts w:hint="default" w:ascii="Times New Roman" w:hAnsi="Times New Roman" w:cs="Times New Roman"/>
                <w:color w:val="0000FF"/>
                <w:sz w:val="24"/>
                <w:highlight w:val="none"/>
              </w:rPr>
              <w:t>/d（</w:t>
            </w:r>
            <w:r>
              <w:rPr>
                <w:rFonts w:hint="eastAsia" w:cs="Times New Roman"/>
                <w:color w:val="0000FF"/>
                <w:sz w:val="24"/>
                <w:highlight w:val="none"/>
                <w:lang w:val="en-US" w:eastAsia="zh-CN"/>
              </w:rPr>
              <w:t>60</w:t>
            </w:r>
            <w:r>
              <w:rPr>
                <w:rFonts w:hint="eastAsia" w:ascii="Times New Roman" w:hAnsi="Times New Roman" w:cs="Times New Roman"/>
                <w:color w:val="0000FF"/>
                <w:sz w:val="24"/>
                <w:highlight w:val="none"/>
                <w:lang w:val="en-US" w:eastAsia="zh-CN"/>
              </w:rPr>
              <w:t>00</w:t>
            </w:r>
            <w:r>
              <w:rPr>
                <w:rFonts w:hint="default" w:ascii="Times New Roman" w:hAnsi="Times New Roman" w:cs="Times New Roman"/>
                <w:color w:val="0000FF"/>
                <w:sz w:val="24"/>
                <w:highlight w:val="none"/>
              </w:rPr>
              <w:t>m</w:t>
            </w:r>
            <w:r>
              <w:rPr>
                <w:rFonts w:hint="default" w:ascii="Times New Roman" w:hAnsi="Times New Roman" w:cs="Times New Roman"/>
                <w:color w:val="0000FF"/>
                <w:sz w:val="24"/>
                <w:highlight w:val="none"/>
                <w:vertAlign w:val="superscript"/>
              </w:rPr>
              <w:t>3</w:t>
            </w:r>
            <w:r>
              <w:rPr>
                <w:rFonts w:hint="default" w:ascii="Times New Roman" w:hAnsi="Times New Roman" w:cs="Times New Roman"/>
                <w:color w:val="0000FF"/>
                <w:sz w:val="24"/>
                <w:highlight w:val="none"/>
              </w:rPr>
              <w:t>/a）</w:t>
            </w:r>
            <w:r>
              <w:rPr>
                <w:rFonts w:hint="eastAsia" w:cs="Times New Roman"/>
                <w:color w:val="0000FF"/>
                <w:sz w:val="24"/>
                <w:highlight w:val="none"/>
                <w:lang w:eastAsia="zh-CN"/>
              </w:rPr>
              <w:t>，</w:t>
            </w:r>
            <w:r>
              <w:rPr>
                <w:rFonts w:hint="eastAsia" w:cs="Times New Roman"/>
                <w:color w:val="0000FF"/>
                <w:sz w:val="24"/>
                <w:highlight w:val="none"/>
                <w:lang w:val="en-US" w:eastAsia="zh-CN"/>
              </w:rPr>
              <w:t>产污</w:t>
            </w:r>
            <w:r>
              <w:rPr>
                <w:rFonts w:hint="default" w:ascii="Times New Roman" w:hAnsi="Times New Roman" w:cs="Times New Roman"/>
                <w:color w:val="0000FF"/>
                <w:sz w:val="24"/>
                <w:highlight w:val="none"/>
              </w:rPr>
              <w:t>系数取0.</w:t>
            </w:r>
            <w:r>
              <w:rPr>
                <w:rFonts w:hint="default" w:ascii="Times New Roman" w:hAnsi="Times New Roman" w:cs="Times New Roman"/>
                <w:color w:val="0000FF"/>
                <w:sz w:val="24"/>
                <w:highlight w:val="none"/>
                <w:lang w:val="en-US" w:eastAsia="zh-CN"/>
              </w:rPr>
              <w:t>8</w:t>
            </w:r>
            <w:r>
              <w:rPr>
                <w:rFonts w:hint="eastAsia" w:cs="Times New Roman"/>
                <w:color w:val="0000FF"/>
                <w:sz w:val="24"/>
                <w:highlight w:val="none"/>
                <w:lang w:eastAsia="zh-CN"/>
              </w:rPr>
              <w:t>。</w:t>
            </w:r>
            <w:r>
              <w:rPr>
                <w:rFonts w:hint="default" w:ascii="Times New Roman" w:hAnsi="Times New Roman" w:cs="Times New Roman"/>
                <w:color w:val="0000FF"/>
                <w:sz w:val="24"/>
                <w:highlight w:val="none"/>
              </w:rPr>
              <w:t>则生活污水排放量为</w:t>
            </w:r>
            <w:r>
              <w:rPr>
                <w:rFonts w:hint="eastAsia" w:ascii="Times New Roman" w:hAnsi="Times New Roman" w:cs="Times New Roman"/>
                <w:color w:val="0000FF"/>
                <w:sz w:val="24"/>
                <w:highlight w:val="none"/>
                <w:lang w:val="en-US" w:eastAsia="zh-CN"/>
              </w:rPr>
              <w:t>1</w:t>
            </w:r>
            <w:r>
              <w:rPr>
                <w:rFonts w:hint="eastAsia" w:cs="Times New Roman"/>
                <w:color w:val="0000FF"/>
                <w:sz w:val="24"/>
                <w:highlight w:val="none"/>
                <w:lang w:val="en-US" w:eastAsia="zh-CN"/>
              </w:rPr>
              <w:t>6</w:t>
            </w:r>
            <w:r>
              <w:rPr>
                <w:rFonts w:hint="default" w:ascii="Times New Roman" w:hAnsi="Times New Roman" w:cs="Times New Roman"/>
                <w:color w:val="0000FF"/>
                <w:sz w:val="24"/>
                <w:highlight w:val="none"/>
              </w:rPr>
              <w:t>m</w:t>
            </w:r>
            <w:r>
              <w:rPr>
                <w:rFonts w:hint="default" w:ascii="Times New Roman" w:hAnsi="Times New Roman" w:cs="Times New Roman"/>
                <w:color w:val="0000FF"/>
                <w:sz w:val="24"/>
                <w:highlight w:val="none"/>
                <w:vertAlign w:val="superscript"/>
              </w:rPr>
              <w:t>3</w:t>
            </w:r>
            <w:r>
              <w:rPr>
                <w:rFonts w:hint="default" w:ascii="Times New Roman" w:hAnsi="Times New Roman" w:cs="Times New Roman"/>
                <w:color w:val="0000FF"/>
                <w:sz w:val="24"/>
                <w:highlight w:val="none"/>
              </w:rPr>
              <w:t>/d（</w:t>
            </w:r>
            <w:r>
              <w:rPr>
                <w:rFonts w:hint="eastAsia" w:cs="Times New Roman"/>
                <w:color w:val="0000FF"/>
                <w:sz w:val="24"/>
                <w:highlight w:val="none"/>
                <w:lang w:val="en-US" w:eastAsia="zh-CN"/>
              </w:rPr>
              <w:t>480</w:t>
            </w:r>
            <w:r>
              <w:rPr>
                <w:rFonts w:hint="eastAsia" w:ascii="Times New Roman" w:hAnsi="Times New Roman" w:cs="Times New Roman"/>
                <w:color w:val="0000FF"/>
                <w:sz w:val="24"/>
                <w:highlight w:val="none"/>
                <w:lang w:val="en-US" w:eastAsia="zh-CN"/>
              </w:rPr>
              <w:t>0</w:t>
            </w:r>
            <w:r>
              <w:rPr>
                <w:rFonts w:hint="default" w:ascii="Times New Roman" w:hAnsi="Times New Roman" w:cs="Times New Roman"/>
                <w:color w:val="0000FF"/>
                <w:sz w:val="24"/>
                <w:highlight w:val="none"/>
              </w:rPr>
              <w:t>m</w:t>
            </w:r>
            <w:r>
              <w:rPr>
                <w:rFonts w:hint="default" w:ascii="Times New Roman" w:hAnsi="Times New Roman" w:cs="Times New Roman"/>
                <w:color w:val="0000FF"/>
                <w:sz w:val="24"/>
                <w:highlight w:val="none"/>
                <w:vertAlign w:val="superscript"/>
              </w:rPr>
              <w:t>3</w:t>
            </w:r>
            <w:r>
              <w:rPr>
                <w:rFonts w:hint="default" w:ascii="Times New Roman" w:hAnsi="Times New Roman" w:cs="Times New Roman"/>
                <w:color w:val="0000FF"/>
                <w:sz w:val="24"/>
                <w:highlight w:val="none"/>
              </w:rPr>
              <w:t>/a），排入租赁厂房生化池处理达标后排放。</w:t>
            </w:r>
          </w:p>
          <w:p w14:paraId="2E49BCF9">
            <w:pPr>
              <w:pStyle w:val="14"/>
              <w:keepNext w:val="0"/>
              <w:keepLines w:val="0"/>
              <w:pageBreakBefore w:val="0"/>
              <w:widowControl w:val="0"/>
              <w:kinsoku/>
              <w:wordWrap/>
              <w:overflowPunct/>
              <w:topLinePunct w:val="0"/>
              <w:bidi w:val="0"/>
              <w:snapToGrid/>
              <w:spacing w:before="0" w:after="0" w:line="360" w:lineRule="auto"/>
              <w:ind w:right="0" w:firstLine="480" w:firstLineChars="200"/>
              <w:rPr>
                <w:rFonts w:hint="default" w:ascii="Times New Roman" w:hAnsi="Times New Roman" w:cs="Times New Roman"/>
                <w:color w:val="auto"/>
                <w:kern w:val="2"/>
                <w:sz w:val="24"/>
                <w:szCs w:val="24"/>
                <w:highlight w:val="none"/>
              </w:rPr>
            </w:pPr>
            <w:r>
              <w:rPr>
                <w:rFonts w:hint="default" w:ascii="Times New Roman" w:hAnsi="Times New Roman" w:cs="Times New Roman"/>
                <w:color w:val="auto"/>
                <w:kern w:val="2"/>
                <w:sz w:val="24"/>
                <w:szCs w:val="24"/>
                <w:highlight w:val="none"/>
              </w:rPr>
              <w:t>②冷却循环水系统补水</w:t>
            </w:r>
          </w:p>
          <w:p w14:paraId="3B92133E">
            <w:pPr>
              <w:pStyle w:val="14"/>
              <w:keepNext w:val="0"/>
              <w:keepLines w:val="0"/>
              <w:pageBreakBefore w:val="0"/>
              <w:widowControl w:val="0"/>
              <w:kinsoku/>
              <w:wordWrap/>
              <w:overflowPunct/>
              <w:topLinePunct w:val="0"/>
              <w:bidi w:val="0"/>
              <w:snapToGrid/>
              <w:spacing w:before="0" w:after="0" w:line="360" w:lineRule="auto"/>
              <w:ind w:right="0" w:firstLine="480" w:firstLineChars="200"/>
              <w:rPr>
                <w:rFonts w:hint="eastAsia" w:cs="Times New Roman"/>
                <w:color w:val="0000FF"/>
                <w:kern w:val="2"/>
                <w:sz w:val="24"/>
                <w:szCs w:val="24"/>
                <w:highlight w:val="none"/>
                <w:lang w:eastAsia="zh-CN"/>
              </w:rPr>
            </w:pPr>
            <w:r>
              <w:rPr>
                <w:rFonts w:hint="default" w:ascii="Times New Roman" w:hAnsi="Times New Roman" w:cs="Times New Roman"/>
                <w:color w:val="0000FF"/>
                <w:kern w:val="2"/>
                <w:sz w:val="24"/>
                <w:szCs w:val="24"/>
                <w:highlight w:val="none"/>
              </w:rPr>
              <w:t>本项目</w:t>
            </w:r>
            <w:r>
              <w:rPr>
                <w:rFonts w:hint="eastAsia" w:cs="Times New Roman"/>
                <w:color w:val="0000FF"/>
                <w:kern w:val="2"/>
                <w:sz w:val="24"/>
                <w:szCs w:val="24"/>
                <w:highlight w:val="none"/>
                <w:lang w:val="en-US" w:eastAsia="zh-CN"/>
              </w:rPr>
              <w:t>布置</w:t>
            </w:r>
            <w:r>
              <w:rPr>
                <w:rFonts w:hint="default" w:ascii="Times New Roman" w:hAnsi="Times New Roman" w:cs="Times New Roman"/>
                <w:color w:val="0000FF"/>
                <w:kern w:val="2"/>
                <w:sz w:val="24"/>
                <w:szCs w:val="24"/>
                <w:highlight w:val="none"/>
                <w:lang w:val="en-US" w:eastAsia="zh-CN"/>
              </w:rPr>
              <w:t>2</w:t>
            </w:r>
            <w:r>
              <w:rPr>
                <w:rFonts w:hint="eastAsia" w:cs="Times New Roman"/>
                <w:color w:val="0000FF"/>
                <w:kern w:val="2"/>
                <w:sz w:val="24"/>
                <w:szCs w:val="24"/>
                <w:highlight w:val="none"/>
                <w:lang w:val="en-US" w:eastAsia="zh-CN"/>
              </w:rPr>
              <w:t>套冷却循环水系统</w:t>
            </w:r>
            <w:r>
              <w:rPr>
                <w:rFonts w:hint="default" w:ascii="Times New Roman" w:hAnsi="Times New Roman" w:cs="Times New Roman"/>
                <w:color w:val="0000FF"/>
                <w:kern w:val="2"/>
                <w:sz w:val="24"/>
                <w:szCs w:val="24"/>
                <w:highlight w:val="none"/>
                <w:lang w:eastAsia="zh-CN"/>
              </w:rPr>
              <w:t>，</w:t>
            </w:r>
            <w:r>
              <w:rPr>
                <w:rFonts w:hint="default" w:ascii="Times New Roman" w:hAnsi="Times New Roman" w:cs="Times New Roman"/>
                <w:color w:val="0000FF"/>
                <w:kern w:val="2"/>
                <w:sz w:val="24"/>
                <w:szCs w:val="24"/>
                <w:highlight w:val="none"/>
                <w:lang w:val="en-US" w:eastAsia="zh-CN"/>
              </w:rPr>
              <w:t>冷却循环</w:t>
            </w:r>
            <w:r>
              <w:rPr>
                <w:rFonts w:hint="eastAsia" w:cs="Times New Roman"/>
                <w:color w:val="0000FF"/>
                <w:kern w:val="2"/>
                <w:sz w:val="24"/>
                <w:szCs w:val="24"/>
                <w:highlight w:val="none"/>
                <w:lang w:val="en-US" w:eastAsia="zh-CN"/>
              </w:rPr>
              <w:t>水</w:t>
            </w:r>
            <w:r>
              <w:rPr>
                <w:rFonts w:hint="default" w:ascii="Times New Roman" w:hAnsi="Times New Roman" w:cs="Times New Roman"/>
                <w:color w:val="0000FF"/>
                <w:kern w:val="2"/>
                <w:sz w:val="24"/>
                <w:szCs w:val="24"/>
                <w:highlight w:val="none"/>
                <w:lang w:val="en-US" w:eastAsia="zh-CN"/>
              </w:rPr>
              <w:t>规模</w:t>
            </w:r>
            <w:r>
              <w:rPr>
                <w:rFonts w:hint="eastAsia" w:cs="Times New Roman"/>
                <w:color w:val="0000FF"/>
                <w:kern w:val="2"/>
                <w:sz w:val="24"/>
                <w:szCs w:val="24"/>
                <w:highlight w:val="none"/>
                <w:lang w:val="en-US" w:eastAsia="zh-CN"/>
              </w:rPr>
              <w:t>均为</w:t>
            </w:r>
            <w:r>
              <w:rPr>
                <w:rFonts w:hint="default" w:ascii="Times New Roman" w:hAnsi="Times New Roman" w:cs="Times New Roman"/>
                <w:color w:val="0000FF"/>
                <w:kern w:val="2"/>
                <w:sz w:val="24"/>
                <w:szCs w:val="24"/>
                <w:highlight w:val="none"/>
                <w:lang w:val="en-US" w:eastAsia="zh-CN"/>
              </w:rPr>
              <w:t>100</w:t>
            </w:r>
            <w:r>
              <w:rPr>
                <w:rFonts w:hint="default" w:ascii="Times New Roman" w:hAnsi="Times New Roman" w:cs="Times New Roman"/>
                <w:color w:val="0000FF"/>
                <w:kern w:val="2"/>
                <w:sz w:val="24"/>
                <w:szCs w:val="24"/>
                <w:highlight w:val="none"/>
              </w:rPr>
              <w:t>m</w:t>
            </w:r>
            <w:r>
              <w:rPr>
                <w:rFonts w:hint="default" w:ascii="Times New Roman" w:hAnsi="Times New Roman" w:cs="Times New Roman"/>
                <w:color w:val="0000FF"/>
                <w:kern w:val="2"/>
                <w:sz w:val="24"/>
                <w:szCs w:val="24"/>
                <w:highlight w:val="none"/>
                <w:vertAlign w:val="superscript"/>
              </w:rPr>
              <w:t>3</w:t>
            </w:r>
            <w:r>
              <w:rPr>
                <w:rFonts w:hint="default" w:ascii="Times New Roman" w:hAnsi="Times New Roman" w:cs="Times New Roman"/>
                <w:color w:val="0000FF"/>
                <w:kern w:val="2"/>
                <w:sz w:val="24"/>
                <w:szCs w:val="24"/>
                <w:highlight w:val="none"/>
              </w:rPr>
              <w:t>/h</w:t>
            </w:r>
            <w:r>
              <w:rPr>
                <w:rFonts w:hint="eastAsia" w:cs="Times New Roman"/>
                <w:color w:val="0000FF"/>
                <w:kern w:val="2"/>
                <w:sz w:val="24"/>
                <w:szCs w:val="24"/>
                <w:highlight w:val="none"/>
                <w:lang w:eastAsia="zh-CN"/>
              </w:rPr>
              <w:t>，</w:t>
            </w:r>
            <w:r>
              <w:rPr>
                <w:rFonts w:hint="default" w:ascii="Times New Roman" w:hAnsi="Times New Roman" w:cs="Times New Roman"/>
                <w:color w:val="0000FF"/>
                <w:kern w:val="2"/>
                <w:sz w:val="24"/>
                <w:szCs w:val="24"/>
                <w:highlight w:val="none"/>
              </w:rPr>
              <w:t>每天运行8小时</w:t>
            </w:r>
            <w:r>
              <w:rPr>
                <w:rFonts w:hint="eastAsia" w:cs="Times New Roman"/>
                <w:color w:val="0000FF"/>
                <w:kern w:val="2"/>
                <w:sz w:val="24"/>
                <w:szCs w:val="24"/>
                <w:highlight w:val="none"/>
                <w:lang w:eastAsia="zh-CN"/>
              </w:rPr>
              <w:t>。</w:t>
            </w:r>
            <w:r>
              <w:rPr>
                <w:rFonts w:hint="eastAsia" w:cs="Times New Roman"/>
                <w:color w:val="0000FF"/>
                <w:kern w:val="2"/>
                <w:sz w:val="24"/>
                <w:szCs w:val="24"/>
                <w:highlight w:val="none"/>
                <w:lang w:val="en-US" w:eastAsia="zh-CN"/>
              </w:rPr>
              <w:t>项目</w:t>
            </w:r>
            <w:r>
              <w:rPr>
                <w:rFonts w:hint="default" w:ascii="Times New Roman" w:hAnsi="Times New Roman" w:cs="Times New Roman"/>
                <w:color w:val="0000FF"/>
                <w:kern w:val="2"/>
                <w:sz w:val="24"/>
                <w:szCs w:val="24"/>
                <w:highlight w:val="none"/>
              </w:rPr>
              <w:t>冷却方式为间接冷却</w:t>
            </w:r>
            <w:r>
              <w:rPr>
                <w:rFonts w:hint="eastAsia" w:cs="Times New Roman"/>
                <w:color w:val="0000FF"/>
                <w:kern w:val="2"/>
                <w:sz w:val="24"/>
                <w:szCs w:val="24"/>
                <w:highlight w:val="none"/>
                <w:lang w:eastAsia="zh-CN"/>
              </w:rPr>
              <w:t>。</w:t>
            </w:r>
          </w:p>
          <w:p w14:paraId="1D7BEDC4">
            <w:pPr>
              <w:pStyle w:val="14"/>
              <w:keepNext w:val="0"/>
              <w:keepLines w:val="0"/>
              <w:pageBreakBefore w:val="0"/>
              <w:widowControl w:val="0"/>
              <w:kinsoku/>
              <w:wordWrap/>
              <w:overflowPunct/>
              <w:topLinePunct w:val="0"/>
              <w:bidi w:val="0"/>
              <w:snapToGrid/>
              <w:spacing w:before="0" w:after="0" w:line="360" w:lineRule="auto"/>
              <w:ind w:right="0" w:firstLine="480" w:firstLineChars="200"/>
              <w:rPr>
                <w:rFonts w:hint="default" w:ascii="Times New Roman" w:hAnsi="Times New Roman" w:eastAsia="宋体" w:cs="Times New Roman"/>
                <w:color w:val="0000FF"/>
                <w:kern w:val="2"/>
                <w:sz w:val="24"/>
                <w:szCs w:val="24"/>
                <w:highlight w:val="none"/>
                <w:lang w:val="en-US" w:eastAsia="zh-CN"/>
              </w:rPr>
            </w:pPr>
            <w:r>
              <w:rPr>
                <w:rFonts w:hint="eastAsia" w:cs="Times New Roman"/>
                <w:color w:val="0000FF"/>
                <w:kern w:val="2"/>
                <w:sz w:val="24"/>
                <w:szCs w:val="24"/>
                <w:highlight w:val="none"/>
                <w:lang w:val="en-US" w:eastAsia="zh-CN"/>
              </w:rPr>
              <w:t>根据业主提供资料，项目冷却循环水系统每周补水一次（50次/a）。根据</w:t>
            </w:r>
            <w:r>
              <w:rPr>
                <w:rFonts w:hint="default" w:ascii="Times New Roman" w:hAnsi="Times New Roman" w:cs="Times New Roman"/>
                <w:color w:val="0000FF"/>
                <w:sz w:val="24"/>
                <w:highlight w:val="none"/>
                <w:lang w:val="en-US" w:eastAsia="zh-CN"/>
              </w:rPr>
              <w:t>《建筑给水排水设计标准》（GB50015-2019）</w:t>
            </w:r>
            <w:r>
              <w:rPr>
                <w:rFonts w:hint="eastAsia" w:cs="Times New Roman"/>
                <w:color w:val="0000FF"/>
                <w:sz w:val="24"/>
                <w:highlight w:val="none"/>
                <w:lang w:val="en-US" w:eastAsia="zh-CN"/>
              </w:rPr>
              <w:t>，</w:t>
            </w:r>
            <w:r>
              <w:rPr>
                <w:rFonts w:hint="eastAsia" w:cs="Times New Roman"/>
                <w:color w:val="0000FF"/>
                <w:kern w:val="2"/>
                <w:sz w:val="24"/>
                <w:szCs w:val="24"/>
                <w:highlight w:val="none"/>
                <w:lang w:val="en-US" w:eastAsia="zh-CN"/>
              </w:rPr>
              <w:t>补水量按照2％计，2套</w:t>
            </w:r>
            <w:r>
              <w:rPr>
                <w:rFonts w:hint="default" w:ascii="Times New Roman" w:hAnsi="Times New Roman" w:cs="Times New Roman"/>
                <w:color w:val="0000FF"/>
                <w:kern w:val="2"/>
                <w:sz w:val="24"/>
                <w:szCs w:val="24"/>
                <w:highlight w:val="none"/>
              </w:rPr>
              <w:t>冷却循环水补充水量为</w:t>
            </w:r>
            <w:r>
              <w:rPr>
                <w:rFonts w:hint="eastAsia" w:cs="Times New Roman"/>
                <w:color w:val="0000FF"/>
                <w:sz w:val="24"/>
                <w:szCs w:val="24"/>
                <w:highlight w:val="none"/>
                <w:lang w:val="en-US" w:eastAsia="zh-CN"/>
              </w:rPr>
              <w:t>32</w:t>
            </w:r>
            <w:r>
              <w:rPr>
                <w:rFonts w:hint="default" w:ascii="Times New Roman" w:hAnsi="Times New Roman" w:eastAsia="Times New Roman" w:cs="Times New Roman"/>
                <w:color w:val="0000FF"/>
                <w:sz w:val="24"/>
                <w:szCs w:val="24"/>
                <w:highlight w:val="none"/>
              </w:rPr>
              <w:t>m</w:t>
            </w:r>
            <w:r>
              <w:rPr>
                <w:rFonts w:hint="default" w:ascii="Times New Roman" w:hAnsi="Times New Roman" w:cs="Times New Roman"/>
                <w:color w:val="0000FF"/>
                <w:spacing w:val="2"/>
                <w:sz w:val="24"/>
                <w:szCs w:val="24"/>
                <w:highlight w:val="none"/>
                <w:vertAlign w:val="superscript"/>
              </w:rPr>
              <w:t>3</w:t>
            </w:r>
            <w:r>
              <w:rPr>
                <w:rFonts w:hint="default" w:ascii="Times New Roman" w:hAnsi="Times New Roman" w:eastAsia="Times New Roman" w:cs="Times New Roman"/>
                <w:color w:val="0000FF"/>
                <w:sz w:val="24"/>
                <w:szCs w:val="24"/>
                <w:highlight w:val="none"/>
              </w:rPr>
              <w:t>/</w:t>
            </w:r>
            <w:r>
              <w:rPr>
                <w:rFonts w:hint="eastAsia" w:cs="Times New Roman"/>
                <w:color w:val="0000FF"/>
                <w:sz w:val="24"/>
                <w:szCs w:val="24"/>
                <w:highlight w:val="none"/>
                <w:lang w:val="en-US" w:eastAsia="zh-CN"/>
              </w:rPr>
              <w:t>次</w:t>
            </w:r>
            <w:r>
              <w:rPr>
                <w:rFonts w:hint="default" w:ascii="Times New Roman" w:hAnsi="Times New Roman" w:cs="Times New Roman"/>
                <w:color w:val="0000FF"/>
                <w:sz w:val="24"/>
                <w:szCs w:val="24"/>
                <w:highlight w:val="none"/>
              </w:rPr>
              <w:t>（</w:t>
            </w:r>
            <w:r>
              <w:rPr>
                <w:rFonts w:hint="eastAsia" w:ascii="Times New Roman" w:hAnsi="Times New Roman" w:cs="Times New Roman"/>
                <w:color w:val="0000FF"/>
                <w:spacing w:val="2"/>
                <w:sz w:val="24"/>
                <w:szCs w:val="24"/>
                <w:highlight w:val="none"/>
                <w:lang w:val="en-US" w:eastAsia="zh-CN"/>
              </w:rPr>
              <w:t>1</w:t>
            </w:r>
            <w:r>
              <w:rPr>
                <w:rFonts w:hint="eastAsia" w:cs="Times New Roman"/>
                <w:color w:val="0000FF"/>
                <w:spacing w:val="2"/>
                <w:sz w:val="24"/>
                <w:szCs w:val="24"/>
                <w:highlight w:val="none"/>
                <w:lang w:val="en-US" w:eastAsia="zh-CN"/>
              </w:rPr>
              <w:t>6</w:t>
            </w:r>
            <w:r>
              <w:rPr>
                <w:rFonts w:hint="eastAsia" w:ascii="Times New Roman" w:hAnsi="Times New Roman" w:cs="Times New Roman"/>
                <w:color w:val="0000FF"/>
                <w:spacing w:val="2"/>
                <w:sz w:val="24"/>
                <w:szCs w:val="24"/>
                <w:highlight w:val="none"/>
                <w:lang w:val="en-US" w:eastAsia="zh-CN"/>
              </w:rPr>
              <w:t>00</w:t>
            </w:r>
            <w:r>
              <w:rPr>
                <w:rFonts w:hint="default" w:ascii="Times New Roman" w:hAnsi="Times New Roman" w:cs="Times New Roman"/>
                <w:color w:val="0000FF"/>
                <w:sz w:val="24"/>
                <w:szCs w:val="24"/>
                <w:highlight w:val="none"/>
              </w:rPr>
              <w:t>m</w:t>
            </w:r>
            <w:r>
              <w:rPr>
                <w:rFonts w:hint="default" w:ascii="Times New Roman" w:hAnsi="Times New Roman" w:cs="Times New Roman"/>
                <w:color w:val="0000FF"/>
                <w:sz w:val="24"/>
                <w:szCs w:val="24"/>
                <w:highlight w:val="none"/>
                <w:vertAlign w:val="superscript"/>
              </w:rPr>
              <w:t>3</w:t>
            </w:r>
            <w:r>
              <w:rPr>
                <w:rFonts w:hint="default" w:ascii="Times New Roman" w:hAnsi="Times New Roman" w:cs="Times New Roman"/>
                <w:color w:val="0000FF"/>
                <w:sz w:val="24"/>
                <w:szCs w:val="24"/>
                <w:highlight w:val="none"/>
              </w:rPr>
              <w:t>/a</w:t>
            </w:r>
            <w:r>
              <w:rPr>
                <w:rFonts w:hint="default" w:ascii="Times New Roman" w:hAnsi="Times New Roman" w:cs="Times New Roman"/>
                <w:color w:val="0000FF"/>
                <w:spacing w:val="2"/>
                <w:sz w:val="24"/>
                <w:szCs w:val="24"/>
                <w:highlight w:val="none"/>
              </w:rPr>
              <w:t>）</w:t>
            </w:r>
            <w:r>
              <w:rPr>
                <w:rFonts w:hint="default" w:ascii="Times New Roman" w:hAnsi="Times New Roman" w:cs="Times New Roman"/>
                <w:color w:val="0000FF"/>
                <w:kern w:val="2"/>
                <w:sz w:val="24"/>
                <w:szCs w:val="24"/>
                <w:highlight w:val="none"/>
              </w:rPr>
              <w:t>。</w:t>
            </w:r>
            <w:r>
              <w:rPr>
                <w:rFonts w:hint="eastAsia" w:cs="Times New Roman"/>
                <w:color w:val="0000FF"/>
                <w:kern w:val="2"/>
                <w:sz w:val="24"/>
                <w:szCs w:val="24"/>
                <w:highlight w:val="none"/>
                <w:lang w:val="en-US" w:eastAsia="zh-CN"/>
              </w:rPr>
              <w:t>冷却水循环使用，不外排。</w:t>
            </w:r>
          </w:p>
          <w:p w14:paraId="09E71DFA">
            <w:pPr>
              <w:pStyle w:val="14"/>
              <w:keepNext w:val="0"/>
              <w:keepLines w:val="0"/>
              <w:pageBreakBefore w:val="0"/>
              <w:widowControl w:val="0"/>
              <w:kinsoku/>
              <w:wordWrap/>
              <w:overflowPunct/>
              <w:topLinePunct w:val="0"/>
              <w:bidi w:val="0"/>
              <w:snapToGrid/>
              <w:spacing w:before="0" w:after="0" w:line="360" w:lineRule="auto"/>
              <w:ind w:right="0" w:firstLine="480" w:firstLineChars="200"/>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kern w:val="2"/>
                <w:sz w:val="24"/>
                <w:szCs w:val="24"/>
                <w:highlight w:val="none"/>
              </w:rPr>
              <w:t>③</w:t>
            </w:r>
            <w:r>
              <w:rPr>
                <w:rFonts w:hint="default" w:ascii="Times New Roman" w:hAnsi="Times New Roman" w:cs="Times New Roman"/>
                <w:color w:val="auto"/>
                <w:sz w:val="24"/>
                <w:szCs w:val="24"/>
                <w:highlight w:val="none"/>
                <w:lang w:val="en-US" w:eastAsia="zh-CN"/>
              </w:rPr>
              <w:t>盐雾试验废水</w:t>
            </w:r>
          </w:p>
          <w:p w14:paraId="3255B111">
            <w:pPr>
              <w:pStyle w:val="14"/>
              <w:widowControl w:val="0"/>
              <w:snapToGrid/>
              <w:spacing w:before="0" w:after="0" w:line="360" w:lineRule="auto"/>
              <w:ind w:right="0" w:firstLine="480" w:firstLineChars="200"/>
              <w:rPr>
                <w:rFonts w:hint="eastAsia" w:ascii="Times New Roman" w:hAnsi="Times New Roman" w:eastAsia="宋体" w:cs="Times New Roman"/>
                <w:bCs/>
                <w:color w:val="0000FF"/>
                <w:kern w:val="2"/>
                <w:sz w:val="24"/>
                <w:szCs w:val="24"/>
                <w:highlight w:val="none"/>
                <w:lang w:val="en-US" w:eastAsia="zh-CN" w:bidi="ar-SA"/>
              </w:rPr>
            </w:pPr>
            <w:r>
              <w:rPr>
                <w:rFonts w:hint="eastAsia" w:ascii="Times New Roman" w:hAnsi="Times New Roman" w:eastAsia="宋体" w:cs="Times New Roman"/>
                <w:bCs/>
                <w:color w:val="0000FF"/>
                <w:kern w:val="2"/>
                <w:sz w:val="24"/>
                <w:szCs w:val="24"/>
                <w:highlight w:val="none"/>
                <w:lang w:val="en-US" w:eastAsia="zh-CN" w:bidi="ar-SA"/>
              </w:rPr>
              <w:t>本项目仅对采购回来的黄铜和铝片进行盐雾试验</w:t>
            </w:r>
            <w:r>
              <w:rPr>
                <w:rFonts w:hint="eastAsia" w:cs="Times New Roman"/>
                <w:bCs/>
                <w:color w:val="0000FF"/>
                <w:kern w:val="2"/>
                <w:sz w:val="24"/>
                <w:szCs w:val="24"/>
                <w:highlight w:val="none"/>
                <w:lang w:val="en-US" w:eastAsia="zh-CN" w:bidi="ar-SA"/>
              </w:rPr>
              <w:t>。</w:t>
            </w:r>
            <w:r>
              <w:rPr>
                <w:rFonts w:hint="eastAsia" w:ascii="Times New Roman" w:hAnsi="Times New Roman" w:eastAsia="宋体" w:cs="Times New Roman"/>
                <w:bCs/>
                <w:color w:val="0000FF"/>
                <w:kern w:val="2"/>
                <w:sz w:val="24"/>
                <w:szCs w:val="24"/>
                <w:highlight w:val="none"/>
                <w:lang w:val="en-US" w:eastAsia="zh-CN" w:bidi="ar-SA"/>
              </w:rPr>
              <w:t>将黄铜和铝片置于盐水中加温浸泡，观察其是否生锈。</w:t>
            </w:r>
          </w:p>
          <w:p w14:paraId="34DE4879">
            <w:pPr>
              <w:pStyle w:val="14"/>
              <w:widowControl w:val="0"/>
              <w:snapToGrid/>
              <w:spacing w:before="0" w:after="0" w:line="360" w:lineRule="auto"/>
              <w:ind w:right="0" w:firstLine="480" w:firstLineChars="200"/>
              <w:rPr>
                <w:rFonts w:hint="default" w:ascii="Times New Roman" w:hAnsi="Times New Roman" w:cs="Times New Roman"/>
                <w:color w:val="0000FF"/>
                <w:sz w:val="24"/>
                <w:szCs w:val="24"/>
                <w:highlight w:val="none"/>
                <w:lang w:val="en-US" w:eastAsia="zh-CN"/>
              </w:rPr>
            </w:pPr>
            <w:r>
              <w:rPr>
                <w:rFonts w:hint="eastAsia" w:cs="Times New Roman"/>
                <w:bCs/>
                <w:color w:val="0000FF"/>
                <w:kern w:val="2"/>
                <w:sz w:val="24"/>
                <w:szCs w:val="24"/>
                <w:highlight w:val="none"/>
                <w:lang w:val="en-US" w:eastAsia="zh-CN" w:bidi="ar-SA"/>
              </w:rPr>
              <w:t>本项目盐雾试验频次为10次/年，用水约0.005</w:t>
            </w:r>
            <w:r>
              <w:rPr>
                <w:rFonts w:hint="default" w:ascii="Times New Roman" w:hAnsi="Times New Roman" w:eastAsia="宋体" w:cs="Times New Roman"/>
                <w:bCs/>
                <w:color w:val="0000FF"/>
                <w:kern w:val="2"/>
                <w:sz w:val="24"/>
                <w:szCs w:val="24"/>
                <w:highlight w:val="none"/>
                <w:lang w:val="en-US" w:eastAsia="zh-CN" w:bidi="ar-SA"/>
              </w:rPr>
              <w:t>m</w:t>
            </w:r>
            <w:r>
              <w:rPr>
                <w:rFonts w:hint="default" w:ascii="Times New Roman" w:hAnsi="Times New Roman" w:eastAsia="宋体" w:cs="Times New Roman"/>
                <w:bCs/>
                <w:color w:val="0000FF"/>
                <w:kern w:val="2"/>
                <w:sz w:val="24"/>
                <w:szCs w:val="24"/>
                <w:highlight w:val="none"/>
                <w:vertAlign w:val="superscript"/>
                <w:lang w:val="en-US" w:eastAsia="zh-CN" w:bidi="ar-SA"/>
              </w:rPr>
              <w:t>3</w:t>
            </w:r>
            <w:r>
              <w:rPr>
                <w:rFonts w:hint="default" w:ascii="Times New Roman" w:hAnsi="Times New Roman" w:eastAsia="宋体" w:cs="Times New Roman"/>
                <w:bCs/>
                <w:color w:val="0000FF"/>
                <w:kern w:val="2"/>
                <w:sz w:val="24"/>
                <w:szCs w:val="24"/>
                <w:highlight w:val="none"/>
                <w:lang w:val="en-US" w:eastAsia="zh-CN" w:bidi="ar-SA"/>
              </w:rPr>
              <w:t>/次</w:t>
            </w:r>
            <w:r>
              <w:rPr>
                <w:rFonts w:hint="eastAsia" w:ascii="Times New Roman" w:hAnsi="Times New Roman" w:eastAsia="宋体" w:cs="Times New Roman"/>
                <w:bCs/>
                <w:color w:val="0000FF"/>
                <w:kern w:val="2"/>
                <w:sz w:val="24"/>
                <w:szCs w:val="24"/>
                <w:highlight w:val="none"/>
                <w:lang w:val="en-US" w:eastAsia="zh-CN" w:bidi="ar-SA"/>
              </w:rPr>
              <w:t>，</w:t>
            </w:r>
            <w:r>
              <w:rPr>
                <w:rFonts w:hint="eastAsia" w:cs="Times New Roman"/>
                <w:bCs/>
                <w:color w:val="0000FF"/>
                <w:kern w:val="2"/>
                <w:sz w:val="24"/>
                <w:szCs w:val="24"/>
                <w:highlight w:val="none"/>
                <w:lang w:val="en-US" w:eastAsia="zh-CN" w:bidi="ar-SA"/>
              </w:rPr>
              <w:t>则</w:t>
            </w:r>
            <w:r>
              <w:rPr>
                <w:rFonts w:hint="eastAsia" w:ascii="Times New Roman" w:hAnsi="Times New Roman" w:eastAsia="宋体" w:cs="Times New Roman"/>
                <w:bCs/>
                <w:color w:val="0000FF"/>
                <w:kern w:val="2"/>
                <w:sz w:val="24"/>
                <w:szCs w:val="24"/>
                <w:highlight w:val="none"/>
                <w:lang w:val="en-US" w:eastAsia="zh-CN" w:bidi="ar-SA"/>
              </w:rPr>
              <w:t>年用水量约0.05</w:t>
            </w:r>
            <w:r>
              <w:rPr>
                <w:rFonts w:hint="default" w:ascii="Times New Roman" w:hAnsi="Times New Roman" w:cs="Times New Roman"/>
                <w:color w:val="0000FF"/>
                <w:sz w:val="24"/>
                <w:szCs w:val="24"/>
                <w:highlight w:val="none"/>
              </w:rPr>
              <w:t>m</w:t>
            </w:r>
            <w:r>
              <w:rPr>
                <w:rFonts w:hint="default" w:ascii="Times New Roman" w:hAnsi="Times New Roman" w:cs="Times New Roman"/>
                <w:color w:val="0000FF"/>
                <w:sz w:val="24"/>
                <w:szCs w:val="24"/>
                <w:highlight w:val="none"/>
                <w:vertAlign w:val="superscript"/>
              </w:rPr>
              <w:t>3</w:t>
            </w:r>
            <w:r>
              <w:rPr>
                <w:rFonts w:hint="default" w:ascii="Times New Roman" w:hAnsi="Times New Roman" w:cs="Times New Roman"/>
                <w:bCs/>
                <w:color w:val="0000FF"/>
                <w:sz w:val="24"/>
                <w:szCs w:val="24"/>
                <w:highlight w:val="none"/>
              </w:rPr>
              <w:t>/a</w:t>
            </w:r>
            <w:r>
              <w:rPr>
                <w:rFonts w:hint="eastAsia" w:ascii="Times New Roman" w:hAnsi="Times New Roman" w:cs="Times New Roman"/>
                <w:bCs/>
                <w:color w:val="0000FF"/>
                <w:sz w:val="24"/>
                <w:szCs w:val="24"/>
                <w:highlight w:val="none"/>
                <w:lang w:eastAsia="zh-CN"/>
              </w:rPr>
              <w:t>。</w:t>
            </w:r>
            <w:r>
              <w:rPr>
                <w:rFonts w:hint="eastAsia" w:cs="Times New Roman"/>
                <w:bCs/>
                <w:color w:val="0000FF"/>
                <w:sz w:val="24"/>
                <w:szCs w:val="24"/>
                <w:highlight w:val="none"/>
                <w:lang w:val="en-US" w:eastAsia="zh-CN"/>
              </w:rPr>
              <w:t>根据建设单位提供资料，</w:t>
            </w:r>
            <w:r>
              <w:rPr>
                <w:rFonts w:hint="default" w:ascii="Times New Roman" w:hAnsi="Times New Roman" w:eastAsia="宋体" w:cs="Times New Roman"/>
                <w:bCs/>
                <w:color w:val="0000FF"/>
                <w:kern w:val="2"/>
                <w:sz w:val="24"/>
                <w:szCs w:val="24"/>
                <w:highlight w:val="none"/>
                <w:lang w:val="en-US" w:eastAsia="zh-CN" w:bidi="ar-SA"/>
              </w:rPr>
              <w:t>项目盐雾试验废水产生量</w:t>
            </w:r>
            <w:r>
              <w:rPr>
                <w:rFonts w:hint="eastAsia" w:cs="Times New Roman"/>
                <w:bCs/>
                <w:color w:val="0000FF"/>
                <w:kern w:val="2"/>
                <w:sz w:val="24"/>
                <w:szCs w:val="24"/>
                <w:highlight w:val="none"/>
                <w:lang w:val="en-US" w:eastAsia="zh-CN" w:bidi="ar-SA"/>
              </w:rPr>
              <w:t>约</w:t>
            </w:r>
            <w:r>
              <w:rPr>
                <w:rFonts w:hint="default" w:ascii="Times New Roman" w:hAnsi="Times New Roman" w:eastAsia="宋体" w:cs="Times New Roman"/>
                <w:bCs/>
                <w:color w:val="0000FF"/>
                <w:kern w:val="2"/>
                <w:sz w:val="24"/>
                <w:szCs w:val="24"/>
                <w:highlight w:val="none"/>
                <w:lang w:val="en-US" w:eastAsia="zh-CN" w:bidi="ar-SA"/>
              </w:rPr>
              <w:t>0.000</w:t>
            </w:r>
            <w:r>
              <w:rPr>
                <w:rFonts w:hint="eastAsia" w:cs="Times New Roman"/>
                <w:bCs/>
                <w:color w:val="0000FF"/>
                <w:kern w:val="2"/>
                <w:sz w:val="24"/>
                <w:szCs w:val="24"/>
                <w:highlight w:val="none"/>
                <w:lang w:val="en-US" w:eastAsia="zh-CN" w:bidi="ar-SA"/>
              </w:rPr>
              <w:t>5</w:t>
            </w:r>
            <w:r>
              <w:rPr>
                <w:rFonts w:hint="default" w:ascii="Times New Roman" w:hAnsi="Times New Roman" w:eastAsia="宋体" w:cs="Times New Roman"/>
                <w:bCs/>
                <w:color w:val="0000FF"/>
                <w:kern w:val="2"/>
                <w:sz w:val="24"/>
                <w:szCs w:val="24"/>
                <w:highlight w:val="none"/>
                <w:lang w:val="en-US" w:eastAsia="zh-CN" w:bidi="ar-SA"/>
              </w:rPr>
              <w:t>m</w:t>
            </w:r>
            <w:r>
              <w:rPr>
                <w:rFonts w:hint="default" w:ascii="Times New Roman" w:hAnsi="Times New Roman" w:eastAsia="宋体" w:cs="Times New Roman"/>
                <w:bCs/>
                <w:color w:val="0000FF"/>
                <w:kern w:val="2"/>
                <w:sz w:val="24"/>
                <w:szCs w:val="24"/>
                <w:highlight w:val="none"/>
                <w:vertAlign w:val="superscript"/>
                <w:lang w:val="en-US" w:eastAsia="zh-CN" w:bidi="ar-SA"/>
              </w:rPr>
              <w:t>3</w:t>
            </w:r>
            <w:r>
              <w:rPr>
                <w:rFonts w:hint="default" w:ascii="Times New Roman" w:hAnsi="Times New Roman" w:eastAsia="宋体" w:cs="Times New Roman"/>
                <w:bCs/>
                <w:color w:val="0000FF"/>
                <w:kern w:val="2"/>
                <w:sz w:val="24"/>
                <w:szCs w:val="24"/>
                <w:highlight w:val="none"/>
                <w:lang w:val="en-US" w:eastAsia="zh-CN" w:bidi="ar-SA"/>
              </w:rPr>
              <w:t>/次</w:t>
            </w:r>
            <w:r>
              <w:rPr>
                <w:rFonts w:hint="eastAsia" w:cs="Times New Roman"/>
                <w:bCs/>
                <w:color w:val="0000FF"/>
                <w:kern w:val="2"/>
                <w:sz w:val="24"/>
                <w:szCs w:val="24"/>
                <w:highlight w:val="none"/>
                <w:lang w:val="en-US" w:eastAsia="zh-CN" w:bidi="ar-SA"/>
              </w:rPr>
              <w:t>（</w:t>
            </w:r>
            <w:r>
              <w:rPr>
                <w:rFonts w:hint="default" w:ascii="Times New Roman" w:hAnsi="Times New Roman" w:eastAsia="宋体" w:cs="Times New Roman"/>
                <w:bCs/>
                <w:color w:val="0000FF"/>
                <w:kern w:val="2"/>
                <w:sz w:val="24"/>
                <w:szCs w:val="24"/>
                <w:highlight w:val="none"/>
                <w:lang w:val="en-US" w:eastAsia="zh-CN" w:bidi="ar-SA"/>
              </w:rPr>
              <w:t>0.00</w:t>
            </w:r>
            <w:r>
              <w:rPr>
                <w:rFonts w:hint="eastAsia" w:cs="Times New Roman"/>
                <w:bCs/>
                <w:color w:val="0000FF"/>
                <w:kern w:val="2"/>
                <w:sz w:val="24"/>
                <w:szCs w:val="24"/>
                <w:highlight w:val="none"/>
                <w:lang w:val="en-US" w:eastAsia="zh-CN" w:bidi="ar-SA"/>
              </w:rPr>
              <w:t>5</w:t>
            </w:r>
            <w:r>
              <w:rPr>
                <w:rFonts w:hint="default" w:ascii="Times New Roman" w:hAnsi="Times New Roman" w:cs="Times New Roman"/>
                <w:color w:val="0000FF"/>
                <w:sz w:val="24"/>
                <w:szCs w:val="24"/>
                <w:highlight w:val="none"/>
              </w:rPr>
              <w:t>m</w:t>
            </w:r>
            <w:r>
              <w:rPr>
                <w:rFonts w:hint="default" w:ascii="Times New Roman" w:hAnsi="Times New Roman" w:cs="Times New Roman"/>
                <w:color w:val="0000FF"/>
                <w:sz w:val="24"/>
                <w:szCs w:val="24"/>
                <w:highlight w:val="none"/>
                <w:vertAlign w:val="superscript"/>
              </w:rPr>
              <w:t>3</w:t>
            </w:r>
            <w:r>
              <w:rPr>
                <w:rFonts w:hint="default" w:ascii="Times New Roman" w:hAnsi="Times New Roman" w:cs="Times New Roman"/>
                <w:bCs/>
                <w:color w:val="0000FF"/>
                <w:sz w:val="24"/>
                <w:szCs w:val="24"/>
                <w:highlight w:val="none"/>
              </w:rPr>
              <w:t>/a</w:t>
            </w:r>
            <w:r>
              <w:rPr>
                <w:rFonts w:hint="eastAsia" w:cs="Times New Roman"/>
                <w:bCs/>
                <w:color w:val="0000FF"/>
                <w:kern w:val="2"/>
                <w:sz w:val="24"/>
                <w:szCs w:val="24"/>
                <w:highlight w:val="none"/>
                <w:lang w:val="en-US" w:eastAsia="zh-CN" w:bidi="ar-SA"/>
              </w:rPr>
              <w:t>）</w:t>
            </w:r>
            <w:r>
              <w:rPr>
                <w:rFonts w:hint="default" w:ascii="Times New Roman" w:hAnsi="Times New Roman" w:eastAsia="宋体" w:cs="Times New Roman"/>
                <w:bCs/>
                <w:color w:val="0000FF"/>
                <w:kern w:val="2"/>
                <w:sz w:val="24"/>
                <w:szCs w:val="24"/>
                <w:highlight w:val="none"/>
                <w:lang w:val="en-US" w:eastAsia="zh-CN" w:bidi="ar-SA"/>
              </w:rPr>
              <w:t>。</w:t>
            </w:r>
          </w:p>
          <w:p w14:paraId="66FE0B3B">
            <w:pPr>
              <w:pStyle w:val="50"/>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baseline"/>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表2.</w:t>
            </w:r>
            <w:r>
              <w:rPr>
                <w:rFonts w:hint="default" w:ascii="Times New Roman" w:hAnsi="Times New Roman" w:cs="Times New Roman"/>
                <w:b/>
                <w:bCs/>
                <w:color w:val="auto"/>
                <w:sz w:val="24"/>
                <w:szCs w:val="24"/>
                <w:highlight w:val="none"/>
                <w:lang w:val="en-US" w:eastAsia="zh-CN"/>
              </w:rPr>
              <w:t>3</w:t>
            </w:r>
            <w:r>
              <w:rPr>
                <w:rFonts w:hint="default" w:ascii="Times New Roman" w:hAnsi="Times New Roman" w:cs="Times New Roman"/>
                <w:b/>
                <w:bCs/>
                <w:color w:val="auto"/>
                <w:sz w:val="24"/>
                <w:szCs w:val="24"/>
                <w:highlight w:val="none"/>
              </w:rPr>
              <w:t>-</w:t>
            </w:r>
            <w:r>
              <w:rPr>
                <w:rFonts w:hint="default" w:ascii="Times New Roman" w:hAnsi="Times New Roman"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rPr>
              <w:t xml:space="preserve">  本项目用水量、排水量一览表</w:t>
            </w:r>
          </w:p>
          <w:tbl>
            <w:tblPr>
              <w:tblStyle w:val="35"/>
              <w:tblW w:w="83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545"/>
              <w:gridCol w:w="1860"/>
              <w:gridCol w:w="1020"/>
              <w:gridCol w:w="945"/>
              <w:gridCol w:w="870"/>
              <w:gridCol w:w="870"/>
              <w:gridCol w:w="810"/>
            </w:tblGrid>
            <w:tr w14:paraId="5A390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vMerge w:val="restart"/>
                  <w:noWrap w:val="0"/>
                  <w:vAlign w:val="center"/>
                </w:tcPr>
                <w:p w14:paraId="0E695BE4">
                  <w:pPr>
                    <w:keepNext w:val="0"/>
                    <w:keepLines w:val="0"/>
                    <w:widowControl/>
                    <w:suppressLineNumbers w:val="0"/>
                    <w:jc w:val="center"/>
                    <w:textAlignment w:val="center"/>
                    <w:rPr>
                      <w:rFonts w:hint="default" w:ascii="Times New Roman" w:hAnsi="Times New Roman" w:cs="Times New Roman"/>
                      <w:color w:val="0000FF"/>
                      <w:sz w:val="21"/>
                      <w:szCs w:val="21"/>
                      <w:highlight w:val="none"/>
                    </w:rPr>
                  </w:pPr>
                  <w:r>
                    <w:rPr>
                      <w:rFonts w:hint="default" w:ascii="Times New Roman" w:hAnsi="Times New Roman" w:eastAsia="宋体" w:cs="Times New Roman"/>
                      <w:i w:val="0"/>
                      <w:iCs w:val="0"/>
                      <w:color w:val="0000FF"/>
                      <w:kern w:val="0"/>
                      <w:sz w:val="21"/>
                      <w:szCs w:val="21"/>
                      <w:u w:val="none"/>
                      <w:lang w:val="en-US" w:eastAsia="zh-CN" w:bidi="ar"/>
                    </w:rPr>
                    <w:t>序号</w:t>
                  </w:r>
                </w:p>
              </w:tc>
              <w:tc>
                <w:tcPr>
                  <w:tcW w:w="1545" w:type="dxa"/>
                  <w:vMerge w:val="restart"/>
                  <w:noWrap w:val="0"/>
                  <w:vAlign w:val="center"/>
                </w:tcPr>
                <w:p w14:paraId="2C1123E6">
                  <w:pPr>
                    <w:keepNext w:val="0"/>
                    <w:keepLines w:val="0"/>
                    <w:widowControl/>
                    <w:suppressLineNumbers w:val="0"/>
                    <w:jc w:val="center"/>
                    <w:textAlignment w:val="center"/>
                    <w:rPr>
                      <w:rFonts w:hint="default" w:ascii="Times New Roman" w:hAnsi="Times New Roman" w:cs="Times New Roman"/>
                      <w:color w:val="0000FF"/>
                      <w:sz w:val="21"/>
                      <w:szCs w:val="21"/>
                      <w:highlight w:val="none"/>
                    </w:rPr>
                  </w:pPr>
                  <w:r>
                    <w:rPr>
                      <w:rFonts w:hint="default" w:ascii="Times New Roman" w:hAnsi="Times New Roman" w:eastAsia="宋体" w:cs="Times New Roman"/>
                      <w:i w:val="0"/>
                      <w:iCs w:val="0"/>
                      <w:color w:val="0000FF"/>
                      <w:kern w:val="0"/>
                      <w:sz w:val="21"/>
                      <w:szCs w:val="21"/>
                      <w:u w:val="none"/>
                      <w:lang w:val="en-US" w:eastAsia="zh-CN" w:bidi="ar"/>
                    </w:rPr>
                    <w:t>类别</w:t>
                  </w:r>
                </w:p>
              </w:tc>
              <w:tc>
                <w:tcPr>
                  <w:tcW w:w="1860" w:type="dxa"/>
                  <w:vMerge w:val="restart"/>
                  <w:noWrap w:val="0"/>
                  <w:vAlign w:val="center"/>
                </w:tcPr>
                <w:p w14:paraId="58984BAC">
                  <w:pPr>
                    <w:keepNext w:val="0"/>
                    <w:keepLines w:val="0"/>
                    <w:widowControl/>
                    <w:suppressLineNumbers w:val="0"/>
                    <w:jc w:val="center"/>
                    <w:textAlignment w:val="center"/>
                    <w:rPr>
                      <w:rFonts w:hint="default" w:ascii="Times New Roman" w:hAnsi="Times New Roman" w:cs="Times New Roman"/>
                      <w:color w:val="0000FF"/>
                      <w:sz w:val="21"/>
                      <w:szCs w:val="21"/>
                      <w:highlight w:val="none"/>
                    </w:rPr>
                  </w:pPr>
                  <w:r>
                    <w:rPr>
                      <w:rFonts w:hint="default" w:ascii="Times New Roman" w:hAnsi="Times New Roman" w:eastAsia="宋体" w:cs="Times New Roman"/>
                      <w:i w:val="0"/>
                      <w:iCs w:val="0"/>
                      <w:color w:val="0000FF"/>
                      <w:kern w:val="0"/>
                      <w:sz w:val="21"/>
                      <w:szCs w:val="21"/>
                      <w:u w:val="none"/>
                      <w:lang w:val="en-US" w:eastAsia="zh-CN" w:bidi="ar"/>
                    </w:rPr>
                    <w:t>指标</w:t>
                  </w:r>
                </w:p>
              </w:tc>
              <w:tc>
                <w:tcPr>
                  <w:tcW w:w="1020" w:type="dxa"/>
                  <w:vMerge w:val="restart"/>
                  <w:noWrap w:val="0"/>
                  <w:vAlign w:val="center"/>
                </w:tcPr>
                <w:p w14:paraId="76F59B27">
                  <w:pPr>
                    <w:keepNext w:val="0"/>
                    <w:keepLines w:val="0"/>
                    <w:widowControl/>
                    <w:suppressLineNumbers w:val="0"/>
                    <w:jc w:val="center"/>
                    <w:textAlignment w:val="center"/>
                    <w:rPr>
                      <w:rFonts w:hint="default" w:ascii="Times New Roman" w:hAnsi="Times New Roman" w:cs="Times New Roman"/>
                      <w:color w:val="0000FF"/>
                      <w:sz w:val="21"/>
                      <w:szCs w:val="21"/>
                      <w:highlight w:val="none"/>
                    </w:rPr>
                  </w:pPr>
                  <w:r>
                    <w:rPr>
                      <w:rFonts w:hint="default" w:ascii="Times New Roman" w:hAnsi="Times New Roman" w:eastAsia="宋体" w:cs="Times New Roman"/>
                      <w:i w:val="0"/>
                      <w:iCs w:val="0"/>
                      <w:color w:val="0000FF"/>
                      <w:kern w:val="0"/>
                      <w:sz w:val="21"/>
                      <w:szCs w:val="21"/>
                      <w:u w:val="none"/>
                      <w:lang w:val="en-US" w:eastAsia="zh-CN" w:bidi="ar"/>
                    </w:rPr>
                    <w:t>用水指标</w:t>
                  </w:r>
                </w:p>
              </w:tc>
              <w:tc>
                <w:tcPr>
                  <w:tcW w:w="1815" w:type="dxa"/>
                  <w:gridSpan w:val="2"/>
                  <w:noWrap w:val="0"/>
                  <w:vAlign w:val="center"/>
                </w:tcPr>
                <w:p w14:paraId="226D832C">
                  <w:pPr>
                    <w:keepNext w:val="0"/>
                    <w:keepLines w:val="0"/>
                    <w:widowControl/>
                    <w:suppressLineNumbers w:val="0"/>
                    <w:jc w:val="center"/>
                    <w:textAlignment w:val="center"/>
                    <w:rPr>
                      <w:rFonts w:hint="default" w:ascii="Times New Roman" w:hAnsi="Times New Roman" w:cs="Times New Roman"/>
                      <w:color w:val="0000FF"/>
                      <w:sz w:val="21"/>
                      <w:szCs w:val="21"/>
                      <w:highlight w:val="none"/>
                    </w:rPr>
                  </w:pPr>
                  <w:r>
                    <w:rPr>
                      <w:rFonts w:hint="default" w:ascii="Times New Roman" w:hAnsi="Times New Roman" w:eastAsia="宋体" w:cs="Times New Roman"/>
                      <w:i w:val="0"/>
                      <w:iCs w:val="0"/>
                      <w:color w:val="0000FF"/>
                      <w:kern w:val="0"/>
                      <w:sz w:val="21"/>
                      <w:szCs w:val="21"/>
                      <w:u w:val="none"/>
                      <w:lang w:val="en-US" w:eastAsia="zh-CN" w:bidi="ar"/>
                    </w:rPr>
                    <w:t>用水量</w:t>
                  </w:r>
                </w:p>
              </w:tc>
              <w:tc>
                <w:tcPr>
                  <w:tcW w:w="1680" w:type="dxa"/>
                  <w:gridSpan w:val="2"/>
                  <w:noWrap w:val="0"/>
                  <w:vAlign w:val="center"/>
                </w:tcPr>
                <w:p w14:paraId="600BE11D">
                  <w:pPr>
                    <w:keepNext w:val="0"/>
                    <w:keepLines w:val="0"/>
                    <w:widowControl/>
                    <w:suppressLineNumbers w:val="0"/>
                    <w:jc w:val="center"/>
                    <w:textAlignment w:val="center"/>
                    <w:rPr>
                      <w:rFonts w:hint="default" w:ascii="Times New Roman" w:hAnsi="Times New Roman" w:cs="Times New Roman"/>
                      <w:color w:val="0000FF"/>
                      <w:sz w:val="21"/>
                      <w:szCs w:val="21"/>
                      <w:highlight w:val="none"/>
                    </w:rPr>
                  </w:pPr>
                  <w:r>
                    <w:rPr>
                      <w:rFonts w:hint="default" w:ascii="Times New Roman" w:hAnsi="Times New Roman" w:eastAsia="宋体" w:cs="Times New Roman"/>
                      <w:i w:val="0"/>
                      <w:iCs w:val="0"/>
                      <w:color w:val="0000FF"/>
                      <w:kern w:val="0"/>
                      <w:sz w:val="21"/>
                      <w:szCs w:val="21"/>
                      <w:u w:val="none"/>
                      <w:lang w:val="en-US" w:eastAsia="zh-CN" w:bidi="ar"/>
                    </w:rPr>
                    <w:t>排水量</w:t>
                  </w:r>
                </w:p>
              </w:tc>
            </w:tr>
            <w:tr w14:paraId="451AD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vMerge w:val="continue"/>
                  <w:noWrap w:val="0"/>
                  <w:vAlign w:val="center"/>
                </w:tcPr>
                <w:p w14:paraId="6A61C908">
                  <w:pPr>
                    <w:jc w:val="center"/>
                    <w:rPr>
                      <w:rFonts w:hint="default" w:ascii="Times New Roman" w:hAnsi="Times New Roman" w:cs="Times New Roman"/>
                      <w:color w:val="0000FF"/>
                      <w:sz w:val="21"/>
                      <w:szCs w:val="21"/>
                      <w:highlight w:val="none"/>
                    </w:rPr>
                  </w:pPr>
                </w:p>
              </w:tc>
              <w:tc>
                <w:tcPr>
                  <w:tcW w:w="1545" w:type="dxa"/>
                  <w:vMerge w:val="continue"/>
                  <w:noWrap w:val="0"/>
                  <w:vAlign w:val="center"/>
                </w:tcPr>
                <w:p w14:paraId="231B27B4">
                  <w:pPr>
                    <w:jc w:val="center"/>
                    <w:rPr>
                      <w:rFonts w:hint="default" w:ascii="Times New Roman" w:hAnsi="Times New Roman" w:cs="Times New Roman"/>
                      <w:color w:val="0000FF"/>
                      <w:sz w:val="21"/>
                      <w:szCs w:val="21"/>
                      <w:highlight w:val="none"/>
                    </w:rPr>
                  </w:pPr>
                </w:p>
              </w:tc>
              <w:tc>
                <w:tcPr>
                  <w:tcW w:w="1860" w:type="dxa"/>
                  <w:vMerge w:val="continue"/>
                  <w:noWrap w:val="0"/>
                  <w:vAlign w:val="center"/>
                </w:tcPr>
                <w:p w14:paraId="7A3F4A18">
                  <w:pPr>
                    <w:jc w:val="center"/>
                    <w:rPr>
                      <w:rFonts w:hint="default" w:ascii="Times New Roman" w:hAnsi="Times New Roman" w:cs="Times New Roman"/>
                      <w:color w:val="0000FF"/>
                      <w:sz w:val="21"/>
                      <w:szCs w:val="21"/>
                      <w:highlight w:val="none"/>
                    </w:rPr>
                  </w:pPr>
                </w:p>
              </w:tc>
              <w:tc>
                <w:tcPr>
                  <w:tcW w:w="1020" w:type="dxa"/>
                  <w:vMerge w:val="continue"/>
                  <w:noWrap w:val="0"/>
                  <w:vAlign w:val="center"/>
                </w:tcPr>
                <w:p w14:paraId="4537BE2B">
                  <w:pPr>
                    <w:jc w:val="center"/>
                    <w:rPr>
                      <w:rFonts w:hint="default" w:ascii="Times New Roman" w:hAnsi="Times New Roman" w:cs="Times New Roman"/>
                      <w:color w:val="0000FF"/>
                      <w:sz w:val="21"/>
                      <w:szCs w:val="21"/>
                      <w:highlight w:val="none"/>
                    </w:rPr>
                  </w:pPr>
                </w:p>
              </w:tc>
              <w:tc>
                <w:tcPr>
                  <w:tcW w:w="945" w:type="dxa"/>
                  <w:noWrap w:val="0"/>
                  <w:vAlign w:val="center"/>
                </w:tcPr>
                <w:p w14:paraId="43E7CB55">
                  <w:pPr>
                    <w:keepNext w:val="0"/>
                    <w:keepLines w:val="0"/>
                    <w:widowControl/>
                    <w:suppressLineNumbers w:val="0"/>
                    <w:jc w:val="center"/>
                    <w:textAlignment w:val="center"/>
                    <w:rPr>
                      <w:rFonts w:hint="default" w:ascii="Times New Roman" w:hAnsi="Times New Roman" w:cs="Times New Roman"/>
                      <w:color w:val="0000FF"/>
                      <w:sz w:val="21"/>
                      <w:szCs w:val="21"/>
                      <w:highlight w:val="none"/>
                    </w:rPr>
                  </w:pPr>
                  <w:r>
                    <w:rPr>
                      <w:rFonts w:hint="default" w:ascii="Times New Roman" w:hAnsi="Times New Roman" w:eastAsia="宋体" w:cs="Times New Roman"/>
                      <w:i w:val="0"/>
                      <w:iCs w:val="0"/>
                      <w:color w:val="0000FF"/>
                      <w:kern w:val="0"/>
                      <w:sz w:val="21"/>
                      <w:szCs w:val="21"/>
                      <w:u w:val="none"/>
                      <w:lang w:val="en-US" w:eastAsia="zh-CN" w:bidi="ar"/>
                    </w:rPr>
                    <w:t>(m</w:t>
                  </w:r>
                  <w:r>
                    <w:rPr>
                      <w:rFonts w:hint="default" w:ascii="Times New Roman" w:hAnsi="Times New Roman" w:eastAsia="宋体" w:cs="Times New Roman"/>
                      <w:i w:val="0"/>
                      <w:iCs w:val="0"/>
                      <w:color w:val="0000FF"/>
                      <w:kern w:val="0"/>
                      <w:sz w:val="21"/>
                      <w:szCs w:val="21"/>
                      <w:u w:val="none"/>
                      <w:vertAlign w:val="superscript"/>
                      <w:lang w:val="en-US" w:eastAsia="zh-CN" w:bidi="ar"/>
                    </w:rPr>
                    <w:t>3</w:t>
                  </w:r>
                  <w:r>
                    <w:rPr>
                      <w:rFonts w:hint="default" w:ascii="Times New Roman" w:hAnsi="Times New Roman" w:eastAsia="宋体" w:cs="Times New Roman"/>
                      <w:i w:val="0"/>
                      <w:iCs w:val="0"/>
                      <w:color w:val="0000FF"/>
                      <w:kern w:val="0"/>
                      <w:sz w:val="21"/>
                      <w:szCs w:val="21"/>
                      <w:u w:val="none"/>
                      <w:lang w:val="en-US" w:eastAsia="zh-CN" w:bidi="ar"/>
                    </w:rPr>
                    <w:t>/d)</w:t>
                  </w:r>
                </w:p>
              </w:tc>
              <w:tc>
                <w:tcPr>
                  <w:tcW w:w="870" w:type="dxa"/>
                  <w:noWrap w:val="0"/>
                  <w:vAlign w:val="center"/>
                </w:tcPr>
                <w:p w14:paraId="3752DB1E">
                  <w:pPr>
                    <w:keepNext w:val="0"/>
                    <w:keepLines w:val="0"/>
                    <w:widowControl/>
                    <w:suppressLineNumbers w:val="0"/>
                    <w:jc w:val="center"/>
                    <w:textAlignment w:val="center"/>
                    <w:rPr>
                      <w:rFonts w:hint="default" w:ascii="Times New Roman" w:hAnsi="Times New Roman" w:cs="Times New Roman"/>
                      <w:color w:val="0000FF"/>
                      <w:sz w:val="21"/>
                      <w:szCs w:val="21"/>
                      <w:highlight w:val="none"/>
                    </w:rPr>
                  </w:pPr>
                  <w:r>
                    <w:rPr>
                      <w:rFonts w:hint="default" w:ascii="Times New Roman" w:hAnsi="Times New Roman" w:eastAsia="宋体" w:cs="Times New Roman"/>
                      <w:i w:val="0"/>
                      <w:iCs w:val="0"/>
                      <w:color w:val="0000FF"/>
                      <w:kern w:val="0"/>
                      <w:sz w:val="21"/>
                      <w:szCs w:val="21"/>
                      <w:u w:val="none"/>
                      <w:lang w:val="en-US" w:eastAsia="zh-CN" w:bidi="ar"/>
                    </w:rPr>
                    <w:t>(t/a)</w:t>
                  </w:r>
                </w:p>
              </w:tc>
              <w:tc>
                <w:tcPr>
                  <w:tcW w:w="870" w:type="dxa"/>
                  <w:noWrap w:val="0"/>
                  <w:vAlign w:val="center"/>
                </w:tcPr>
                <w:p w14:paraId="4F0E5E7C">
                  <w:pPr>
                    <w:keepNext w:val="0"/>
                    <w:keepLines w:val="0"/>
                    <w:widowControl/>
                    <w:suppressLineNumbers w:val="0"/>
                    <w:jc w:val="center"/>
                    <w:textAlignment w:val="center"/>
                    <w:rPr>
                      <w:rFonts w:hint="default" w:ascii="Times New Roman" w:hAnsi="Times New Roman" w:cs="Times New Roman"/>
                      <w:color w:val="0000FF"/>
                      <w:sz w:val="21"/>
                      <w:szCs w:val="21"/>
                      <w:highlight w:val="none"/>
                    </w:rPr>
                  </w:pPr>
                  <w:r>
                    <w:rPr>
                      <w:rFonts w:hint="default" w:ascii="Times New Roman" w:hAnsi="Times New Roman" w:eastAsia="宋体" w:cs="Times New Roman"/>
                      <w:i w:val="0"/>
                      <w:iCs w:val="0"/>
                      <w:color w:val="0000FF"/>
                      <w:kern w:val="0"/>
                      <w:sz w:val="21"/>
                      <w:szCs w:val="21"/>
                      <w:u w:val="none"/>
                      <w:lang w:val="en-US" w:eastAsia="zh-CN" w:bidi="ar"/>
                    </w:rPr>
                    <w:t>(m</w:t>
                  </w:r>
                  <w:r>
                    <w:rPr>
                      <w:rFonts w:hint="default" w:ascii="Times New Roman" w:hAnsi="Times New Roman" w:eastAsia="宋体" w:cs="Times New Roman"/>
                      <w:i w:val="0"/>
                      <w:iCs w:val="0"/>
                      <w:color w:val="0000FF"/>
                      <w:kern w:val="0"/>
                      <w:sz w:val="21"/>
                      <w:szCs w:val="21"/>
                      <w:u w:val="none"/>
                      <w:vertAlign w:val="superscript"/>
                      <w:lang w:val="en-US" w:eastAsia="zh-CN" w:bidi="ar"/>
                    </w:rPr>
                    <w:t>3</w:t>
                  </w:r>
                  <w:r>
                    <w:rPr>
                      <w:rFonts w:hint="default" w:ascii="Times New Roman" w:hAnsi="Times New Roman" w:eastAsia="宋体" w:cs="Times New Roman"/>
                      <w:i w:val="0"/>
                      <w:iCs w:val="0"/>
                      <w:color w:val="0000FF"/>
                      <w:kern w:val="0"/>
                      <w:sz w:val="21"/>
                      <w:szCs w:val="21"/>
                      <w:u w:val="none"/>
                      <w:lang w:val="en-US" w:eastAsia="zh-CN" w:bidi="ar"/>
                    </w:rPr>
                    <w:t>/d)</w:t>
                  </w:r>
                </w:p>
              </w:tc>
              <w:tc>
                <w:tcPr>
                  <w:tcW w:w="810" w:type="dxa"/>
                  <w:noWrap w:val="0"/>
                  <w:vAlign w:val="center"/>
                </w:tcPr>
                <w:p w14:paraId="154AE567">
                  <w:pPr>
                    <w:keepNext w:val="0"/>
                    <w:keepLines w:val="0"/>
                    <w:widowControl/>
                    <w:suppressLineNumbers w:val="0"/>
                    <w:jc w:val="center"/>
                    <w:textAlignment w:val="center"/>
                    <w:rPr>
                      <w:rFonts w:hint="default" w:ascii="Times New Roman" w:hAnsi="Times New Roman" w:cs="Times New Roman"/>
                      <w:color w:val="0000FF"/>
                      <w:sz w:val="21"/>
                      <w:szCs w:val="21"/>
                      <w:highlight w:val="none"/>
                    </w:rPr>
                  </w:pPr>
                  <w:r>
                    <w:rPr>
                      <w:rFonts w:hint="default" w:ascii="Times New Roman" w:hAnsi="Times New Roman" w:eastAsia="宋体" w:cs="Times New Roman"/>
                      <w:i w:val="0"/>
                      <w:iCs w:val="0"/>
                      <w:color w:val="0000FF"/>
                      <w:kern w:val="0"/>
                      <w:sz w:val="21"/>
                      <w:szCs w:val="21"/>
                      <w:u w:val="none"/>
                      <w:lang w:val="en-US" w:eastAsia="zh-CN" w:bidi="ar"/>
                    </w:rPr>
                    <w:t>(t/a)</w:t>
                  </w:r>
                </w:p>
              </w:tc>
            </w:tr>
            <w:tr w14:paraId="75035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noWrap w:val="0"/>
                  <w:vAlign w:val="center"/>
                </w:tcPr>
                <w:p w14:paraId="3489BC28">
                  <w:pPr>
                    <w:keepNext w:val="0"/>
                    <w:keepLines w:val="0"/>
                    <w:widowControl/>
                    <w:suppressLineNumbers w:val="0"/>
                    <w:jc w:val="center"/>
                    <w:textAlignment w:val="center"/>
                    <w:rPr>
                      <w:rFonts w:hint="default" w:ascii="Times New Roman" w:hAnsi="Times New Roman" w:cs="Times New Roman"/>
                      <w:b/>
                      <w:bCs/>
                      <w:color w:val="0000FF"/>
                      <w:sz w:val="21"/>
                      <w:szCs w:val="21"/>
                      <w:highlight w:val="none"/>
                    </w:rPr>
                  </w:pPr>
                  <w:r>
                    <w:rPr>
                      <w:rFonts w:hint="default" w:ascii="Times New Roman" w:hAnsi="Times New Roman" w:eastAsia="宋体" w:cs="Times New Roman"/>
                      <w:i w:val="0"/>
                      <w:iCs w:val="0"/>
                      <w:color w:val="0000FF"/>
                      <w:kern w:val="0"/>
                      <w:sz w:val="21"/>
                      <w:szCs w:val="21"/>
                      <w:u w:val="none"/>
                      <w:lang w:val="en-US" w:eastAsia="zh-CN" w:bidi="ar"/>
                    </w:rPr>
                    <w:t>1</w:t>
                  </w:r>
                </w:p>
              </w:tc>
              <w:tc>
                <w:tcPr>
                  <w:tcW w:w="1545" w:type="dxa"/>
                  <w:noWrap w:val="0"/>
                  <w:vAlign w:val="center"/>
                </w:tcPr>
                <w:p w14:paraId="081AD923">
                  <w:pPr>
                    <w:keepNext w:val="0"/>
                    <w:keepLines w:val="0"/>
                    <w:widowControl/>
                    <w:suppressLineNumbers w:val="0"/>
                    <w:jc w:val="center"/>
                    <w:textAlignment w:val="center"/>
                    <w:rPr>
                      <w:rFonts w:hint="default" w:ascii="Times New Roman" w:hAnsi="Times New Roman" w:cs="Times New Roman"/>
                      <w:b/>
                      <w:bCs/>
                      <w:color w:val="0000FF"/>
                      <w:sz w:val="21"/>
                      <w:szCs w:val="21"/>
                      <w:highlight w:val="none"/>
                    </w:rPr>
                  </w:pPr>
                  <w:r>
                    <w:rPr>
                      <w:rFonts w:hint="default" w:ascii="Times New Roman" w:hAnsi="Times New Roman" w:eastAsia="宋体" w:cs="Times New Roman"/>
                      <w:i w:val="0"/>
                      <w:iCs w:val="0"/>
                      <w:color w:val="0000FF"/>
                      <w:kern w:val="0"/>
                      <w:sz w:val="21"/>
                      <w:szCs w:val="21"/>
                      <w:u w:val="none"/>
                      <w:lang w:val="en-US" w:eastAsia="zh-CN" w:bidi="ar"/>
                    </w:rPr>
                    <w:t>生活用水</w:t>
                  </w:r>
                </w:p>
              </w:tc>
              <w:tc>
                <w:tcPr>
                  <w:tcW w:w="1860" w:type="dxa"/>
                  <w:noWrap w:val="0"/>
                  <w:vAlign w:val="center"/>
                </w:tcPr>
                <w:p w14:paraId="38C7AE66">
                  <w:pPr>
                    <w:keepNext w:val="0"/>
                    <w:keepLines w:val="0"/>
                    <w:widowControl/>
                    <w:suppressLineNumbers w:val="0"/>
                    <w:jc w:val="center"/>
                    <w:textAlignment w:val="center"/>
                    <w:rPr>
                      <w:rFonts w:hint="default" w:ascii="Times New Roman" w:hAnsi="Times New Roman" w:cs="Times New Roman"/>
                      <w:color w:val="0000FF"/>
                      <w:sz w:val="21"/>
                      <w:szCs w:val="21"/>
                      <w:highlight w:val="none"/>
                    </w:rPr>
                  </w:pPr>
                  <w:r>
                    <w:rPr>
                      <w:rFonts w:hint="default" w:ascii="Times New Roman" w:hAnsi="Times New Roman" w:eastAsia="宋体" w:cs="Times New Roman"/>
                      <w:i w:val="0"/>
                      <w:iCs w:val="0"/>
                      <w:color w:val="0000FF"/>
                      <w:kern w:val="0"/>
                      <w:sz w:val="21"/>
                      <w:szCs w:val="21"/>
                      <w:u w:val="none"/>
                      <w:lang w:val="en-US" w:eastAsia="zh-CN" w:bidi="ar"/>
                    </w:rPr>
                    <w:t>400人</w:t>
                  </w:r>
                </w:p>
              </w:tc>
              <w:tc>
                <w:tcPr>
                  <w:tcW w:w="1020" w:type="dxa"/>
                  <w:noWrap w:val="0"/>
                  <w:vAlign w:val="center"/>
                </w:tcPr>
                <w:p w14:paraId="289F365D">
                  <w:pPr>
                    <w:keepNext w:val="0"/>
                    <w:keepLines w:val="0"/>
                    <w:widowControl/>
                    <w:suppressLineNumbers w:val="0"/>
                    <w:jc w:val="center"/>
                    <w:textAlignment w:val="center"/>
                    <w:rPr>
                      <w:rFonts w:hint="default" w:ascii="Times New Roman" w:hAnsi="Times New Roman" w:cs="Times New Roman"/>
                      <w:color w:val="0000FF"/>
                      <w:sz w:val="21"/>
                      <w:szCs w:val="21"/>
                      <w:highlight w:val="none"/>
                    </w:rPr>
                  </w:pPr>
                  <w:r>
                    <w:rPr>
                      <w:rFonts w:hint="eastAsia" w:cs="Times New Roman"/>
                      <w:i w:val="0"/>
                      <w:iCs w:val="0"/>
                      <w:color w:val="0000FF"/>
                      <w:kern w:val="0"/>
                      <w:sz w:val="21"/>
                      <w:szCs w:val="21"/>
                      <w:u w:val="none"/>
                      <w:lang w:val="en-US" w:eastAsia="zh-CN" w:bidi="ar"/>
                    </w:rPr>
                    <w:t>5</w:t>
                  </w:r>
                  <w:r>
                    <w:rPr>
                      <w:rFonts w:hint="default" w:ascii="Times New Roman" w:hAnsi="Times New Roman" w:eastAsia="宋体" w:cs="Times New Roman"/>
                      <w:i w:val="0"/>
                      <w:iCs w:val="0"/>
                      <w:color w:val="0000FF"/>
                      <w:kern w:val="0"/>
                      <w:sz w:val="21"/>
                      <w:szCs w:val="21"/>
                      <w:u w:val="none"/>
                      <w:lang w:val="en-US" w:eastAsia="zh-CN" w:bidi="ar"/>
                    </w:rPr>
                    <w:t>0L/（人·d）</w:t>
                  </w:r>
                </w:p>
              </w:tc>
              <w:tc>
                <w:tcPr>
                  <w:tcW w:w="945" w:type="dxa"/>
                  <w:noWrap w:val="0"/>
                  <w:vAlign w:val="center"/>
                </w:tcPr>
                <w:p w14:paraId="1DA8B501">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highlight w:val="none"/>
                      <w:lang w:val="en-US" w:eastAsia="zh-CN"/>
                    </w:rPr>
                  </w:pPr>
                  <w:r>
                    <w:rPr>
                      <w:rFonts w:hint="default" w:ascii="Times New Roman" w:hAnsi="Times New Roman" w:cs="Times New Roman"/>
                      <w:i w:val="0"/>
                      <w:iCs w:val="0"/>
                      <w:color w:val="0000FF"/>
                      <w:kern w:val="0"/>
                      <w:sz w:val="21"/>
                      <w:szCs w:val="21"/>
                      <w:u w:val="none"/>
                      <w:lang w:val="en-US" w:eastAsia="zh-CN" w:bidi="ar"/>
                    </w:rPr>
                    <w:t>20</w:t>
                  </w:r>
                </w:p>
              </w:tc>
              <w:tc>
                <w:tcPr>
                  <w:tcW w:w="870" w:type="dxa"/>
                  <w:noWrap w:val="0"/>
                  <w:vAlign w:val="center"/>
                </w:tcPr>
                <w:p w14:paraId="7D29A7F5">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highlight w:val="none"/>
                      <w:lang w:val="en-US" w:eastAsia="zh-CN"/>
                    </w:rPr>
                  </w:pPr>
                  <w:r>
                    <w:rPr>
                      <w:rFonts w:hint="default" w:ascii="Times New Roman" w:hAnsi="Times New Roman" w:cs="Times New Roman"/>
                      <w:i w:val="0"/>
                      <w:iCs w:val="0"/>
                      <w:color w:val="0000FF"/>
                      <w:kern w:val="0"/>
                      <w:sz w:val="21"/>
                      <w:szCs w:val="21"/>
                      <w:u w:val="none"/>
                      <w:lang w:val="en-US" w:eastAsia="zh-CN" w:bidi="ar"/>
                    </w:rPr>
                    <w:t>6000</w:t>
                  </w:r>
                </w:p>
              </w:tc>
              <w:tc>
                <w:tcPr>
                  <w:tcW w:w="870" w:type="dxa"/>
                  <w:noWrap w:val="0"/>
                  <w:vAlign w:val="center"/>
                </w:tcPr>
                <w:p w14:paraId="6DFC04B7">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highlight w:val="none"/>
                      <w:lang w:val="en-US" w:eastAsia="zh-CN"/>
                    </w:rPr>
                  </w:pPr>
                  <w:r>
                    <w:rPr>
                      <w:rFonts w:hint="default" w:ascii="Times New Roman" w:hAnsi="Times New Roman" w:cs="Times New Roman"/>
                      <w:i w:val="0"/>
                      <w:iCs w:val="0"/>
                      <w:color w:val="0000FF"/>
                      <w:kern w:val="0"/>
                      <w:sz w:val="21"/>
                      <w:szCs w:val="21"/>
                      <w:u w:val="none"/>
                      <w:lang w:val="en-US" w:eastAsia="zh-CN" w:bidi="ar"/>
                    </w:rPr>
                    <w:t>16</w:t>
                  </w:r>
                </w:p>
              </w:tc>
              <w:tc>
                <w:tcPr>
                  <w:tcW w:w="810" w:type="dxa"/>
                  <w:noWrap w:val="0"/>
                  <w:vAlign w:val="center"/>
                </w:tcPr>
                <w:p w14:paraId="18E18B54">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highlight w:val="none"/>
                      <w:lang w:val="en-US" w:eastAsia="zh-CN"/>
                    </w:rPr>
                  </w:pPr>
                  <w:r>
                    <w:rPr>
                      <w:rFonts w:hint="default" w:ascii="Times New Roman" w:hAnsi="Times New Roman" w:cs="Times New Roman"/>
                      <w:i w:val="0"/>
                      <w:iCs w:val="0"/>
                      <w:color w:val="0000FF"/>
                      <w:kern w:val="0"/>
                      <w:sz w:val="21"/>
                      <w:szCs w:val="21"/>
                      <w:u w:val="none"/>
                      <w:lang w:val="en-US" w:eastAsia="zh-CN" w:bidi="ar"/>
                    </w:rPr>
                    <w:t>4800</w:t>
                  </w:r>
                </w:p>
              </w:tc>
            </w:tr>
            <w:tr w14:paraId="02955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noWrap w:val="0"/>
                  <w:vAlign w:val="center"/>
                </w:tcPr>
                <w:p w14:paraId="209C4E58">
                  <w:pPr>
                    <w:keepNext w:val="0"/>
                    <w:keepLines w:val="0"/>
                    <w:widowControl/>
                    <w:suppressLineNumbers w:val="0"/>
                    <w:jc w:val="center"/>
                    <w:textAlignment w:val="center"/>
                    <w:rPr>
                      <w:rFonts w:hint="default" w:ascii="Times New Roman" w:hAnsi="Times New Roman" w:cs="Times New Roman"/>
                      <w:b/>
                      <w:bCs/>
                      <w:color w:val="0000FF"/>
                      <w:sz w:val="21"/>
                      <w:szCs w:val="21"/>
                      <w:highlight w:val="none"/>
                    </w:rPr>
                  </w:pPr>
                  <w:r>
                    <w:rPr>
                      <w:rFonts w:hint="default" w:ascii="Times New Roman" w:hAnsi="Times New Roman" w:eastAsia="宋体" w:cs="Times New Roman"/>
                      <w:i w:val="0"/>
                      <w:iCs w:val="0"/>
                      <w:color w:val="0000FF"/>
                      <w:kern w:val="0"/>
                      <w:sz w:val="21"/>
                      <w:szCs w:val="21"/>
                      <w:u w:val="none"/>
                      <w:lang w:val="en-US" w:eastAsia="zh-CN" w:bidi="ar"/>
                    </w:rPr>
                    <w:t>2</w:t>
                  </w:r>
                </w:p>
              </w:tc>
              <w:tc>
                <w:tcPr>
                  <w:tcW w:w="1545" w:type="dxa"/>
                  <w:noWrap w:val="0"/>
                  <w:vAlign w:val="center"/>
                </w:tcPr>
                <w:p w14:paraId="5B53CB32">
                  <w:pPr>
                    <w:keepNext w:val="0"/>
                    <w:keepLines w:val="0"/>
                    <w:widowControl/>
                    <w:suppressLineNumbers w:val="0"/>
                    <w:jc w:val="center"/>
                    <w:textAlignment w:val="center"/>
                    <w:rPr>
                      <w:rFonts w:hint="default" w:ascii="Times New Roman" w:hAnsi="Times New Roman" w:cs="Times New Roman"/>
                      <w:b/>
                      <w:bCs/>
                      <w:color w:val="0000FF"/>
                      <w:kern w:val="2"/>
                      <w:sz w:val="21"/>
                      <w:szCs w:val="21"/>
                      <w:highlight w:val="none"/>
                    </w:rPr>
                  </w:pPr>
                  <w:r>
                    <w:rPr>
                      <w:rFonts w:hint="default" w:ascii="Times New Roman" w:hAnsi="Times New Roman" w:eastAsia="宋体" w:cs="Times New Roman"/>
                      <w:i w:val="0"/>
                      <w:iCs w:val="0"/>
                      <w:color w:val="0000FF"/>
                      <w:kern w:val="0"/>
                      <w:sz w:val="21"/>
                      <w:szCs w:val="21"/>
                      <w:u w:val="none"/>
                      <w:lang w:val="en-US" w:eastAsia="zh-CN" w:bidi="ar"/>
                    </w:rPr>
                    <w:t>冷却塔补水</w:t>
                  </w:r>
                </w:p>
              </w:tc>
              <w:tc>
                <w:tcPr>
                  <w:tcW w:w="1860" w:type="dxa"/>
                  <w:noWrap w:val="0"/>
                  <w:vAlign w:val="center"/>
                </w:tcPr>
                <w:p w14:paraId="7C206265">
                  <w:pPr>
                    <w:keepNext w:val="0"/>
                    <w:keepLines w:val="0"/>
                    <w:widowControl/>
                    <w:suppressLineNumbers w:val="0"/>
                    <w:jc w:val="center"/>
                    <w:textAlignment w:val="center"/>
                    <w:rPr>
                      <w:rFonts w:hint="default" w:ascii="Times New Roman" w:hAnsi="Times New Roman" w:cs="Times New Roman"/>
                      <w:color w:val="0000FF"/>
                      <w:sz w:val="21"/>
                      <w:szCs w:val="21"/>
                    </w:rPr>
                  </w:pPr>
                  <w:r>
                    <w:rPr>
                      <w:rFonts w:hint="default" w:ascii="Times New Roman" w:hAnsi="Times New Roman" w:cs="Times New Roman"/>
                      <w:i w:val="0"/>
                      <w:iCs w:val="0"/>
                      <w:color w:val="0000FF"/>
                      <w:kern w:val="0"/>
                      <w:sz w:val="21"/>
                      <w:szCs w:val="21"/>
                      <w:u w:val="none"/>
                      <w:lang w:val="en-US" w:eastAsia="zh-CN" w:bidi="ar"/>
                    </w:rPr>
                    <w:t>2套冷却循环水系统，两台</w:t>
                  </w:r>
                  <w:r>
                    <w:rPr>
                      <w:rFonts w:hint="default" w:ascii="Times New Roman" w:hAnsi="Times New Roman" w:eastAsia="宋体" w:cs="Times New Roman"/>
                      <w:i w:val="0"/>
                      <w:iCs w:val="0"/>
                      <w:color w:val="0000FF"/>
                      <w:kern w:val="0"/>
                      <w:sz w:val="21"/>
                      <w:szCs w:val="21"/>
                      <w:u w:val="none"/>
                      <w:lang w:val="en-US" w:eastAsia="zh-CN" w:bidi="ar"/>
                    </w:rPr>
                    <w:t>循环水量</w:t>
                  </w:r>
                  <w:r>
                    <w:rPr>
                      <w:rFonts w:hint="default" w:ascii="Times New Roman" w:hAnsi="Times New Roman" w:cs="Times New Roman"/>
                      <w:i w:val="0"/>
                      <w:iCs w:val="0"/>
                      <w:color w:val="0000FF"/>
                      <w:kern w:val="0"/>
                      <w:sz w:val="21"/>
                      <w:szCs w:val="21"/>
                      <w:u w:val="none"/>
                      <w:lang w:val="en-US" w:eastAsia="zh-CN" w:bidi="ar"/>
                    </w:rPr>
                    <w:t>1</w:t>
                  </w:r>
                  <w:r>
                    <w:rPr>
                      <w:rFonts w:hint="default" w:ascii="Times New Roman" w:hAnsi="Times New Roman" w:eastAsia="宋体" w:cs="Times New Roman"/>
                      <w:i w:val="0"/>
                      <w:iCs w:val="0"/>
                      <w:color w:val="0000FF"/>
                      <w:kern w:val="0"/>
                      <w:sz w:val="21"/>
                      <w:szCs w:val="21"/>
                      <w:u w:val="none"/>
                      <w:lang w:val="en-US" w:eastAsia="zh-CN" w:bidi="ar"/>
                    </w:rPr>
                    <w:t>00m</w:t>
                  </w:r>
                  <w:r>
                    <w:rPr>
                      <w:rFonts w:hint="default" w:ascii="Times New Roman" w:hAnsi="Times New Roman" w:eastAsia="宋体" w:cs="Times New Roman"/>
                      <w:i w:val="0"/>
                      <w:iCs w:val="0"/>
                      <w:color w:val="0000FF"/>
                      <w:kern w:val="0"/>
                      <w:sz w:val="21"/>
                      <w:szCs w:val="21"/>
                      <w:u w:val="none"/>
                      <w:vertAlign w:val="superscript"/>
                      <w:lang w:val="en-US" w:eastAsia="zh-CN" w:bidi="ar"/>
                    </w:rPr>
                    <w:t>3</w:t>
                  </w:r>
                  <w:r>
                    <w:rPr>
                      <w:rFonts w:hint="default" w:ascii="Times New Roman" w:hAnsi="Times New Roman" w:eastAsia="宋体" w:cs="Times New Roman"/>
                      <w:i w:val="0"/>
                      <w:iCs w:val="0"/>
                      <w:color w:val="0000FF"/>
                      <w:kern w:val="0"/>
                      <w:sz w:val="21"/>
                      <w:szCs w:val="21"/>
                      <w:u w:val="none"/>
                      <w:lang w:val="en-US" w:eastAsia="zh-CN" w:bidi="ar"/>
                    </w:rPr>
                    <w:t>/h，</w:t>
                  </w:r>
                  <w:r>
                    <w:rPr>
                      <w:rFonts w:hint="default" w:ascii="Times New Roman" w:hAnsi="Times New Roman" w:cs="Times New Roman"/>
                      <w:i w:val="0"/>
                      <w:iCs w:val="0"/>
                      <w:color w:val="0000FF"/>
                      <w:kern w:val="0"/>
                      <w:sz w:val="21"/>
                      <w:szCs w:val="21"/>
                      <w:u w:val="none"/>
                      <w:lang w:val="en-US" w:eastAsia="zh-CN" w:bidi="ar"/>
                    </w:rPr>
                    <w:t>每天运行</w:t>
                  </w:r>
                  <w:r>
                    <w:rPr>
                      <w:rFonts w:hint="default" w:ascii="Times New Roman" w:hAnsi="Times New Roman" w:eastAsia="宋体" w:cs="Times New Roman"/>
                      <w:i w:val="0"/>
                      <w:iCs w:val="0"/>
                      <w:color w:val="0000FF"/>
                      <w:kern w:val="0"/>
                      <w:sz w:val="21"/>
                      <w:szCs w:val="21"/>
                      <w:u w:val="none"/>
                      <w:lang w:val="en-US" w:eastAsia="zh-CN" w:bidi="ar"/>
                    </w:rPr>
                    <w:t>8h/d</w:t>
                  </w:r>
                </w:p>
              </w:tc>
              <w:tc>
                <w:tcPr>
                  <w:tcW w:w="1020" w:type="dxa"/>
                  <w:noWrap w:val="0"/>
                  <w:vAlign w:val="center"/>
                </w:tcPr>
                <w:p w14:paraId="0C4EA58B">
                  <w:pPr>
                    <w:keepNext w:val="0"/>
                    <w:keepLines w:val="0"/>
                    <w:widowControl/>
                    <w:suppressLineNumbers w:val="0"/>
                    <w:jc w:val="both"/>
                    <w:textAlignment w:val="center"/>
                    <w:rPr>
                      <w:rFonts w:hint="default" w:ascii="Times New Roman" w:hAnsi="Times New Roman" w:cs="Times New Roman"/>
                      <w:color w:val="0000FF"/>
                      <w:sz w:val="21"/>
                      <w:szCs w:val="21"/>
                    </w:rPr>
                  </w:pPr>
                  <w:r>
                    <w:rPr>
                      <w:rFonts w:hint="default" w:ascii="Times New Roman" w:hAnsi="Times New Roman" w:eastAsia="宋体" w:cs="Times New Roman"/>
                      <w:i w:val="0"/>
                      <w:iCs w:val="0"/>
                      <w:color w:val="0000FF"/>
                      <w:kern w:val="0"/>
                      <w:sz w:val="21"/>
                      <w:szCs w:val="21"/>
                      <w:u w:val="none"/>
                      <w:lang w:val="en-US" w:eastAsia="zh-CN" w:bidi="ar"/>
                    </w:rPr>
                    <w:t>补水量为循环水量的</w:t>
                  </w:r>
                  <w:r>
                    <w:rPr>
                      <w:rFonts w:hint="default" w:ascii="Times New Roman" w:hAnsi="Times New Roman" w:cs="Times New Roman"/>
                      <w:i w:val="0"/>
                      <w:iCs w:val="0"/>
                      <w:color w:val="0000FF"/>
                      <w:kern w:val="0"/>
                      <w:sz w:val="21"/>
                      <w:szCs w:val="21"/>
                      <w:u w:val="none"/>
                      <w:lang w:val="en-US" w:eastAsia="zh-CN" w:bidi="ar"/>
                    </w:rPr>
                    <w:t>2</w:t>
                  </w:r>
                  <w:r>
                    <w:rPr>
                      <w:rFonts w:hint="default" w:ascii="Times New Roman" w:hAnsi="Times New Roman" w:eastAsia="宋体" w:cs="Times New Roman"/>
                      <w:i w:val="0"/>
                      <w:iCs w:val="0"/>
                      <w:color w:val="0000FF"/>
                      <w:kern w:val="0"/>
                      <w:sz w:val="21"/>
                      <w:szCs w:val="21"/>
                      <w:u w:val="none"/>
                      <w:lang w:val="en-US" w:eastAsia="zh-CN" w:bidi="ar"/>
                    </w:rPr>
                    <w:t>%</w:t>
                  </w:r>
                </w:p>
              </w:tc>
              <w:tc>
                <w:tcPr>
                  <w:tcW w:w="945" w:type="dxa"/>
                  <w:noWrap w:val="0"/>
                  <w:vAlign w:val="center"/>
                </w:tcPr>
                <w:p w14:paraId="74C336A1">
                  <w:pPr>
                    <w:keepNext w:val="0"/>
                    <w:keepLines w:val="0"/>
                    <w:widowControl/>
                    <w:suppressLineNumbers w:val="0"/>
                    <w:jc w:val="center"/>
                    <w:textAlignment w:val="center"/>
                    <w:rPr>
                      <w:rFonts w:hint="default" w:ascii="Times New Roman" w:hAnsi="Times New Roman" w:cs="Times New Roman"/>
                      <w:color w:val="0000FF"/>
                      <w:sz w:val="21"/>
                      <w:szCs w:val="21"/>
                      <w:lang w:val="en-US"/>
                    </w:rPr>
                  </w:pPr>
                  <w:r>
                    <w:rPr>
                      <w:rFonts w:hint="default" w:ascii="Times New Roman" w:hAnsi="Times New Roman" w:cs="Times New Roman"/>
                      <w:i w:val="0"/>
                      <w:iCs w:val="0"/>
                      <w:color w:val="0000FF"/>
                      <w:kern w:val="0"/>
                      <w:sz w:val="21"/>
                      <w:szCs w:val="21"/>
                      <w:u w:val="none"/>
                      <w:lang w:val="en-US" w:eastAsia="zh-CN" w:bidi="ar"/>
                    </w:rPr>
                    <w:t>32</w:t>
                  </w:r>
                </w:p>
              </w:tc>
              <w:tc>
                <w:tcPr>
                  <w:tcW w:w="870" w:type="dxa"/>
                  <w:noWrap w:val="0"/>
                  <w:vAlign w:val="center"/>
                </w:tcPr>
                <w:p w14:paraId="5CB3F996">
                  <w:pPr>
                    <w:keepNext w:val="0"/>
                    <w:keepLines w:val="0"/>
                    <w:widowControl/>
                    <w:suppressLineNumbers w:val="0"/>
                    <w:jc w:val="center"/>
                    <w:textAlignment w:val="center"/>
                    <w:rPr>
                      <w:rFonts w:hint="default" w:ascii="Times New Roman" w:hAnsi="Times New Roman" w:cs="Times New Roman"/>
                      <w:color w:val="0000FF"/>
                      <w:sz w:val="21"/>
                      <w:szCs w:val="21"/>
                    </w:rPr>
                  </w:pPr>
                  <w:r>
                    <w:rPr>
                      <w:rFonts w:hint="default" w:ascii="Times New Roman" w:hAnsi="Times New Roman" w:eastAsia="宋体" w:cs="Times New Roman"/>
                      <w:i w:val="0"/>
                      <w:iCs w:val="0"/>
                      <w:color w:val="0000FF"/>
                      <w:kern w:val="0"/>
                      <w:sz w:val="21"/>
                      <w:szCs w:val="21"/>
                      <w:u w:val="none"/>
                      <w:lang w:val="en-US" w:eastAsia="zh-CN" w:bidi="ar"/>
                    </w:rPr>
                    <w:t>1</w:t>
                  </w:r>
                  <w:r>
                    <w:rPr>
                      <w:rFonts w:hint="default" w:ascii="Times New Roman" w:hAnsi="Times New Roman" w:cs="Times New Roman"/>
                      <w:i w:val="0"/>
                      <w:iCs w:val="0"/>
                      <w:color w:val="0000FF"/>
                      <w:kern w:val="0"/>
                      <w:sz w:val="21"/>
                      <w:szCs w:val="21"/>
                      <w:u w:val="none"/>
                      <w:lang w:val="en-US" w:eastAsia="zh-CN" w:bidi="ar"/>
                    </w:rPr>
                    <w:t>6</w:t>
                  </w:r>
                  <w:r>
                    <w:rPr>
                      <w:rFonts w:hint="default" w:ascii="Times New Roman" w:hAnsi="Times New Roman" w:eastAsia="宋体" w:cs="Times New Roman"/>
                      <w:i w:val="0"/>
                      <w:iCs w:val="0"/>
                      <w:color w:val="0000FF"/>
                      <w:kern w:val="0"/>
                      <w:sz w:val="21"/>
                      <w:szCs w:val="21"/>
                      <w:u w:val="none"/>
                      <w:lang w:val="en-US" w:eastAsia="zh-CN" w:bidi="ar"/>
                    </w:rPr>
                    <w:t>00</w:t>
                  </w:r>
                </w:p>
              </w:tc>
              <w:tc>
                <w:tcPr>
                  <w:tcW w:w="870" w:type="dxa"/>
                  <w:noWrap w:val="0"/>
                  <w:vAlign w:val="center"/>
                </w:tcPr>
                <w:p w14:paraId="4E30DDCD">
                  <w:pPr>
                    <w:keepNext w:val="0"/>
                    <w:keepLines w:val="0"/>
                    <w:widowControl/>
                    <w:suppressLineNumbers w:val="0"/>
                    <w:jc w:val="center"/>
                    <w:textAlignment w:val="center"/>
                    <w:rPr>
                      <w:rFonts w:hint="default" w:ascii="Times New Roman" w:hAnsi="Times New Roman" w:cs="Times New Roman"/>
                      <w:color w:val="0000FF"/>
                      <w:sz w:val="21"/>
                      <w:szCs w:val="21"/>
                    </w:rPr>
                  </w:pPr>
                  <w:r>
                    <w:rPr>
                      <w:rFonts w:hint="default" w:ascii="Times New Roman" w:hAnsi="Times New Roman" w:eastAsia="宋体" w:cs="Times New Roman"/>
                      <w:i w:val="0"/>
                      <w:iCs w:val="0"/>
                      <w:color w:val="0000FF"/>
                      <w:kern w:val="0"/>
                      <w:sz w:val="21"/>
                      <w:szCs w:val="21"/>
                      <w:u w:val="none"/>
                      <w:lang w:val="en-US" w:eastAsia="zh-CN" w:bidi="ar"/>
                    </w:rPr>
                    <w:t>0</w:t>
                  </w:r>
                </w:p>
              </w:tc>
              <w:tc>
                <w:tcPr>
                  <w:tcW w:w="810" w:type="dxa"/>
                  <w:noWrap w:val="0"/>
                  <w:vAlign w:val="center"/>
                </w:tcPr>
                <w:p w14:paraId="4E633C2C">
                  <w:pPr>
                    <w:keepNext w:val="0"/>
                    <w:keepLines w:val="0"/>
                    <w:widowControl/>
                    <w:suppressLineNumbers w:val="0"/>
                    <w:jc w:val="center"/>
                    <w:textAlignment w:val="center"/>
                    <w:rPr>
                      <w:rFonts w:hint="default" w:ascii="Times New Roman" w:hAnsi="Times New Roman" w:cs="Times New Roman"/>
                      <w:color w:val="0000FF"/>
                      <w:sz w:val="21"/>
                      <w:szCs w:val="21"/>
                    </w:rPr>
                  </w:pPr>
                  <w:r>
                    <w:rPr>
                      <w:rFonts w:hint="default" w:ascii="Times New Roman" w:hAnsi="Times New Roman" w:eastAsia="宋体" w:cs="Times New Roman"/>
                      <w:i w:val="0"/>
                      <w:iCs w:val="0"/>
                      <w:color w:val="0000FF"/>
                      <w:kern w:val="0"/>
                      <w:sz w:val="21"/>
                      <w:szCs w:val="21"/>
                      <w:u w:val="none"/>
                      <w:lang w:val="en-US" w:eastAsia="zh-CN" w:bidi="ar"/>
                    </w:rPr>
                    <w:t>0</w:t>
                  </w:r>
                </w:p>
              </w:tc>
            </w:tr>
            <w:tr w14:paraId="08313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6" w:type="dxa"/>
                  <w:noWrap w:val="0"/>
                  <w:vAlign w:val="center"/>
                </w:tcPr>
                <w:p w14:paraId="0ACDBA74">
                  <w:pPr>
                    <w:keepNext w:val="0"/>
                    <w:keepLines w:val="0"/>
                    <w:widowControl/>
                    <w:suppressLineNumbers w:val="0"/>
                    <w:jc w:val="center"/>
                    <w:textAlignment w:val="center"/>
                    <w:rPr>
                      <w:rFonts w:hint="default" w:ascii="Times New Roman" w:hAnsi="Times New Roman" w:cs="Times New Roman"/>
                      <w:color w:val="0000FF"/>
                      <w:sz w:val="21"/>
                      <w:szCs w:val="21"/>
                      <w:highlight w:val="none"/>
                    </w:rPr>
                  </w:pPr>
                  <w:r>
                    <w:rPr>
                      <w:rFonts w:hint="default" w:ascii="Times New Roman" w:hAnsi="Times New Roman" w:eastAsia="宋体" w:cs="Times New Roman"/>
                      <w:i w:val="0"/>
                      <w:iCs w:val="0"/>
                      <w:color w:val="0000FF"/>
                      <w:kern w:val="0"/>
                      <w:sz w:val="21"/>
                      <w:szCs w:val="21"/>
                      <w:u w:val="none"/>
                      <w:lang w:val="en-US" w:eastAsia="zh-CN" w:bidi="ar"/>
                    </w:rPr>
                    <w:t>3</w:t>
                  </w:r>
                </w:p>
              </w:tc>
              <w:tc>
                <w:tcPr>
                  <w:tcW w:w="1545" w:type="dxa"/>
                  <w:noWrap w:val="0"/>
                  <w:vAlign w:val="center"/>
                </w:tcPr>
                <w:p w14:paraId="53A2D21A">
                  <w:pPr>
                    <w:keepNext w:val="0"/>
                    <w:keepLines w:val="0"/>
                    <w:widowControl/>
                    <w:suppressLineNumbers w:val="0"/>
                    <w:jc w:val="center"/>
                    <w:textAlignment w:val="center"/>
                    <w:rPr>
                      <w:rFonts w:hint="default" w:ascii="Times New Roman" w:hAnsi="Times New Roman" w:cs="Times New Roman"/>
                      <w:color w:val="0000FF"/>
                      <w:sz w:val="21"/>
                      <w:szCs w:val="21"/>
                      <w:highlight w:val="none"/>
                    </w:rPr>
                  </w:pPr>
                  <w:r>
                    <w:rPr>
                      <w:rFonts w:hint="default" w:ascii="Times New Roman" w:hAnsi="Times New Roman" w:eastAsia="宋体" w:cs="Times New Roman"/>
                      <w:i w:val="0"/>
                      <w:iCs w:val="0"/>
                      <w:color w:val="0000FF"/>
                      <w:kern w:val="0"/>
                      <w:sz w:val="21"/>
                      <w:szCs w:val="21"/>
                      <w:u w:val="none"/>
                      <w:lang w:val="en-US" w:eastAsia="zh-CN" w:bidi="ar"/>
                    </w:rPr>
                    <w:t>盐雾试验用水</w:t>
                  </w:r>
                </w:p>
              </w:tc>
              <w:tc>
                <w:tcPr>
                  <w:tcW w:w="1860" w:type="dxa"/>
                  <w:noWrap w:val="0"/>
                  <w:vAlign w:val="center"/>
                </w:tcPr>
                <w:p w14:paraId="7E2EBEEA">
                  <w:pPr>
                    <w:keepNext w:val="0"/>
                    <w:keepLines w:val="0"/>
                    <w:widowControl/>
                    <w:suppressLineNumbers w:val="0"/>
                    <w:jc w:val="center"/>
                    <w:textAlignment w:val="center"/>
                    <w:rPr>
                      <w:rFonts w:hint="default" w:ascii="Times New Roman" w:hAnsi="Times New Roman" w:cs="Times New Roman"/>
                      <w:color w:val="0000FF"/>
                      <w:kern w:val="2"/>
                      <w:sz w:val="21"/>
                      <w:szCs w:val="21"/>
                      <w:highlight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020" w:type="dxa"/>
                  <w:noWrap w:val="0"/>
                  <w:vAlign w:val="center"/>
                </w:tcPr>
                <w:p w14:paraId="5F0DB667">
                  <w:pPr>
                    <w:keepNext w:val="0"/>
                    <w:keepLines w:val="0"/>
                    <w:widowControl/>
                    <w:suppressLineNumbers w:val="0"/>
                    <w:jc w:val="center"/>
                    <w:textAlignment w:val="center"/>
                    <w:rPr>
                      <w:rFonts w:hint="default" w:ascii="Times New Roman" w:hAnsi="Times New Roman" w:cs="Times New Roman"/>
                      <w:color w:val="0000FF"/>
                      <w:kern w:val="2"/>
                      <w:sz w:val="21"/>
                      <w:szCs w:val="21"/>
                      <w:highlight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945" w:type="dxa"/>
                  <w:noWrap w:val="0"/>
                  <w:vAlign w:val="center"/>
                </w:tcPr>
                <w:p w14:paraId="137E4891">
                  <w:pPr>
                    <w:keepNext w:val="0"/>
                    <w:keepLines w:val="0"/>
                    <w:widowControl/>
                    <w:suppressLineNumbers w:val="0"/>
                    <w:jc w:val="center"/>
                    <w:textAlignment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cs="Times New Roman"/>
                      <w:i w:val="0"/>
                      <w:iCs w:val="0"/>
                      <w:color w:val="0000FF"/>
                      <w:kern w:val="0"/>
                      <w:sz w:val="21"/>
                      <w:szCs w:val="21"/>
                      <w:u w:val="none"/>
                      <w:lang w:val="en-US" w:eastAsia="zh-CN" w:bidi="ar"/>
                    </w:rPr>
                    <w:t>0.0</w:t>
                  </w:r>
                  <w:r>
                    <w:rPr>
                      <w:rFonts w:hint="eastAsia" w:ascii="Times New Roman" w:hAnsi="Times New Roman" w:cs="Times New Roman"/>
                      <w:i w:val="0"/>
                      <w:iCs w:val="0"/>
                      <w:color w:val="0000FF"/>
                      <w:kern w:val="0"/>
                      <w:sz w:val="21"/>
                      <w:szCs w:val="21"/>
                      <w:u w:val="none"/>
                      <w:lang w:val="en-US" w:eastAsia="zh-CN" w:bidi="ar"/>
                    </w:rPr>
                    <w:t>05</w:t>
                  </w:r>
                </w:p>
              </w:tc>
              <w:tc>
                <w:tcPr>
                  <w:tcW w:w="870" w:type="dxa"/>
                  <w:noWrap w:val="0"/>
                  <w:vAlign w:val="center"/>
                </w:tcPr>
                <w:p w14:paraId="224066C7">
                  <w:pPr>
                    <w:keepNext w:val="0"/>
                    <w:keepLines w:val="0"/>
                    <w:widowControl/>
                    <w:suppressLineNumbers w:val="0"/>
                    <w:jc w:val="center"/>
                    <w:textAlignment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cs="Times New Roman"/>
                      <w:i w:val="0"/>
                      <w:iCs w:val="0"/>
                      <w:color w:val="0000FF"/>
                      <w:kern w:val="0"/>
                      <w:sz w:val="21"/>
                      <w:szCs w:val="21"/>
                      <w:u w:val="none"/>
                      <w:lang w:val="en-US" w:eastAsia="zh-CN" w:bidi="ar"/>
                    </w:rPr>
                    <w:t>0.0</w:t>
                  </w:r>
                  <w:r>
                    <w:rPr>
                      <w:rFonts w:hint="eastAsia" w:ascii="Times New Roman" w:hAnsi="Times New Roman" w:cs="Times New Roman"/>
                      <w:i w:val="0"/>
                      <w:iCs w:val="0"/>
                      <w:color w:val="0000FF"/>
                      <w:kern w:val="0"/>
                      <w:sz w:val="21"/>
                      <w:szCs w:val="21"/>
                      <w:u w:val="none"/>
                      <w:lang w:val="en-US" w:eastAsia="zh-CN" w:bidi="ar"/>
                    </w:rPr>
                    <w:t>5</w:t>
                  </w:r>
                </w:p>
              </w:tc>
              <w:tc>
                <w:tcPr>
                  <w:tcW w:w="870" w:type="dxa"/>
                  <w:noWrap w:val="0"/>
                  <w:vAlign w:val="center"/>
                </w:tcPr>
                <w:p w14:paraId="2D5879DA">
                  <w:pPr>
                    <w:keepNext w:val="0"/>
                    <w:keepLines w:val="0"/>
                    <w:widowControl/>
                    <w:suppressLineNumbers w:val="0"/>
                    <w:jc w:val="center"/>
                    <w:textAlignment w:val="center"/>
                    <w:rPr>
                      <w:rFonts w:hint="default" w:ascii="Times New Roman" w:hAnsi="Times New Roman" w:cs="Times New Roman"/>
                      <w:color w:val="0000FF"/>
                      <w:sz w:val="21"/>
                      <w:szCs w:val="21"/>
                      <w:highlight w:val="none"/>
                      <w:lang w:val="en-US"/>
                    </w:rPr>
                  </w:pPr>
                  <w:r>
                    <w:rPr>
                      <w:rFonts w:hint="default" w:ascii="Times New Roman" w:hAnsi="Times New Roman" w:eastAsia="宋体" w:cs="Times New Roman"/>
                      <w:i w:val="0"/>
                      <w:iCs w:val="0"/>
                      <w:color w:val="0000FF"/>
                      <w:kern w:val="0"/>
                      <w:sz w:val="21"/>
                      <w:szCs w:val="21"/>
                      <w:u w:val="none"/>
                      <w:lang w:val="en-US" w:eastAsia="zh-CN" w:bidi="ar"/>
                    </w:rPr>
                    <w:t>0.000</w:t>
                  </w:r>
                  <w:r>
                    <w:rPr>
                      <w:rFonts w:hint="eastAsia" w:ascii="Times New Roman" w:hAnsi="Times New Roman" w:cs="Times New Roman"/>
                      <w:i w:val="0"/>
                      <w:iCs w:val="0"/>
                      <w:color w:val="0000FF"/>
                      <w:kern w:val="0"/>
                      <w:sz w:val="21"/>
                      <w:szCs w:val="21"/>
                      <w:u w:val="none"/>
                      <w:lang w:val="en-US" w:eastAsia="zh-CN" w:bidi="ar"/>
                    </w:rPr>
                    <w:t>5</w:t>
                  </w:r>
                </w:p>
              </w:tc>
              <w:tc>
                <w:tcPr>
                  <w:tcW w:w="810" w:type="dxa"/>
                  <w:noWrap w:val="0"/>
                  <w:vAlign w:val="center"/>
                </w:tcPr>
                <w:p w14:paraId="12BE4404">
                  <w:pPr>
                    <w:keepNext w:val="0"/>
                    <w:keepLines w:val="0"/>
                    <w:widowControl/>
                    <w:suppressLineNumbers w:val="0"/>
                    <w:jc w:val="center"/>
                    <w:textAlignment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0.00</w:t>
                  </w:r>
                  <w:r>
                    <w:rPr>
                      <w:rFonts w:hint="eastAsia" w:ascii="Times New Roman" w:hAnsi="Times New Roman" w:cs="Times New Roman"/>
                      <w:i w:val="0"/>
                      <w:iCs w:val="0"/>
                      <w:color w:val="0000FF"/>
                      <w:kern w:val="0"/>
                      <w:sz w:val="21"/>
                      <w:szCs w:val="21"/>
                      <w:u w:val="none"/>
                      <w:lang w:val="en-US" w:eastAsia="zh-CN" w:bidi="ar"/>
                    </w:rPr>
                    <w:t>5</w:t>
                  </w:r>
                </w:p>
              </w:tc>
            </w:tr>
            <w:tr w14:paraId="0A262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001" w:type="dxa"/>
                  <w:gridSpan w:val="2"/>
                  <w:noWrap w:val="0"/>
                  <w:vAlign w:val="center"/>
                </w:tcPr>
                <w:p w14:paraId="3442923C">
                  <w:pPr>
                    <w:keepNext w:val="0"/>
                    <w:keepLines w:val="0"/>
                    <w:widowControl/>
                    <w:suppressLineNumbers w:val="0"/>
                    <w:jc w:val="center"/>
                    <w:textAlignment w:val="center"/>
                    <w:rPr>
                      <w:rFonts w:hint="default" w:ascii="Times New Roman" w:hAnsi="Times New Roman" w:cs="Times New Roman"/>
                      <w:color w:val="0000FF"/>
                      <w:kern w:val="2"/>
                      <w:sz w:val="21"/>
                      <w:szCs w:val="21"/>
                      <w:highlight w:val="none"/>
                    </w:rPr>
                  </w:pPr>
                  <w:r>
                    <w:rPr>
                      <w:rFonts w:hint="default" w:ascii="Times New Roman" w:hAnsi="Times New Roman" w:eastAsia="宋体" w:cs="Times New Roman"/>
                      <w:b/>
                      <w:bCs/>
                      <w:i w:val="0"/>
                      <w:iCs w:val="0"/>
                      <w:color w:val="0000FF"/>
                      <w:kern w:val="0"/>
                      <w:sz w:val="21"/>
                      <w:szCs w:val="21"/>
                      <w:u w:val="none"/>
                      <w:lang w:val="en-US" w:eastAsia="zh-CN" w:bidi="ar"/>
                    </w:rPr>
                    <w:t>合计</w:t>
                  </w:r>
                </w:p>
              </w:tc>
              <w:tc>
                <w:tcPr>
                  <w:tcW w:w="1860" w:type="dxa"/>
                  <w:noWrap w:val="0"/>
                  <w:vAlign w:val="center"/>
                </w:tcPr>
                <w:p w14:paraId="4AB1AECD">
                  <w:pPr>
                    <w:keepNext w:val="0"/>
                    <w:keepLines w:val="0"/>
                    <w:widowControl/>
                    <w:suppressLineNumbers w:val="0"/>
                    <w:jc w:val="center"/>
                    <w:textAlignment w:val="center"/>
                    <w:rPr>
                      <w:rFonts w:hint="default" w:ascii="Times New Roman" w:hAnsi="Times New Roman" w:cs="Times New Roman"/>
                      <w:color w:val="0000FF"/>
                      <w:kern w:val="2"/>
                      <w:sz w:val="21"/>
                      <w:szCs w:val="21"/>
                      <w:highlight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020" w:type="dxa"/>
                  <w:noWrap w:val="0"/>
                  <w:vAlign w:val="center"/>
                </w:tcPr>
                <w:p w14:paraId="1FF5C27F">
                  <w:pPr>
                    <w:keepNext w:val="0"/>
                    <w:keepLines w:val="0"/>
                    <w:widowControl/>
                    <w:suppressLineNumbers w:val="0"/>
                    <w:jc w:val="center"/>
                    <w:textAlignment w:val="center"/>
                    <w:rPr>
                      <w:rFonts w:hint="default" w:ascii="Times New Roman" w:hAnsi="Times New Roman" w:cs="Times New Roman"/>
                      <w:color w:val="0000FF"/>
                      <w:sz w:val="21"/>
                      <w:szCs w:val="21"/>
                      <w:highlight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945" w:type="dxa"/>
                  <w:noWrap w:val="0"/>
                  <w:vAlign w:val="center"/>
                </w:tcPr>
                <w:p w14:paraId="7420F3DC">
                  <w:pPr>
                    <w:keepNext w:val="0"/>
                    <w:keepLines w:val="0"/>
                    <w:widowControl/>
                    <w:suppressLineNumbers w:val="0"/>
                    <w:jc w:val="center"/>
                    <w:textAlignment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cs="Times New Roman"/>
                      <w:i w:val="0"/>
                      <w:iCs w:val="0"/>
                      <w:color w:val="0000FF"/>
                      <w:kern w:val="0"/>
                      <w:sz w:val="21"/>
                      <w:szCs w:val="21"/>
                      <w:u w:val="none"/>
                      <w:lang w:val="en-US" w:eastAsia="zh-CN" w:bidi="ar"/>
                    </w:rPr>
                    <w:t>52.005</w:t>
                  </w:r>
                </w:p>
              </w:tc>
              <w:tc>
                <w:tcPr>
                  <w:tcW w:w="870" w:type="dxa"/>
                  <w:noWrap w:val="0"/>
                  <w:vAlign w:val="center"/>
                </w:tcPr>
                <w:p w14:paraId="62EE6EAC">
                  <w:pPr>
                    <w:keepNext w:val="0"/>
                    <w:keepLines w:val="0"/>
                    <w:widowControl/>
                    <w:suppressLineNumbers w:val="0"/>
                    <w:jc w:val="center"/>
                    <w:textAlignment w:val="center"/>
                    <w:rPr>
                      <w:rFonts w:hint="default" w:ascii="Times New Roman" w:hAnsi="Times New Roman" w:eastAsia="宋体" w:cs="Times New Roman"/>
                      <w:color w:val="0000FF"/>
                      <w:sz w:val="21"/>
                      <w:szCs w:val="21"/>
                      <w:highlight w:val="none"/>
                      <w:lang w:val="en-US" w:eastAsia="zh-CN"/>
                    </w:rPr>
                  </w:pPr>
                  <w:r>
                    <w:rPr>
                      <w:rFonts w:hint="default" w:ascii="Times New Roman" w:hAnsi="Times New Roman" w:cs="Times New Roman"/>
                      <w:i w:val="0"/>
                      <w:iCs w:val="0"/>
                      <w:color w:val="0000FF"/>
                      <w:kern w:val="0"/>
                      <w:sz w:val="21"/>
                      <w:szCs w:val="21"/>
                      <w:u w:val="none"/>
                      <w:lang w:val="en-US" w:eastAsia="zh-CN" w:bidi="ar"/>
                    </w:rPr>
                    <w:t>76</w:t>
                  </w:r>
                  <w:r>
                    <w:rPr>
                      <w:rFonts w:hint="default" w:ascii="Times New Roman" w:hAnsi="Times New Roman" w:eastAsia="宋体" w:cs="Times New Roman"/>
                      <w:i w:val="0"/>
                      <w:iCs w:val="0"/>
                      <w:color w:val="0000FF"/>
                      <w:kern w:val="0"/>
                      <w:sz w:val="21"/>
                      <w:szCs w:val="21"/>
                      <w:u w:val="none"/>
                      <w:lang w:val="en-US" w:eastAsia="zh-CN" w:bidi="ar"/>
                    </w:rPr>
                    <w:t>00</w:t>
                  </w:r>
                  <w:r>
                    <w:rPr>
                      <w:rFonts w:hint="default" w:ascii="Times New Roman" w:hAnsi="Times New Roman" w:cs="Times New Roman"/>
                      <w:i w:val="0"/>
                      <w:iCs w:val="0"/>
                      <w:color w:val="0000FF"/>
                      <w:kern w:val="0"/>
                      <w:sz w:val="21"/>
                      <w:szCs w:val="21"/>
                      <w:u w:val="none"/>
                      <w:lang w:val="en-US" w:eastAsia="zh-CN" w:bidi="ar"/>
                    </w:rPr>
                    <w:t>.0</w:t>
                  </w:r>
                  <w:r>
                    <w:rPr>
                      <w:rFonts w:hint="eastAsia" w:ascii="Times New Roman" w:hAnsi="Times New Roman" w:cs="Times New Roman"/>
                      <w:i w:val="0"/>
                      <w:iCs w:val="0"/>
                      <w:color w:val="0000FF"/>
                      <w:kern w:val="0"/>
                      <w:sz w:val="21"/>
                      <w:szCs w:val="21"/>
                      <w:u w:val="none"/>
                      <w:lang w:val="en-US" w:eastAsia="zh-CN" w:bidi="ar"/>
                    </w:rPr>
                    <w:t>5</w:t>
                  </w:r>
                </w:p>
              </w:tc>
              <w:tc>
                <w:tcPr>
                  <w:tcW w:w="870" w:type="dxa"/>
                  <w:noWrap w:val="0"/>
                  <w:vAlign w:val="center"/>
                </w:tcPr>
                <w:p w14:paraId="06FA4986">
                  <w:pPr>
                    <w:keepNext w:val="0"/>
                    <w:keepLines w:val="0"/>
                    <w:widowControl/>
                    <w:suppressLineNumbers w:val="0"/>
                    <w:jc w:val="center"/>
                    <w:textAlignment w:val="center"/>
                    <w:rPr>
                      <w:rFonts w:hint="default" w:ascii="Times New Roman" w:hAnsi="Times New Roman" w:cs="Times New Roman"/>
                      <w:color w:val="0000FF"/>
                      <w:sz w:val="21"/>
                      <w:szCs w:val="21"/>
                      <w:highlight w:val="none"/>
                    </w:rPr>
                  </w:pPr>
                  <w:r>
                    <w:rPr>
                      <w:rFonts w:hint="default" w:ascii="Times New Roman" w:hAnsi="Times New Roman" w:eastAsia="宋体" w:cs="Times New Roman"/>
                      <w:i w:val="0"/>
                      <w:iCs w:val="0"/>
                      <w:color w:val="0000FF"/>
                      <w:kern w:val="0"/>
                      <w:sz w:val="21"/>
                      <w:szCs w:val="21"/>
                      <w:u w:val="none"/>
                      <w:lang w:val="en-US" w:eastAsia="zh-CN" w:bidi="ar"/>
                    </w:rPr>
                    <w:t>1</w:t>
                  </w:r>
                  <w:r>
                    <w:rPr>
                      <w:rFonts w:hint="default" w:ascii="Times New Roman" w:hAnsi="Times New Roman" w:cs="Times New Roman"/>
                      <w:i w:val="0"/>
                      <w:iCs w:val="0"/>
                      <w:color w:val="0000FF"/>
                      <w:kern w:val="0"/>
                      <w:sz w:val="21"/>
                      <w:szCs w:val="21"/>
                      <w:u w:val="none"/>
                      <w:lang w:val="en-US" w:eastAsia="zh-CN" w:bidi="ar"/>
                    </w:rPr>
                    <w:t>6.0</w:t>
                  </w:r>
                  <w:r>
                    <w:rPr>
                      <w:rFonts w:hint="default" w:ascii="Times New Roman" w:hAnsi="Times New Roman" w:eastAsia="宋体" w:cs="Times New Roman"/>
                      <w:i w:val="0"/>
                      <w:iCs w:val="0"/>
                      <w:color w:val="0000FF"/>
                      <w:kern w:val="0"/>
                      <w:sz w:val="21"/>
                      <w:szCs w:val="21"/>
                      <w:u w:val="none"/>
                      <w:lang w:val="en-US" w:eastAsia="zh-CN" w:bidi="ar"/>
                    </w:rPr>
                    <w:t>005</w:t>
                  </w:r>
                </w:p>
              </w:tc>
              <w:tc>
                <w:tcPr>
                  <w:tcW w:w="810" w:type="dxa"/>
                  <w:noWrap w:val="0"/>
                  <w:vAlign w:val="center"/>
                </w:tcPr>
                <w:p w14:paraId="5B22EA77">
                  <w:pPr>
                    <w:keepNext w:val="0"/>
                    <w:keepLines w:val="0"/>
                    <w:widowControl/>
                    <w:suppressLineNumbers w:val="0"/>
                    <w:jc w:val="center"/>
                    <w:textAlignment w:val="center"/>
                    <w:rPr>
                      <w:rFonts w:hint="default" w:ascii="Times New Roman" w:hAnsi="Times New Roman" w:cs="Times New Roman"/>
                      <w:color w:val="0000FF"/>
                      <w:sz w:val="21"/>
                      <w:szCs w:val="21"/>
                      <w:highlight w:val="none"/>
                    </w:rPr>
                  </w:pPr>
                  <w:r>
                    <w:rPr>
                      <w:rFonts w:hint="default" w:ascii="Times New Roman" w:hAnsi="Times New Roman" w:cs="Times New Roman"/>
                      <w:i w:val="0"/>
                      <w:iCs w:val="0"/>
                      <w:color w:val="0000FF"/>
                      <w:kern w:val="0"/>
                      <w:sz w:val="21"/>
                      <w:szCs w:val="21"/>
                      <w:u w:val="none"/>
                      <w:lang w:val="en-US" w:eastAsia="zh-CN" w:bidi="ar"/>
                    </w:rPr>
                    <w:t>4800</w:t>
                  </w:r>
                  <w:r>
                    <w:rPr>
                      <w:rFonts w:hint="default" w:ascii="Times New Roman" w:hAnsi="Times New Roman" w:eastAsia="宋体" w:cs="Times New Roman"/>
                      <w:i w:val="0"/>
                      <w:iCs w:val="0"/>
                      <w:color w:val="0000FF"/>
                      <w:kern w:val="0"/>
                      <w:sz w:val="21"/>
                      <w:szCs w:val="21"/>
                      <w:u w:val="none"/>
                      <w:lang w:val="en-US" w:eastAsia="zh-CN" w:bidi="ar"/>
                    </w:rPr>
                    <w:t>.005</w:t>
                  </w:r>
                </w:p>
              </w:tc>
            </w:tr>
          </w:tbl>
          <w:p w14:paraId="11F120A3">
            <w:pPr>
              <w:pStyle w:val="53"/>
              <w:tabs>
                <w:tab w:val="left" w:pos="540"/>
                <w:tab w:val="left" w:pos="1080"/>
                <w:tab w:val="left" w:pos="1800"/>
              </w:tabs>
              <w:spacing w:line="240" w:lineRule="auto"/>
              <w:ind w:firstLine="482" w:firstLineChars="200"/>
              <w:rPr>
                <w:rFonts w:hint="default" w:ascii="Times New Roman" w:hAnsi="Times New Roman" w:cs="Times New Roman"/>
                <w:b/>
                <w:color w:val="auto"/>
                <w:highlight w:val="none"/>
              </w:rPr>
            </w:pPr>
            <w:r>
              <w:rPr>
                <w:rFonts w:hint="default" w:ascii="Times New Roman" w:hAnsi="Times New Roman" w:cs="Times New Roman"/>
                <w:b/>
                <w:color w:val="auto"/>
                <w:sz w:val="24"/>
                <w:highlight w:val="none"/>
              </w:rPr>
              <w:t>项目最大日水平衡示意图</w:t>
            </w:r>
            <w:r>
              <w:rPr>
                <w:rFonts w:hint="default" w:ascii="Times New Roman" w:hAnsi="Times New Roman" w:cs="Times New Roman"/>
                <w:b/>
                <w:color w:val="auto"/>
                <w:highlight w:val="none"/>
              </w:rPr>
              <w:t>见图2.</w:t>
            </w:r>
            <w:r>
              <w:rPr>
                <w:rFonts w:hint="default" w:ascii="Times New Roman" w:hAnsi="Times New Roman" w:cs="Times New Roman"/>
                <w:b/>
                <w:color w:val="auto"/>
                <w:highlight w:val="none"/>
                <w:lang w:val="en-US" w:eastAsia="zh-CN"/>
              </w:rPr>
              <w:t>3-</w:t>
            </w:r>
            <w:r>
              <w:rPr>
                <w:rFonts w:hint="default" w:ascii="Times New Roman" w:hAnsi="Times New Roman" w:cs="Times New Roman"/>
                <w:b/>
                <w:color w:val="auto"/>
                <w:highlight w:val="none"/>
              </w:rPr>
              <w:t>1。</w:t>
            </w:r>
          </w:p>
          <w:p w14:paraId="062DAC77">
            <w:pPr>
              <w:pStyle w:val="53"/>
              <w:tabs>
                <w:tab w:val="left" w:pos="540"/>
                <w:tab w:val="left" w:pos="1080"/>
                <w:tab w:val="left" w:pos="1800"/>
              </w:tabs>
              <w:spacing w:line="240" w:lineRule="auto"/>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object>
                <v:shape id="_x0000_i1025" o:spt="75" type="#_x0000_t75" style="height:189.8pt;width:428.65pt;" o:ole="t" filled="f" o:preferrelative="t" stroked="f" coordsize="21600,21600">
                  <v:path/>
                  <v:fill on="f" focussize="0,0"/>
                  <v:stroke on="f"/>
                  <v:imagedata r:id="rId13" o:title=""/>
                  <o:lock v:ext="edit" aspectratio="f"/>
                  <w10:wrap type="none"/>
                  <w10:anchorlock/>
                </v:shape>
                <o:OLEObject Type="Embed" ProgID="Visio.Drawing.15" ShapeID="_x0000_i1025" DrawAspect="Content" ObjectID="_1468075725" r:id="rId12">
                  <o:LockedField>false</o:LockedField>
                </o:OLEObject>
              </w:object>
            </w:r>
          </w:p>
          <w:p w14:paraId="6D2991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snapToGrid w:val="0"/>
                <w:color w:val="0000FF"/>
                <w:spacing w:val="4"/>
                <w:kern w:val="0"/>
                <w:sz w:val="24"/>
                <w:highlight w:val="none"/>
              </w:rPr>
            </w:pPr>
            <w:r>
              <w:rPr>
                <w:rFonts w:hint="default" w:ascii="Times New Roman" w:hAnsi="Times New Roman" w:cs="Times New Roman"/>
                <w:b/>
                <w:color w:val="0000FF"/>
                <w:sz w:val="24"/>
                <w:highlight w:val="none"/>
              </w:rPr>
              <w:t>图2</w:t>
            </w:r>
            <w:r>
              <w:rPr>
                <w:rFonts w:hint="default" w:ascii="Times New Roman" w:hAnsi="Times New Roman" w:cs="Times New Roman"/>
                <w:b/>
                <w:color w:val="0000FF"/>
                <w:sz w:val="24"/>
                <w:highlight w:val="none"/>
                <w:lang w:val="en-US" w:eastAsia="zh-CN"/>
              </w:rPr>
              <w:t>.3-</w:t>
            </w:r>
            <w:r>
              <w:rPr>
                <w:rFonts w:hint="default" w:ascii="Times New Roman" w:hAnsi="Times New Roman" w:cs="Times New Roman"/>
                <w:b/>
                <w:color w:val="0000FF"/>
                <w:sz w:val="24"/>
                <w:highlight w:val="none"/>
              </w:rPr>
              <w:t>1  项目最大日水平衡示意图  m</w:t>
            </w:r>
            <w:r>
              <w:rPr>
                <w:rFonts w:hint="default" w:ascii="Times New Roman" w:hAnsi="Times New Roman" w:cs="Times New Roman"/>
                <w:b/>
                <w:color w:val="0000FF"/>
                <w:sz w:val="24"/>
                <w:highlight w:val="none"/>
                <w:vertAlign w:val="superscript"/>
              </w:rPr>
              <w:t>3</w:t>
            </w:r>
            <w:r>
              <w:rPr>
                <w:rFonts w:hint="default" w:ascii="Times New Roman" w:hAnsi="Times New Roman" w:cs="Times New Roman"/>
                <w:b/>
                <w:color w:val="0000FF"/>
                <w:sz w:val="24"/>
                <w:highlight w:val="none"/>
              </w:rPr>
              <w:t>/d</w:t>
            </w:r>
          </w:p>
          <w:p w14:paraId="0EBB4933">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color w:val="0000FF"/>
                <w:sz w:val="24"/>
                <w:highlight w:val="none"/>
              </w:rPr>
            </w:pPr>
            <w:r>
              <w:rPr>
                <w:rFonts w:hint="default" w:ascii="Times New Roman" w:hAnsi="Times New Roman" w:cs="Times New Roman"/>
                <w:b/>
                <w:color w:val="0000FF"/>
                <w:sz w:val="24"/>
                <w:highlight w:val="none"/>
              </w:rPr>
              <w:t>2.3.2</w:t>
            </w:r>
            <w:r>
              <w:rPr>
                <w:rFonts w:hint="eastAsia" w:cs="Times New Roman"/>
                <w:b/>
                <w:color w:val="0000FF"/>
                <w:sz w:val="24"/>
                <w:highlight w:val="none"/>
                <w:lang w:val="en-US" w:eastAsia="zh-CN"/>
              </w:rPr>
              <w:t>全厂VOCs</w:t>
            </w:r>
            <w:r>
              <w:rPr>
                <w:rFonts w:hint="default" w:ascii="Times New Roman" w:hAnsi="Times New Roman" w:cs="Times New Roman"/>
                <w:b/>
                <w:color w:val="0000FF"/>
                <w:sz w:val="24"/>
                <w:highlight w:val="none"/>
              </w:rPr>
              <w:t>平衡</w:t>
            </w:r>
          </w:p>
          <w:p w14:paraId="3774F45A">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color w:val="0000FF"/>
                <w:sz w:val="24"/>
                <w:highlight w:val="none"/>
                <w:lang w:val="en-US" w:eastAsia="zh-CN"/>
              </w:rPr>
            </w:pPr>
            <w:r>
              <w:rPr>
                <w:rFonts w:hint="eastAsia" w:cs="Times New Roman"/>
                <w:b/>
                <w:color w:val="0000FF"/>
                <w:sz w:val="24"/>
                <w:highlight w:val="none"/>
                <w:lang w:val="en-US" w:eastAsia="zh-CN"/>
              </w:rPr>
              <w:t>2.3.2.1移印VOCs</w:t>
            </w:r>
            <w:r>
              <w:rPr>
                <w:rFonts w:hint="default" w:ascii="Times New Roman" w:hAnsi="Times New Roman" w:cs="Times New Roman"/>
                <w:b/>
                <w:color w:val="0000FF"/>
                <w:sz w:val="24"/>
                <w:highlight w:val="none"/>
              </w:rPr>
              <w:t>平衡</w:t>
            </w:r>
          </w:p>
          <w:p w14:paraId="11AFE785">
            <w:pPr>
              <w:pStyle w:val="49"/>
              <w:ind w:firstLine="480"/>
              <w:rPr>
                <w:rFonts w:hint="default" w:ascii="Times New Roman" w:hAnsi="Times New Roman" w:eastAsia="宋体" w:cs="Times New Roman"/>
                <w:color w:val="0000FF"/>
                <w:szCs w:val="24"/>
                <w:highlight w:val="none"/>
                <w:lang w:val="en-US" w:eastAsia="zh-CN"/>
              </w:rPr>
            </w:pPr>
            <w:r>
              <w:rPr>
                <w:rFonts w:hint="default" w:ascii="Times New Roman" w:hAnsi="Times New Roman" w:cs="Times New Roman"/>
                <w:color w:val="0000FF"/>
                <w:szCs w:val="24"/>
                <w:highlight w:val="none"/>
              </w:rPr>
              <w:t>本项目</w:t>
            </w:r>
            <w:r>
              <w:rPr>
                <w:rFonts w:hint="default" w:ascii="Times New Roman" w:hAnsi="Times New Roman" w:cs="Times New Roman"/>
                <w:color w:val="0000FF"/>
                <w:sz w:val="24"/>
                <w:highlight w:val="none"/>
                <w:lang w:val="en-US" w:eastAsia="zh-CN"/>
              </w:rPr>
              <w:t>印刷</w:t>
            </w:r>
            <w:r>
              <w:rPr>
                <w:rFonts w:hint="eastAsia" w:ascii="Times New Roman" w:hAnsi="Times New Roman" w:cs="Times New Roman"/>
                <w:color w:val="0000FF"/>
                <w:sz w:val="24"/>
                <w:highlight w:val="none"/>
                <w:lang w:val="en-US" w:eastAsia="zh-CN"/>
              </w:rPr>
              <w:t>VOCs</w:t>
            </w:r>
            <w:r>
              <w:rPr>
                <w:rFonts w:hint="default" w:ascii="Times New Roman" w:hAnsi="Times New Roman" w:cs="Times New Roman"/>
                <w:color w:val="0000FF"/>
                <w:sz w:val="24"/>
                <w:highlight w:val="none"/>
                <w:lang w:val="en-US" w:eastAsia="zh-CN"/>
              </w:rPr>
              <w:t>平衡表见表</w:t>
            </w:r>
            <w:r>
              <w:rPr>
                <w:rFonts w:hint="default" w:ascii="Times New Roman" w:hAnsi="Times New Roman" w:cs="Times New Roman"/>
                <w:color w:val="0000FF"/>
                <w:szCs w:val="24"/>
                <w:highlight w:val="none"/>
              </w:rPr>
              <w:t>2.</w:t>
            </w:r>
            <w:r>
              <w:rPr>
                <w:rFonts w:hint="default" w:ascii="Times New Roman" w:hAnsi="Times New Roman" w:cs="Times New Roman"/>
                <w:color w:val="0000FF"/>
                <w:szCs w:val="24"/>
                <w:highlight w:val="none"/>
                <w:lang w:val="en-US" w:eastAsia="zh-CN"/>
              </w:rPr>
              <w:t>3</w:t>
            </w:r>
            <w:r>
              <w:rPr>
                <w:rFonts w:hint="default" w:ascii="Times New Roman" w:hAnsi="Times New Roman" w:cs="Times New Roman"/>
                <w:color w:val="0000FF"/>
                <w:szCs w:val="24"/>
                <w:highlight w:val="none"/>
              </w:rPr>
              <w:t>-</w:t>
            </w:r>
            <w:r>
              <w:rPr>
                <w:rFonts w:hint="eastAsia" w:ascii="Times New Roman" w:hAnsi="Times New Roman" w:cs="Times New Roman"/>
                <w:color w:val="0000FF"/>
                <w:szCs w:val="24"/>
                <w:highlight w:val="none"/>
                <w:lang w:val="en-US" w:eastAsia="zh-CN"/>
              </w:rPr>
              <w:t>4。</w:t>
            </w:r>
          </w:p>
          <w:p w14:paraId="39D5D1DA">
            <w:pPr>
              <w:jc w:val="center"/>
              <w:rPr>
                <w:rFonts w:hint="default" w:ascii="Times New Roman" w:hAnsi="Times New Roman" w:cs="Times New Roman"/>
                <w:b/>
                <w:bCs/>
                <w:color w:val="0000FF"/>
                <w:sz w:val="24"/>
                <w:highlight w:val="none"/>
                <w:lang w:val="zh-CN"/>
              </w:rPr>
            </w:pPr>
            <w:r>
              <w:rPr>
                <w:rFonts w:hint="default" w:ascii="Times New Roman" w:hAnsi="Times New Roman" w:cs="Times New Roman"/>
                <w:b/>
                <w:bCs/>
                <w:color w:val="0000FF"/>
                <w:sz w:val="24"/>
                <w:highlight w:val="none"/>
                <w:lang w:val="zh-CN"/>
              </w:rPr>
              <w:t>表2.</w:t>
            </w:r>
            <w:r>
              <w:rPr>
                <w:rFonts w:hint="default" w:ascii="Times New Roman" w:hAnsi="Times New Roman" w:cs="Times New Roman"/>
                <w:b/>
                <w:bCs/>
                <w:color w:val="0000FF"/>
                <w:sz w:val="24"/>
                <w:highlight w:val="none"/>
                <w:lang w:val="en-US" w:eastAsia="zh-CN"/>
              </w:rPr>
              <w:t>3-</w:t>
            </w:r>
            <w:r>
              <w:rPr>
                <w:rFonts w:hint="eastAsia" w:ascii="Times New Roman" w:hAnsi="Times New Roman" w:cs="Times New Roman"/>
                <w:b/>
                <w:bCs/>
                <w:color w:val="0000FF"/>
                <w:sz w:val="24"/>
                <w:highlight w:val="none"/>
                <w:lang w:val="en-US" w:eastAsia="zh-CN"/>
              </w:rPr>
              <w:t>2</w:t>
            </w:r>
            <w:r>
              <w:rPr>
                <w:rFonts w:hint="default" w:ascii="Times New Roman" w:hAnsi="Times New Roman" w:cs="Times New Roman"/>
                <w:b/>
                <w:bCs/>
                <w:color w:val="0000FF"/>
                <w:sz w:val="24"/>
                <w:highlight w:val="none"/>
                <w:lang w:val="zh-CN"/>
              </w:rPr>
              <w:t xml:space="preserve">  项目移印油墨用量核算一览表</w:t>
            </w:r>
          </w:p>
          <w:tbl>
            <w:tblPr>
              <w:tblStyle w:val="3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1000"/>
              <w:gridCol w:w="1131"/>
              <w:gridCol w:w="1249"/>
              <w:gridCol w:w="1106"/>
              <w:gridCol w:w="1081"/>
              <w:gridCol w:w="950"/>
              <w:gridCol w:w="1061"/>
            </w:tblGrid>
            <w:tr w14:paraId="1DE4F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926" w:type="dxa"/>
                  <w:noWrap w:val="0"/>
                  <w:vAlign w:val="center"/>
                </w:tcPr>
                <w:p w14:paraId="4A95AEDA">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highlight w:val="none"/>
                      <w:u w:val="none"/>
                    </w:rPr>
                  </w:pPr>
                  <w:r>
                    <w:rPr>
                      <w:rFonts w:hint="default" w:ascii="Times New Roman" w:hAnsi="Times New Roman" w:eastAsia="宋体" w:cs="Times New Roman"/>
                      <w:b/>
                      <w:bCs/>
                      <w:i w:val="0"/>
                      <w:iCs w:val="0"/>
                      <w:color w:val="0000FF"/>
                      <w:kern w:val="0"/>
                      <w:sz w:val="21"/>
                      <w:szCs w:val="21"/>
                      <w:highlight w:val="none"/>
                      <w:u w:val="none"/>
                      <w:lang w:val="en-US" w:eastAsia="zh-CN" w:bidi="ar"/>
                    </w:rPr>
                    <w:t>种类</w:t>
                  </w:r>
                </w:p>
              </w:tc>
              <w:tc>
                <w:tcPr>
                  <w:tcW w:w="1000" w:type="dxa"/>
                  <w:noWrap w:val="0"/>
                  <w:vAlign w:val="center"/>
                </w:tcPr>
                <w:p w14:paraId="2DA7ACAF">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highlight w:val="none"/>
                      <w:u w:val="none"/>
                    </w:rPr>
                  </w:pPr>
                  <w:r>
                    <w:rPr>
                      <w:rFonts w:hint="default" w:ascii="Times New Roman" w:hAnsi="Times New Roman" w:eastAsia="宋体" w:cs="Times New Roman"/>
                      <w:b/>
                      <w:bCs/>
                      <w:i w:val="0"/>
                      <w:iCs w:val="0"/>
                      <w:color w:val="0000FF"/>
                      <w:kern w:val="0"/>
                      <w:sz w:val="21"/>
                      <w:szCs w:val="21"/>
                      <w:highlight w:val="none"/>
                      <w:u w:val="none"/>
                      <w:lang w:val="en-US" w:eastAsia="zh-CN" w:bidi="ar"/>
                    </w:rPr>
                    <w:t>总印刷面积S（m</w:t>
                  </w:r>
                  <w:r>
                    <w:rPr>
                      <w:rFonts w:hint="default" w:ascii="Times New Roman" w:hAnsi="Times New Roman" w:eastAsia="宋体" w:cs="Times New Roman"/>
                      <w:b/>
                      <w:bCs/>
                      <w:i w:val="0"/>
                      <w:iCs w:val="0"/>
                      <w:color w:val="0000FF"/>
                      <w:kern w:val="0"/>
                      <w:sz w:val="21"/>
                      <w:szCs w:val="21"/>
                      <w:highlight w:val="none"/>
                      <w:u w:val="none"/>
                      <w:vertAlign w:val="superscript"/>
                      <w:lang w:val="en-US" w:eastAsia="zh-CN" w:bidi="ar"/>
                    </w:rPr>
                    <w:t>2</w:t>
                  </w:r>
                  <w:r>
                    <w:rPr>
                      <w:rFonts w:hint="default" w:ascii="Times New Roman" w:hAnsi="Times New Roman" w:eastAsia="宋体" w:cs="Times New Roman"/>
                      <w:b/>
                      <w:bCs/>
                      <w:i w:val="0"/>
                      <w:iCs w:val="0"/>
                      <w:color w:val="0000FF"/>
                      <w:kern w:val="0"/>
                      <w:sz w:val="21"/>
                      <w:szCs w:val="21"/>
                      <w:highlight w:val="none"/>
                      <w:u w:val="none"/>
                      <w:lang w:val="en-US" w:eastAsia="zh-CN" w:bidi="ar"/>
                    </w:rPr>
                    <w:t>/a）</w:t>
                  </w:r>
                </w:p>
              </w:tc>
              <w:tc>
                <w:tcPr>
                  <w:tcW w:w="1131" w:type="dxa"/>
                  <w:noWrap w:val="0"/>
                  <w:vAlign w:val="center"/>
                </w:tcPr>
                <w:p w14:paraId="12F73BBD">
                  <w:pPr>
                    <w:keepNext w:val="0"/>
                    <w:keepLines w:val="0"/>
                    <w:widowControl/>
                    <w:suppressLineNumbers w:val="0"/>
                    <w:jc w:val="center"/>
                    <w:textAlignment w:val="center"/>
                    <w:rPr>
                      <w:rFonts w:hint="default" w:ascii="Times New Roman" w:hAnsi="Times New Roman" w:eastAsia="宋体" w:cs="Times New Roman"/>
                      <w:b/>
                      <w:bCs/>
                      <w:i w:val="0"/>
                      <w:iCs w:val="0"/>
                      <w:color w:val="0000FF"/>
                      <w:kern w:val="0"/>
                      <w:sz w:val="21"/>
                      <w:szCs w:val="21"/>
                      <w:highlight w:val="none"/>
                      <w:u w:val="none"/>
                      <w:lang w:val="en-US" w:eastAsia="zh-CN" w:bidi="ar"/>
                    </w:rPr>
                  </w:pPr>
                  <w:r>
                    <w:rPr>
                      <w:rFonts w:hint="default" w:ascii="Times New Roman" w:hAnsi="Times New Roman" w:eastAsia="宋体" w:cs="Times New Roman"/>
                      <w:b/>
                      <w:bCs/>
                      <w:i w:val="0"/>
                      <w:iCs w:val="0"/>
                      <w:color w:val="0000FF"/>
                      <w:kern w:val="0"/>
                      <w:sz w:val="21"/>
                      <w:szCs w:val="21"/>
                      <w:highlight w:val="none"/>
                      <w:u w:val="none"/>
                      <w:lang w:val="en-US" w:eastAsia="zh-CN" w:bidi="ar"/>
                    </w:rPr>
                    <w:t>油墨厚度</w:t>
                  </w:r>
                </w:p>
                <w:p w14:paraId="4E6E6127">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highlight w:val="none"/>
                      <w:u w:val="none"/>
                    </w:rPr>
                  </w:pPr>
                  <w:r>
                    <w:rPr>
                      <w:rFonts w:hint="default" w:ascii="Times New Roman" w:hAnsi="Times New Roman" w:eastAsia="宋体" w:cs="Times New Roman"/>
                      <w:b/>
                      <w:bCs/>
                      <w:i w:val="0"/>
                      <w:iCs w:val="0"/>
                      <w:color w:val="0000FF"/>
                      <w:kern w:val="0"/>
                      <w:sz w:val="21"/>
                      <w:szCs w:val="21"/>
                      <w:highlight w:val="none"/>
                      <w:u w:val="none"/>
                      <w:lang w:val="en-US" w:eastAsia="zh-CN" w:bidi="ar"/>
                    </w:rPr>
                    <w:t>（μm）</w:t>
                  </w:r>
                </w:p>
              </w:tc>
              <w:tc>
                <w:tcPr>
                  <w:tcW w:w="1249" w:type="dxa"/>
                  <w:noWrap w:val="0"/>
                  <w:vAlign w:val="center"/>
                </w:tcPr>
                <w:p w14:paraId="564068DC">
                  <w:pPr>
                    <w:keepNext w:val="0"/>
                    <w:keepLines w:val="0"/>
                    <w:widowControl/>
                    <w:suppressLineNumbers w:val="0"/>
                    <w:jc w:val="center"/>
                    <w:textAlignment w:val="center"/>
                    <w:rPr>
                      <w:rFonts w:hint="default" w:ascii="Times New Roman" w:hAnsi="Times New Roman" w:eastAsia="宋体" w:cs="Times New Roman"/>
                      <w:b/>
                      <w:bCs/>
                      <w:i w:val="0"/>
                      <w:iCs w:val="0"/>
                      <w:color w:val="0000FF"/>
                      <w:kern w:val="0"/>
                      <w:sz w:val="21"/>
                      <w:szCs w:val="21"/>
                      <w:highlight w:val="none"/>
                      <w:u w:val="none"/>
                      <w:lang w:val="en-US" w:eastAsia="zh-CN" w:bidi="ar"/>
                    </w:rPr>
                  </w:pPr>
                  <w:r>
                    <w:rPr>
                      <w:rFonts w:hint="default" w:ascii="Times New Roman" w:hAnsi="Times New Roman" w:eastAsia="宋体" w:cs="Times New Roman"/>
                      <w:b/>
                      <w:bCs/>
                      <w:i w:val="0"/>
                      <w:iCs w:val="0"/>
                      <w:color w:val="0000FF"/>
                      <w:kern w:val="0"/>
                      <w:sz w:val="21"/>
                      <w:szCs w:val="21"/>
                      <w:highlight w:val="none"/>
                      <w:u w:val="none"/>
                      <w:lang w:val="en-US" w:eastAsia="zh-CN" w:bidi="ar"/>
                    </w:rPr>
                    <w:t>油墨干膜密度</w:t>
                  </w:r>
                </w:p>
                <w:p w14:paraId="571E88FF">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highlight w:val="none"/>
                      <w:u w:val="none"/>
                    </w:rPr>
                  </w:pPr>
                  <w:r>
                    <w:rPr>
                      <w:rFonts w:hint="default" w:ascii="Times New Roman" w:hAnsi="Times New Roman" w:eastAsia="宋体" w:cs="Times New Roman"/>
                      <w:b/>
                      <w:bCs/>
                      <w:i w:val="0"/>
                      <w:iCs w:val="0"/>
                      <w:color w:val="0000FF"/>
                      <w:kern w:val="0"/>
                      <w:sz w:val="21"/>
                      <w:szCs w:val="21"/>
                      <w:highlight w:val="none"/>
                      <w:u w:val="none"/>
                      <w:lang w:val="en-US" w:eastAsia="zh-CN" w:bidi="ar"/>
                    </w:rPr>
                    <w:t>（g/cm</w:t>
                  </w:r>
                  <w:r>
                    <w:rPr>
                      <w:rFonts w:hint="default" w:ascii="Times New Roman" w:hAnsi="Times New Roman" w:eastAsia="宋体" w:cs="Times New Roman"/>
                      <w:b/>
                      <w:bCs/>
                      <w:i w:val="0"/>
                      <w:iCs w:val="0"/>
                      <w:color w:val="0000FF"/>
                      <w:kern w:val="0"/>
                      <w:sz w:val="21"/>
                      <w:szCs w:val="21"/>
                      <w:highlight w:val="none"/>
                      <w:u w:val="none"/>
                      <w:vertAlign w:val="superscript"/>
                      <w:lang w:val="en-US" w:eastAsia="zh-CN" w:bidi="ar"/>
                    </w:rPr>
                    <w:t>3</w:t>
                  </w:r>
                  <w:r>
                    <w:rPr>
                      <w:rFonts w:hint="default" w:ascii="Times New Roman" w:hAnsi="Times New Roman" w:eastAsia="宋体" w:cs="Times New Roman"/>
                      <w:b/>
                      <w:bCs/>
                      <w:i w:val="0"/>
                      <w:iCs w:val="0"/>
                      <w:color w:val="0000FF"/>
                      <w:kern w:val="0"/>
                      <w:sz w:val="21"/>
                      <w:szCs w:val="21"/>
                      <w:highlight w:val="none"/>
                      <w:u w:val="none"/>
                      <w:lang w:val="en-US" w:eastAsia="zh-CN" w:bidi="ar"/>
                    </w:rPr>
                    <w:t>）</w:t>
                  </w:r>
                </w:p>
              </w:tc>
              <w:tc>
                <w:tcPr>
                  <w:tcW w:w="1106" w:type="dxa"/>
                  <w:noWrap w:val="0"/>
                  <w:vAlign w:val="center"/>
                </w:tcPr>
                <w:p w14:paraId="5990A960">
                  <w:pPr>
                    <w:keepNext w:val="0"/>
                    <w:keepLines w:val="0"/>
                    <w:widowControl/>
                    <w:suppressLineNumbers w:val="0"/>
                    <w:jc w:val="both"/>
                    <w:textAlignment w:val="center"/>
                    <w:rPr>
                      <w:rFonts w:hint="default" w:ascii="Times New Roman" w:hAnsi="Times New Roman" w:eastAsia="宋体" w:cs="Times New Roman"/>
                      <w:b/>
                      <w:bCs/>
                      <w:i w:val="0"/>
                      <w:iCs w:val="0"/>
                      <w:color w:val="0000FF"/>
                      <w:sz w:val="21"/>
                      <w:szCs w:val="21"/>
                      <w:highlight w:val="none"/>
                      <w:u w:val="none"/>
                    </w:rPr>
                  </w:pPr>
                  <w:r>
                    <w:rPr>
                      <w:rFonts w:hint="default" w:ascii="Times New Roman" w:hAnsi="Times New Roman" w:eastAsia="宋体" w:cs="Times New Roman"/>
                      <w:b/>
                      <w:bCs/>
                      <w:i w:val="0"/>
                      <w:iCs w:val="0"/>
                      <w:color w:val="0000FF"/>
                      <w:kern w:val="0"/>
                      <w:sz w:val="21"/>
                      <w:szCs w:val="21"/>
                      <w:highlight w:val="none"/>
                      <w:u w:val="none"/>
                      <w:lang w:val="en-US" w:eastAsia="zh-CN" w:bidi="ar"/>
                    </w:rPr>
                    <w:t>移印油墨用量（t/a）</w:t>
                  </w:r>
                </w:p>
              </w:tc>
              <w:tc>
                <w:tcPr>
                  <w:tcW w:w="1081" w:type="dxa"/>
                  <w:noWrap w:val="0"/>
                  <w:vAlign w:val="center"/>
                </w:tcPr>
                <w:p w14:paraId="0CAFC690">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highlight w:val="none"/>
                      <w:u w:val="none"/>
                    </w:rPr>
                  </w:pPr>
                  <w:r>
                    <w:rPr>
                      <w:rFonts w:hint="default" w:ascii="Times New Roman" w:hAnsi="Times New Roman" w:eastAsia="宋体" w:cs="Times New Roman"/>
                      <w:b/>
                      <w:bCs/>
                      <w:i w:val="0"/>
                      <w:iCs w:val="0"/>
                      <w:color w:val="0000FF"/>
                      <w:kern w:val="0"/>
                      <w:sz w:val="21"/>
                      <w:szCs w:val="21"/>
                      <w:highlight w:val="none"/>
                      <w:u w:val="none"/>
                      <w:lang w:val="en-US" w:eastAsia="zh-CN" w:bidi="ar"/>
                    </w:rPr>
                    <w:t>稀释剂用量（t/a）</w:t>
                  </w:r>
                </w:p>
              </w:tc>
              <w:tc>
                <w:tcPr>
                  <w:tcW w:w="950" w:type="dxa"/>
                  <w:noWrap w:val="0"/>
                  <w:vAlign w:val="center"/>
                </w:tcPr>
                <w:p w14:paraId="5AD04DC1">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highlight w:val="none"/>
                      <w:u w:val="none"/>
                    </w:rPr>
                  </w:pPr>
                  <w:r>
                    <w:rPr>
                      <w:rFonts w:hint="default" w:ascii="Times New Roman" w:hAnsi="Times New Roman" w:eastAsia="宋体" w:cs="Times New Roman"/>
                      <w:b/>
                      <w:bCs/>
                      <w:i w:val="0"/>
                      <w:iCs w:val="0"/>
                      <w:color w:val="0000FF"/>
                      <w:kern w:val="0"/>
                      <w:sz w:val="21"/>
                      <w:szCs w:val="21"/>
                      <w:highlight w:val="none"/>
                      <w:u w:val="none"/>
                      <w:lang w:val="en-US" w:eastAsia="zh-CN" w:bidi="ar"/>
                    </w:rPr>
                    <w:t>固化剂用量（t/a）</w:t>
                  </w:r>
                </w:p>
              </w:tc>
              <w:tc>
                <w:tcPr>
                  <w:tcW w:w="1061" w:type="dxa"/>
                  <w:noWrap w:val="0"/>
                  <w:vAlign w:val="center"/>
                </w:tcPr>
                <w:p w14:paraId="1F5BA609">
                  <w:pPr>
                    <w:keepNext w:val="0"/>
                    <w:keepLines w:val="0"/>
                    <w:widowControl/>
                    <w:suppressLineNumbers w:val="0"/>
                    <w:jc w:val="both"/>
                    <w:textAlignment w:val="center"/>
                    <w:rPr>
                      <w:rFonts w:hint="default" w:ascii="Times New Roman" w:hAnsi="Times New Roman" w:eastAsia="宋体" w:cs="Times New Roman"/>
                      <w:b/>
                      <w:bCs/>
                      <w:i w:val="0"/>
                      <w:iCs w:val="0"/>
                      <w:color w:val="0000FF"/>
                      <w:sz w:val="21"/>
                      <w:szCs w:val="21"/>
                      <w:highlight w:val="none"/>
                      <w:u w:val="none"/>
                    </w:rPr>
                  </w:pPr>
                  <w:r>
                    <w:rPr>
                      <w:rFonts w:hint="default" w:ascii="Times New Roman" w:hAnsi="Times New Roman" w:eastAsia="宋体" w:cs="Times New Roman"/>
                      <w:b/>
                      <w:bCs/>
                      <w:i w:val="0"/>
                      <w:iCs w:val="0"/>
                      <w:color w:val="0000FF"/>
                      <w:kern w:val="0"/>
                      <w:sz w:val="21"/>
                      <w:szCs w:val="21"/>
                      <w:highlight w:val="none"/>
                      <w:u w:val="none"/>
                      <w:lang w:val="en-US" w:eastAsia="zh-CN" w:bidi="ar"/>
                    </w:rPr>
                    <w:t>调配后油墨总用量（t/a）</w:t>
                  </w:r>
                </w:p>
              </w:tc>
            </w:tr>
            <w:tr w14:paraId="6E858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926" w:type="dxa"/>
                  <w:noWrap w:val="0"/>
                  <w:vAlign w:val="center"/>
                </w:tcPr>
                <w:p w14:paraId="638770D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eastAsia" w:ascii="Times New Roman" w:hAnsi="Times New Roman" w:eastAsia="宋体" w:cs="Times New Roman"/>
                      <w:i w:val="0"/>
                      <w:iCs w:val="0"/>
                      <w:color w:val="0000FF"/>
                      <w:kern w:val="0"/>
                      <w:sz w:val="21"/>
                      <w:szCs w:val="21"/>
                      <w:highlight w:val="none"/>
                      <w:u w:val="none"/>
                      <w:lang w:val="en-US" w:eastAsia="zh-CN" w:bidi="ar"/>
                    </w:rPr>
                    <w:t>路由器</w:t>
                  </w:r>
                </w:p>
              </w:tc>
              <w:tc>
                <w:tcPr>
                  <w:tcW w:w="1000" w:type="dxa"/>
                  <w:noWrap w:val="0"/>
                  <w:vAlign w:val="center"/>
                </w:tcPr>
                <w:p w14:paraId="643EAFA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highlight w:val="none"/>
                      <w:u w:val="none"/>
                      <w:lang w:val="en-US" w:eastAsia="zh-CN" w:bidi="ar"/>
                    </w:rPr>
                    <w:t>0.0015~6000</w:t>
                  </w:r>
                </w:p>
              </w:tc>
              <w:tc>
                <w:tcPr>
                  <w:tcW w:w="1131" w:type="dxa"/>
                  <w:noWrap w:val="0"/>
                  <w:vAlign w:val="center"/>
                </w:tcPr>
                <w:p w14:paraId="0044D87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highlight w:val="none"/>
                      <w:u w:val="none"/>
                      <w:lang w:val="en-US" w:eastAsia="zh-CN" w:bidi="ar"/>
                    </w:rPr>
                    <w:t>10~20</w:t>
                  </w:r>
                </w:p>
              </w:tc>
              <w:tc>
                <w:tcPr>
                  <w:tcW w:w="1249" w:type="dxa"/>
                  <w:noWrap w:val="0"/>
                  <w:vAlign w:val="center"/>
                </w:tcPr>
                <w:p w14:paraId="6DB6907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highlight w:val="none"/>
                      <w:u w:val="none"/>
                      <w:lang w:val="en-US" w:eastAsia="zh-CN" w:bidi="ar"/>
                    </w:rPr>
                    <w:t>1.07</w:t>
                  </w:r>
                </w:p>
              </w:tc>
              <w:tc>
                <w:tcPr>
                  <w:tcW w:w="1106" w:type="dxa"/>
                  <w:noWrap w:val="0"/>
                  <w:vAlign w:val="center"/>
                </w:tcPr>
                <w:p w14:paraId="714A865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highlight w:val="none"/>
                      <w:u w:val="none"/>
                      <w:lang w:val="en-US" w:eastAsia="zh-CN" w:bidi="ar"/>
                    </w:rPr>
                    <w:t>0.2919</w:t>
                  </w:r>
                </w:p>
              </w:tc>
              <w:tc>
                <w:tcPr>
                  <w:tcW w:w="1081" w:type="dxa"/>
                  <w:noWrap w:val="0"/>
                  <w:vAlign w:val="center"/>
                </w:tcPr>
                <w:p w14:paraId="5082121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highlight w:val="none"/>
                      <w:u w:val="none"/>
                      <w:lang w:val="en-US" w:eastAsia="zh-CN" w:bidi="ar"/>
                    </w:rPr>
                    <w:t>0.0292</w:t>
                  </w:r>
                </w:p>
              </w:tc>
              <w:tc>
                <w:tcPr>
                  <w:tcW w:w="950" w:type="dxa"/>
                  <w:noWrap w:val="0"/>
                  <w:vAlign w:val="center"/>
                </w:tcPr>
                <w:p w14:paraId="0787AEE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highlight w:val="none"/>
                      <w:u w:val="none"/>
                      <w:lang w:val="en-US" w:eastAsia="zh-CN" w:bidi="ar"/>
                    </w:rPr>
                    <w:t>0.0438</w:t>
                  </w:r>
                </w:p>
              </w:tc>
              <w:tc>
                <w:tcPr>
                  <w:tcW w:w="1061" w:type="dxa"/>
                  <w:noWrap w:val="0"/>
                  <w:vAlign w:val="center"/>
                </w:tcPr>
                <w:p w14:paraId="0747477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highlight w:val="none"/>
                      <w:u w:val="none"/>
                      <w:lang w:val="en-US" w:eastAsia="zh-CN" w:bidi="ar"/>
                    </w:rPr>
                    <w:t>0.3649</w:t>
                  </w:r>
                </w:p>
              </w:tc>
            </w:tr>
            <w:tr w14:paraId="6124E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504" w:type="dxa"/>
                  <w:gridSpan w:val="8"/>
                  <w:noWrap w:val="0"/>
                  <w:vAlign w:val="center"/>
                </w:tcPr>
                <w:p w14:paraId="23AE272A">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highlight w:val="none"/>
                      <w:u w:val="none"/>
                      <w:lang w:val="en-US" w:eastAsia="zh-CN" w:bidi="ar"/>
                    </w:rPr>
                    <w:t>注：本次评价油墨用量计算印刷面积和油墨厚度均取最大值进行核算。</w:t>
                  </w:r>
                </w:p>
              </w:tc>
            </w:tr>
          </w:tbl>
          <w:p w14:paraId="50F033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0000FF"/>
                <w:sz w:val="24"/>
                <w:highlight w:val="none"/>
              </w:rPr>
            </w:pPr>
            <w:r>
              <w:rPr>
                <w:rFonts w:hint="default" w:ascii="Times New Roman" w:hAnsi="Times New Roman" w:cs="Times New Roman"/>
                <w:b/>
                <w:bCs/>
                <w:color w:val="0000FF"/>
                <w:sz w:val="24"/>
                <w:highlight w:val="none"/>
                <w:lang w:val="zh-CN"/>
              </w:rPr>
              <w:t>表2.</w:t>
            </w:r>
            <w:r>
              <w:rPr>
                <w:rFonts w:hint="default" w:ascii="Times New Roman" w:hAnsi="Times New Roman" w:cs="Times New Roman"/>
                <w:b/>
                <w:bCs/>
                <w:color w:val="0000FF"/>
                <w:sz w:val="24"/>
                <w:highlight w:val="none"/>
                <w:lang w:val="en-US" w:eastAsia="zh-CN"/>
              </w:rPr>
              <w:t>3-</w:t>
            </w:r>
            <w:r>
              <w:rPr>
                <w:rFonts w:hint="eastAsia" w:ascii="Times New Roman" w:hAnsi="Times New Roman" w:cs="Times New Roman"/>
                <w:b/>
                <w:bCs/>
                <w:color w:val="0000FF"/>
                <w:sz w:val="24"/>
                <w:highlight w:val="none"/>
                <w:lang w:val="en-US" w:eastAsia="zh-CN"/>
              </w:rPr>
              <w:t>3</w:t>
            </w:r>
            <w:r>
              <w:rPr>
                <w:rFonts w:hint="default" w:ascii="Times New Roman" w:hAnsi="Times New Roman" w:cs="Times New Roman"/>
                <w:b/>
                <w:bCs/>
                <w:color w:val="0000FF"/>
                <w:sz w:val="24"/>
                <w:highlight w:val="none"/>
                <w:lang w:val="zh-CN"/>
              </w:rPr>
              <w:t xml:space="preserve">  油墨使用情况及</w:t>
            </w:r>
            <w:r>
              <w:rPr>
                <w:rFonts w:hint="eastAsia" w:ascii="Times New Roman" w:hAnsi="Times New Roman" w:cs="Times New Roman"/>
                <w:b/>
                <w:bCs/>
                <w:color w:val="0000FF"/>
                <w:sz w:val="24"/>
                <w:highlight w:val="none"/>
                <w:lang w:val="zh-CN"/>
              </w:rPr>
              <w:t>成分</w:t>
            </w:r>
            <w:r>
              <w:rPr>
                <w:rFonts w:hint="default" w:ascii="Times New Roman" w:hAnsi="Times New Roman" w:cs="Times New Roman"/>
                <w:b/>
                <w:bCs/>
                <w:color w:val="0000FF"/>
                <w:sz w:val="24"/>
                <w:highlight w:val="none"/>
                <w:lang w:val="zh-CN"/>
              </w:rPr>
              <w:t>核算表</w:t>
            </w:r>
          </w:p>
          <w:tbl>
            <w:tblPr>
              <w:tblStyle w:val="35"/>
              <w:tblW w:w="8460"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280"/>
              <w:gridCol w:w="1583"/>
              <w:gridCol w:w="1584"/>
              <w:gridCol w:w="1466"/>
              <w:gridCol w:w="1467"/>
            </w:tblGrid>
            <w:tr w14:paraId="08023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vMerge w:val="restart"/>
                  <w:noWrap w:val="0"/>
                  <w:vAlign w:val="center"/>
                </w:tcPr>
                <w:p w14:paraId="6D4B5C96">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highlight w:val="none"/>
                      <w:u w:val="none"/>
                    </w:rPr>
                  </w:pPr>
                  <w:r>
                    <w:rPr>
                      <w:rFonts w:hint="default" w:ascii="Times New Roman" w:hAnsi="Times New Roman" w:eastAsia="宋体" w:cs="Times New Roman"/>
                      <w:b/>
                      <w:bCs/>
                      <w:i w:val="0"/>
                      <w:iCs w:val="0"/>
                      <w:color w:val="0000FF"/>
                      <w:kern w:val="0"/>
                      <w:sz w:val="21"/>
                      <w:szCs w:val="21"/>
                      <w:highlight w:val="none"/>
                      <w:u w:val="none"/>
                      <w:lang w:val="en-US" w:eastAsia="zh-CN" w:bidi="ar"/>
                    </w:rPr>
                    <w:t>涂料种类</w:t>
                  </w:r>
                </w:p>
              </w:tc>
              <w:tc>
                <w:tcPr>
                  <w:tcW w:w="1280" w:type="dxa"/>
                  <w:noWrap w:val="0"/>
                  <w:vAlign w:val="center"/>
                </w:tcPr>
                <w:p w14:paraId="39C34C28">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highlight w:val="none"/>
                      <w:u w:val="none"/>
                    </w:rPr>
                  </w:pPr>
                  <w:r>
                    <w:rPr>
                      <w:rFonts w:hint="default" w:ascii="Times New Roman" w:hAnsi="Times New Roman" w:eastAsia="宋体" w:cs="Times New Roman"/>
                      <w:b/>
                      <w:bCs/>
                      <w:i w:val="0"/>
                      <w:iCs w:val="0"/>
                      <w:color w:val="0000FF"/>
                      <w:kern w:val="0"/>
                      <w:sz w:val="21"/>
                      <w:szCs w:val="21"/>
                      <w:highlight w:val="none"/>
                      <w:u w:val="none"/>
                      <w:lang w:val="en-US" w:eastAsia="zh-CN" w:bidi="ar"/>
                    </w:rPr>
                    <w:t>用量</w:t>
                  </w:r>
                </w:p>
              </w:tc>
              <w:tc>
                <w:tcPr>
                  <w:tcW w:w="3167" w:type="dxa"/>
                  <w:gridSpan w:val="2"/>
                  <w:noWrap w:val="0"/>
                  <w:vAlign w:val="center"/>
                </w:tcPr>
                <w:p w14:paraId="55D50B78">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highlight w:val="none"/>
                      <w:u w:val="none"/>
                    </w:rPr>
                  </w:pPr>
                  <w:r>
                    <w:rPr>
                      <w:rFonts w:hint="default" w:ascii="Times New Roman" w:hAnsi="Times New Roman" w:eastAsia="宋体" w:cs="Times New Roman"/>
                      <w:b/>
                      <w:bCs/>
                      <w:i w:val="0"/>
                      <w:iCs w:val="0"/>
                      <w:color w:val="0000FF"/>
                      <w:kern w:val="0"/>
                      <w:sz w:val="21"/>
                      <w:szCs w:val="21"/>
                      <w:highlight w:val="none"/>
                      <w:u w:val="none"/>
                      <w:lang w:val="en-US" w:eastAsia="zh-CN" w:bidi="ar"/>
                    </w:rPr>
                    <w:t>固体分</w:t>
                  </w:r>
                </w:p>
              </w:tc>
              <w:tc>
                <w:tcPr>
                  <w:tcW w:w="2933" w:type="dxa"/>
                  <w:gridSpan w:val="2"/>
                  <w:noWrap w:val="0"/>
                  <w:vAlign w:val="center"/>
                </w:tcPr>
                <w:p w14:paraId="19E0D0F8">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highlight w:val="none"/>
                      <w:u w:val="none"/>
                    </w:rPr>
                  </w:pPr>
                  <w:r>
                    <w:rPr>
                      <w:rFonts w:hint="eastAsia" w:ascii="Times New Roman" w:hAnsi="Times New Roman" w:eastAsia="宋体" w:cs="Times New Roman"/>
                      <w:b/>
                      <w:bCs/>
                      <w:i w:val="0"/>
                      <w:iCs w:val="0"/>
                      <w:color w:val="0000FF"/>
                      <w:kern w:val="0"/>
                      <w:sz w:val="21"/>
                      <w:szCs w:val="21"/>
                      <w:highlight w:val="none"/>
                      <w:u w:val="none"/>
                      <w:lang w:val="en-US" w:eastAsia="zh-CN" w:bidi="ar"/>
                    </w:rPr>
                    <w:t>VOCs</w:t>
                  </w:r>
                </w:p>
              </w:tc>
            </w:tr>
            <w:tr w14:paraId="48B8B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vMerge w:val="continue"/>
                  <w:noWrap w:val="0"/>
                  <w:vAlign w:val="center"/>
                </w:tcPr>
                <w:p w14:paraId="551E5422">
                  <w:pPr>
                    <w:jc w:val="center"/>
                    <w:rPr>
                      <w:rFonts w:hint="default" w:ascii="Times New Roman" w:hAnsi="Times New Roman" w:eastAsia="宋体" w:cs="Times New Roman"/>
                      <w:b/>
                      <w:bCs/>
                      <w:i w:val="0"/>
                      <w:iCs w:val="0"/>
                      <w:color w:val="0000FF"/>
                      <w:sz w:val="21"/>
                      <w:szCs w:val="21"/>
                      <w:highlight w:val="none"/>
                      <w:u w:val="none"/>
                    </w:rPr>
                  </w:pPr>
                </w:p>
              </w:tc>
              <w:tc>
                <w:tcPr>
                  <w:tcW w:w="1280" w:type="dxa"/>
                  <w:noWrap w:val="0"/>
                  <w:vAlign w:val="center"/>
                </w:tcPr>
                <w:p w14:paraId="7161DD11">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highlight w:val="none"/>
                      <w:u w:val="none"/>
                    </w:rPr>
                  </w:pPr>
                  <w:r>
                    <w:rPr>
                      <w:rFonts w:hint="default" w:ascii="Times New Roman" w:hAnsi="Times New Roman" w:eastAsia="宋体" w:cs="Times New Roman"/>
                      <w:b/>
                      <w:bCs/>
                      <w:i w:val="0"/>
                      <w:iCs w:val="0"/>
                      <w:color w:val="0000FF"/>
                      <w:kern w:val="0"/>
                      <w:sz w:val="21"/>
                      <w:szCs w:val="21"/>
                      <w:highlight w:val="none"/>
                      <w:u w:val="none"/>
                      <w:lang w:val="en-US" w:eastAsia="zh-CN" w:bidi="ar"/>
                    </w:rPr>
                    <w:t>(t/a)</w:t>
                  </w:r>
                </w:p>
              </w:tc>
              <w:tc>
                <w:tcPr>
                  <w:tcW w:w="1583" w:type="dxa"/>
                  <w:noWrap w:val="0"/>
                  <w:vAlign w:val="center"/>
                </w:tcPr>
                <w:p w14:paraId="1AA81778">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highlight w:val="none"/>
                      <w:u w:val="none"/>
                    </w:rPr>
                  </w:pPr>
                  <w:r>
                    <w:rPr>
                      <w:rFonts w:hint="default" w:ascii="Times New Roman" w:hAnsi="Times New Roman" w:eastAsia="宋体" w:cs="Times New Roman"/>
                      <w:b/>
                      <w:bCs/>
                      <w:i w:val="0"/>
                      <w:iCs w:val="0"/>
                      <w:color w:val="0000FF"/>
                      <w:kern w:val="0"/>
                      <w:sz w:val="21"/>
                      <w:szCs w:val="21"/>
                      <w:highlight w:val="none"/>
                      <w:u w:val="none"/>
                      <w:lang w:val="en-US" w:eastAsia="zh-CN" w:bidi="ar"/>
                    </w:rPr>
                    <w:t>比例(%)</w:t>
                  </w:r>
                </w:p>
              </w:tc>
              <w:tc>
                <w:tcPr>
                  <w:tcW w:w="1584" w:type="dxa"/>
                  <w:noWrap w:val="0"/>
                  <w:vAlign w:val="center"/>
                </w:tcPr>
                <w:p w14:paraId="2F1FC317">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highlight w:val="none"/>
                      <w:u w:val="none"/>
                    </w:rPr>
                  </w:pPr>
                  <w:r>
                    <w:rPr>
                      <w:rFonts w:hint="default" w:ascii="Times New Roman" w:hAnsi="Times New Roman" w:eastAsia="宋体" w:cs="Times New Roman"/>
                      <w:b/>
                      <w:bCs/>
                      <w:i w:val="0"/>
                      <w:iCs w:val="0"/>
                      <w:color w:val="0000FF"/>
                      <w:kern w:val="0"/>
                      <w:sz w:val="21"/>
                      <w:szCs w:val="21"/>
                      <w:highlight w:val="none"/>
                      <w:u w:val="none"/>
                      <w:lang w:val="en-US" w:eastAsia="zh-CN" w:bidi="ar"/>
                    </w:rPr>
                    <w:t>含量(t)</w:t>
                  </w:r>
                </w:p>
              </w:tc>
              <w:tc>
                <w:tcPr>
                  <w:tcW w:w="1466" w:type="dxa"/>
                  <w:noWrap w:val="0"/>
                  <w:vAlign w:val="center"/>
                </w:tcPr>
                <w:p w14:paraId="7F15FC01">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highlight w:val="none"/>
                      <w:u w:val="none"/>
                    </w:rPr>
                  </w:pPr>
                  <w:r>
                    <w:rPr>
                      <w:rFonts w:hint="default" w:ascii="Times New Roman" w:hAnsi="Times New Roman" w:eastAsia="宋体" w:cs="Times New Roman"/>
                      <w:b/>
                      <w:bCs/>
                      <w:i w:val="0"/>
                      <w:iCs w:val="0"/>
                      <w:color w:val="0000FF"/>
                      <w:kern w:val="0"/>
                      <w:sz w:val="21"/>
                      <w:szCs w:val="21"/>
                      <w:highlight w:val="none"/>
                      <w:u w:val="none"/>
                      <w:lang w:val="en-US" w:eastAsia="zh-CN" w:bidi="ar"/>
                    </w:rPr>
                    <w:t>比例(%)</w:t>
                  </w:r>
                </w:p>
              </w:tc>
              <w:tc>
                <w:tcPr>
                  <w:tcW w:w="1467" w:type="dxa"/>
                  <w:noWrap w:val="0"/>
                  <w:vAlign w:val="center"/>
                </w:tcPr>
                <w:p w14:paraId="52F260A3">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highlight w:val="none"/>
                      <w:u w:val="none"/>
                    </w:rPr>
                  </w:pPr>
                  <w:r>
                    <w:rPr>
                      <w:rFonts w:hint="default" w:ascii="Times New Roman" w:hAnsi="Times New Roman" w:eastAsia="宋体" w:cs="Times New Roman"/>
                      <w:b/>
                      <w:bCs/>
                      <w:i w:val="0"/>
                      <w:iCs w:val="0"/>
                      <w:color w:val="0000FF"/>
                      <w:kern w:val="0"/>
                      <w:sz w:val="21"/>
                      <w:szCs w:val="21"/>
                      <w:highlight w:val="none"/>
                      <w:u w:val="none"/>
                      <w:lang w:val="en-US" w:eastAsia="zh-CN" w:bidi="ar"/>
                    </w:rPr>
                    <w:t>含量(t)</w:t>
                  </w:r>
                </w:p>
              </w:tc>
            </w:tr>
            <w:tr w14:paraId="18E8B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460" w:type="dxa"/>
                  <w:gridSpan w:val="6"/>
                  <w:noWrap w:val="0"/>
                  <w:vAlign w:val="center"/>
                </w:tcPr>
                <w:p w14:paraId="7B6805A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highlight w:val="none"/>
                      <w:u w:val="none"/>
                      <w:lang w:val="en-US" w:eastAsia="zh-CN" w:bidi="ar"/>
                    </w:rPr>
                    <w:t>调配前</w:t>
                  </w:r>
                </w:p>
              </w:tc>
            </w:tr>
            <w:tr w14:paraId="446E1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noWrap w:val="0"/>
                  <w:vAlign w:val="center"/>
                </w:tcPr>
                <w:p w14:paraId="2E77ABC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highlight w:val="none"/>
                      <w:u w:val="none"/>
                      <w:lang w:val="en-US" w:eastAsia="zh-CN" w:bidi="ar"/>
                    </w:rPr>
                    <w:t>油墨</w:t>
                  </w:r>
                </w:p>
              </w:tc>
              <w:tc>
                <w:tcPr>
                  <w:tcW w:w="1280" w:type="dxa"/>
                  <w:noWrap w:val="0"/>
                  <w:vAlign w:val="center"/>
                </w:tcPr>
                <w:p w14:paraId="73B31A7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highlight w:val="none"/>
                      <w:u w:val="none"/>
                      <w:lang w:val="en-US" w:eastAsia="zh-CN" w:bidi="ar"/>
                    </w:rPr>
                    <w:t>0.2919</w:t>
                  </w:r>
                </w:p>
              </w:tc>
              <w:tc>
                <w:tcPr>
                  <w:tcW w:w="1583" w:type="dxa"/>
                  <w:noWrap w:val="0"/>
                  <w:vAlign w:val="center"/>
                </w:tcPr>
                <w:p w14:paraId="22A57CF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highlight w:val="none"/>
                      <w:u w:val="none"/>
                      <w:lang w:val="en-US" w:eastAsia="zh-CN" w:bidi="ar"/>
                    </w:rPr>
                    <w:t>55</w:t>
                  </w:r>
                </w:p>
              </w:tc>
              <w:tc>
                <w:tcPr>
                  <w:tcW w:w="1584" w:type="dxa"/>
                  <w:noWrap w:val="0"/>
                  <w:vAlign w:val="center"/>
                </w:tcPr>
                <w:p w14:paraId="7EA1FF2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highlight w:val="none"/>
                      <w:u w:val="none"/>
                      <w:lang w:val="en-US" w:eastAsia="zh-CN" w:bidi="ar"/>
                    </w:rPr>
                    <w:t xml:space="preserve">0.1605 </w:t>
                  </w:r>
                </w:p>
              </w:tc>
              <w:tc>
                <w:tcPr>
                  <w:tcW w:w="1466" w:type="dxa"/>
                  <w:noWrap w:val="0"/>
                  <w:vAlign w:val="center"/>
                </w:tcPr>
                <w:p w14:paraId="2FCDFFD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highlight w:val="none"/>
                      <w:u w:val="none"/>
                      <w:lang w:val="en-US" w:eastAsia="zh-CN" w:bidi="ar"/>
                    </w:rPr>
                    <w:t>45</w:t>
                  </w:r>
                </w:p>
              </w:tc>
              <w:tc>
                <w:tcPr>
                  <w:tcW w:w="1467" w:type="dxa"/>
                  <w:noWrap w:val="0"/>
                  <w:vAlign w:val="center"/>
                </w:tcPr>
                <w:p w14:paraId="060DFC5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highlight w:val="none"/>
                      <w:u w:val="none"/>
                      <w:lang w:val="en-US" w:eastAsia="zh-CN" w:bidi="ar"/>
                    </w:rPr>
                    <w:t xml:space="preserve">0.1314 </w:t>
                  </w:r>
                </w:p>
              </w:tc>
            </w:tr>
            <w:tr w14:paraId="107F8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noWrap w:val="0"/>
                  <w:vAlign w:val="center"/>
                </w:tcPr>
                <w:p w14:paraId="16745EA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highlight w:val="none"/>
                      <w:u w:val="none"/>
                      <w:lang w:val="en-US" w:eastAsia="zh-CN" w:bidi="ar"/>
                    </w:rPr>
                    <w:t>稀释剂</w:t>
                  </w:r>
                </w:p>
              </w:tc>
              <w:tc>
                <w:tcPr>
                  <w:tcW w:w="1280" w:type="dxa"/>
                  <w:noWrap w:val="0"/>
                  <w:vAlign w:val="center"/>
                </w:tcPr>
                <w:p w14:paraId="10828D4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highlight w:val="none"/>
                      <w:u w:val="none"/>
                      <w:lang w:val="en-US" w:eastAsia="zh-CN" w:bidi="ar"/>
                    </w:rPr>
                    <w:t>0.0292</w:t>
                  </w:r>
                </w:p>
              </w:tc>
              <w:tc>
                <w:tcPr>
                  <w:tcW w:w="1583" w:type="dxa"/>
                  <w:noWrap w:val="0"/>
                  <w:vAlign w:val="center"/>
                </w:tcPr>
                <w:p w14:paraId="1528A93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highlight w:val="none"/>
                      <w:u w:val="none"/>
                      <w:lang w:val="en-US" w:eastAsia="zh-CN" w:bidi="ar"/>
                    </w:rPr>
                    <w:t>55</w:t>
                  </w:r>
                </w:p>
              </w:tc>
              <w:tc>
                <w:tcPr>
                  <w:tcW w:w="1584" w:type="dxa"/>
                  <w:noWrap w:val="0"/>
                  <w:vAlign w:val="center"/>
                </w:tcPr>
                <w:p w14:paraId="3D87692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highlight w:val="none"/>
                      <w:u w:val="none"/>
                      <w:lang w:val="en-US" w:eastAsia="zh-CN" w:bidi="ar"/>
                    </w:rPr>
                    <w:t xml:space="preserve">0.0161 </w:t>
                  </w:r>
                </w:p>
              </w:tc>
              <w:tc>
                <w:tcPr>
                  <w:tcW w:w="1466" w:type="dxa"/>
                  <w:noWrap w:val="0"/>
                  <w:vAlign w:val="center"/>
                </w:tcPr>
                <w:p w14:paraId="78D404E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highlight w:val="none"/>
                      <w:u w:val="none"/>
                      <w:lang w:val="en-US" w:eastAsia="zh-CN" w:bidi="ar"/>
                    </w:rPr>
                    <w:t>45</w:t>
                  </w:r>
                </w:p>
              </w:tc>
              <w:tc>
                <w:tcPr>
                  <w:tcW w:w="1467" w:type="dxa"/>
                  <w:noWrap w:val="0"/>
                  <w:vAlign w:val="center"/>
                </w:tcPr>
                <w:p w14:paraId="3F8DAF1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highlight w:val="none"/>
                      <w:u w:val="none"/>
                      <w:lang w:val="en-US" w:eastAsia="zh-CN" w:bidi="ar"/>
                    </w:rPr>
                    <w:t xml:space="preserve">0.0131 </w:t>
                  </w:r>
                </w:p>
              </w:tc>
            </w:tr>
            <w:tr w14:paraId="7EC40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80" w:type="dxa"/>
                  <w:noWrap w:val="0"/>
                  <w:vAlign w:val="center"/>
                </w:tcPr>
                <w:p w14:paraId="79BDC07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highlight w:val="none"/>
                      <w:u w:val="none"/>
                      <w:lang w:val="en-US" w:eastAsia="zh-CN" w:bidi="ar"/>
                    </w:rPr>
                    <w:t>固化剂</w:t>
                  </w:r>
                </w:p>
              </w:tc>
              <w:tc>
                <w:tcPr>
                  <w:tcW w:w="1280" w:type="dxa"/>
                  <w:noWrap w:val="0"/>
                  <w:vAlign w:val="center"/>
                </w:tcPr>
                <w:p w14:paraId="206856A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highlight w:val="none"/>
                      <w:u w:val="none"/>
                      <w:lang w:val="en-US" w:eastAsia="zh-CN" w:bidi="ar"/>
                    </w:rPr>
                    <w:t>0.0438</w:t>
                  </w:r>
                </w:p>
              </w:tc>
              <w:tc>
                <w:tcPr>
                  <w:tcW w:w="1583" w:type="dxa"/>
                  <w:noWrap w:val="0"/>
                  <w:vAlign w:val="center"/>
                </w:tcPr>
                <w:p w14:paraId="1F67749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highlight w:val="none"/>
                      <w:u w:val="none"/>
                      <w:lang w:val="en-US" w:eastAsia="zh-CN" w:bidi="ar"/>
                    </w:rPr>
                    <w:t>0</w:t>
                  </w:r>
                </w:p>
              </w:tc>
              <w:tc>
                <w:tcPr>
                  <w:tcW w:w="1584" w:type="dxa"/>
                  <w:noWrap w:val="0"/>
                  <w:vAlign w:val="center"/>
                </w:tcPr>
                <w:p w14:paraId="6EFFCCD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highlight w:val="none"/>
                      <w:u w:val="none"/>
                      <w:lang w:val="en-US" w:eastAsia="zh-CN" w:bidi="ar"/>
                    </w:rPr>
                    <w:t>0</w:t>
                  </w:r>
                </w:p>
              </w:tc>
              <w:tc>
                <w:tcPr>
                  <w:tcW w:w="1466" w:type="dxa"/>
                  <w:noWrap w:val="0"/>
                  <w:vAlign w:val="center"/>
                </w:tcPr>
                <w:p w14:paraId="5DD332D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highlight w:val="none"/>
                      <w:u w:val="none"/>
                      <w:lang w:val="en-US" w:eastAsia="zh-CN" w:bidi="ar"/>
                    </w:rPr>
                    <w:t>100</w:t>
                  </w:r>
                </w:p>
              </w:tc>
              <w:tc>
                <w:tcPr>
                  <w:tcW w:w="1467" w:type="dxa"/>
                  <w:noWrap w:val="0"/>
                  <w:vAlign w:val="center"/>
                </w:tcPr>
                <w:p w14:paraId="5B16966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highlight w:val="none"/>
                      <w:u w:val="none"/>
                      <w:lang w:val="en-US" w:eastAsia="zh-CN" w:bidi="ar"/>
                    </w:rPr>
                    <w:t>0.0438</w:t>
                  </w:r>
                </w:p>
              </w:tc>
            </w:tr>
            <w:tr w14:paraId="79E6D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460" w:type="dxa"/>
                  <w:gridSpan w:val="6"/>
                  <w:noWrap w:val="0"/>
                  <w:vAlign w:val="center"/>
                </w:tcPr>
                <w:p w14:paraId="6148D40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highlight w:val="none"/>
                      <w:u w:val="none"/>
                      <w:lang w:val="en-US" w:eastAsia="zh-CN" w:bidi="ar"/>
                    </w:rPr>
                    <w:t>调配后</w:t>
                  </w:r>
                </w:p>
              </w:tc>
            </w:tr>
            <w:tr w14:paraId="22954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80" w:type="dxa"/>
                  <w:noWrap w:val="0"/>
                  <w:vAlign w:val="center"/>
                </w:tcPr>
                <w:p w14:paraId="23E37AD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highlight w:val="none"/>
                      <w:u w:val="none"/>
                      <w:lang w:val="en-US" w:eastAsia="zh-CN" w:bidi="ar"/>
                    </w:rPr>
                    <w:t>调配后油墨用量</w:t>
                  </w:r>
                </w:p>
              </w:tc>
              <w:tc>
                <w:tcPr>
                  <w:tcW w:w="1280" w:type="dxa"/>
                  <w:noWrap w:val="0"/>
                  <w:vAlign w:val="center"/>
                </w:tcPr>
                <w:p w14:paraId="543B688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highlight w:val="none"/>
                      <w:u w:val="none"/>
                      <w:lang w:val="en-US" w:eastAsia="zh-CN" w:bidi="ar"/>
                    </w:rPr>
                    <w:t>0.3649</w:t>
                  </w:r>
                </w:p>
              </w:tc>
              <w:tc>
                <w:tcPr>
                  <w:tcW w:w="1583" w:type="dxa"/>
                  <w:noWrap w:val="0"/>
                  <w:vAlign w:val="center"/>
                </w:tcPr>
                <w:p w14:paraId="3DCDC6D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highlight w:val="none"/>
                      <w:u w:val="none"/>
                      <w:lang w:val="en-US" w:eastAsia="zh-CN" w:bidi="ar"/>
                    </w:rPr>
                    <w:t>48</w:t>
                  </w:r>
                </w:p>
              </w:tc>
              <w:tc>
                <w:tcPr>
                  <w:tcW w:w="1584" w:type="dxa"/>
                  <w:noWrap w:val="0"/>
                  <w:vAlign w:val="center"/>
                </w:tcPr>
                <w:p w14:paraId="0BC369C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highlight w:val="none"/>
                      <w:u w:val="none"/>
                      <w:lang w:val="en-US" w:eastAsia="zh-CN" w:bidi="ar"/>
                    </w:rPr>
                    <w:t xml:space="preserve">0.1766 </w:t>
                  </w:r>
                </w:p>
              </w:tc>
              <w:tc>
                <w:tcPr>
                  <w:tcW w:w="1466" w:type="dxa"/>
                  <w:noWrap w:val="0"/>
                  <w:vAlign w:val="center"/>
                </w:tcPr>
                <w:p w14:paraId="5F723B7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highlight w:val="none"/>
                      <w:u w:val="none"/>
                      <w:lang w:val="en-US" w:eastAsia="zh-CN" w:bidi="ar"/>
                    </w:rPr>
                    <w:t>52</w:t>
                  </w:r>
                </w:p>
              </w:tc>
              <w:tc>
                <w:tcPr>
                  <w:tcW w:w="1467" w:type="dxa"/>
                  <w:noWrap w:val="0"/>
                  <w:vAlign w:val="center"/>
                </w:tcPr>
                <w:p w14:paraId="107B7ED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highlight w:val="none"/>
                      <w:u w:val="none"/>
                      <w:lang w:val="en-US" w:eastAsia="zh-CN" w:bidi="ar"/>
                    </w:rPr>
                    <w:t xml:space="preserve">0.1883 </w:t>
                  </w:r>
                </w:p>
              </w:tc>
            </w:tr>
            <w:tr w14:paraId="2A6BF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460" w:type="dxa"/>
                  <w:gridSpan w:val="6"/>
                  <w:noWrap w:val="0"/>
                  <w:vAlign w:val="center"/>
                </w:tcPr>
                <w:p w14:paraId="16E4ECC6">
                  <w:pPr>
                    <w:keepNext w:val="0"/>
                    <w:keepLines w:val="0"/>
                    <w:widowControl/>
                    <w:suppressLineNumbers w:val="0"/>
                    <w:jc w:val="left"/>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highlight w:val="none"/>
                      <w:u w:val="none"/>
                      <w:lang w:val="en-US" w:eastAsia="zh-CN" w:bidi="ar"/>
                    </w:rPr>
                    <w:t>*：按照最大油墨使用量进行核算</w:t>
                  </w:r>
                </w:p>
              </w:tc>
            </w:tr>
          </w:tbl>
          <w:p w14:paraId="7CAF8250">
            <w:pPr>
              <w:pStyle w:val="50"/>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baseline"/>
              <w:rPr>
                <w:rFonts w:hint="default" w:ascii="Times New Roman" w:hAnsi="Times New Roman" w:cs="Times New Roman"/>
                <w:b/>
                <w:bCs/>
                <w:color w:val="0000FF"/>
                <w:sz w:val="24"/>
                <w:szCs w:val="24"/>
                <w:highlight w:val="none"/>
              </w:rPr>
            </w:pPr>
            <w:r>
              <w:rPr>
                <w:rFonts w:hint="default" w:ascii="Times New Roman" w:hAnsi="Times New Roman" w:cs="Times New Roman"/>
                <w:b/>
                <w:bCs/>
                <w:color w:val="0000FF"/>
                <w:sz w:val="24"/>
                <w:szCs w:val="24"/>
                <w:highlight w:val="none"/>
              </w:rPr>
              <w:t>表2.</w:t>
            </w:r>
            <w:r>
              <w:rPr>
                <w:rFonts w:hint="default" w:ascii="Times New Roman" w:hAnsi="Times New Roman" w:cs="Times New Roman"/>
                <w:b/>
                <w:bCs/>
                <w:color w:val="0000FF"/>
                <w:sz w:val="24"/>
                <w:szCs w:val="24"/>
                <w:highlight w:val="none"/>
                <w:lang w:val="en-US" w:eastAsia="zh-CN"/>
              </w:rPr>
              <w:t>3-</w:t>
            </w:r>
            <w:r>
              <w:rPr>
                <w:rFonts w:hint="eastAsia" w:ascii="Times New Roman" w:hAnsi="Times New Roman" w:cs="Times New Roman"/>
                <w:b/>
                <w:bCs/>
                <w:color w:val="0000FF"/>
                <w:sz w:val="24"/>
                <w:szCs w:val="24"/>
                <w:highlight w:val="none"/>
                <w:lang w:val="en-US" w:eastAsia="zh-CN"/>
              </w:rPr>
              <w:t>4</w:t>
            </w:r>
            <w:r>
              <w:rPr>
                <w:rFonts w:hint="default" w:ascii="Times New Roman" w:hAnsi="Times New Roman" w:cs="Times New Roman"/>
                <w:b/>
                <w:bCs/>
                <w:color w:val="0000FF"/>
                <w:sz w:val="24"/>
                <w:szCs w:val="24"/>
                <w:highlight w:val="none"/>
              </w:rPr>
              <w:t xml:space="preserve">  </w:t>
            </w:r>
            <w:r>
              <w:rPr>
                <w:rFonts w:hint="default" w:ascii="Times New Roman" w:hAnsi="Times New Roman" w:cs="Times New Roman"/>
                <w:b/>
                <w:bCs/>
                <w:color w:val="0000FF"/>
                <w:sz w:val="24"/>
                <w:szCs w:val="24"/>
                <w:highlight w:val="none"/>
                <w:lang w:val="en-US" w:eastAsia="zh-CN"/>
              </w:rPr>
              <w:t>印刷</w:t>
            </w:r>
            <w:r>
              <w:rPr>
                <w:rFonts w:hint="eastAsia" w:ascii="Times New Roman" w:hAnsi="Times New Roman" w:eastAsia="宋体" w:cs="Times New Roman"/>
                <w:b/>
                <w:bCs/>
                <w:color w:val="0000FF"/>
                <w:sz w:val="24"/>
                <w:szCs w:val="24"/>
                <w:highlight w:val="none"/>
                <w:lang w:val="en-US" w:eastAsia="zh-CN"/>
              </w:rPr>
              <w:t>VOCs</w:t>
            </w:r>
            <w:r>
              <w:rPr>
                <w:rFonts w:hint="default" w:ascii="Times New Roman" w:hAnsi="Times New Roman" w:eastAsia="宋体" w:cs="Times New Roman"/>
                <w:b/>
                <w:bCs/>
                <w:color w:val="0000FF"/>
                <w:sz w:val="24"/>
                <w:szCs w:val="24"/>
                <w:highlight w:val="none"/>
                <w:lang w:val="en-US" w:eastAsia="zh-CN"/>
              </w:rPr>
              <w:t>平衡表</w:t>
            </w:r>
          </w:p>
          <w:tbl>
            <w:tblPr>
              <w:tblStyle w:val="35"/>
              <w:tblW w:w="850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44"/>
              <w:gridCol w:w="945"/>
              <w:gridCol w:w="892"/>
              <w:gridCol w:w="998"/>
              <w:gridCol w:w="945"/>
              <w:gridCol w:w="945"/>
              <w:gridCol w:w="945"/>
              <w:gridCol w:w="945"/>
              <w:gridCol w:w="945"/>
            </w:tblGrid>
            <w:tr w14:paraId="16275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889" w:type="dxa"/>
                  <w:gridSpan w:val="2"/>
                  <w:tcBorders>
                    <w:top w:val="single" w:color="000000" w:sz="4" w:space="0"/>
                    <w:left w:val="single" w:color="000000" w:sz="4" w:space="0"/>
                    <w:bottom w:val="single" w:color="000000" w:sz="4" w:space="0"/>
                    <w:right w:val="single" w:color="000000" w:sz="4" w:space="0"/>
                  </w:tcBorders>
                  <w:noWrap w:val="0"/>
                  <w:vAlign w:val="center"/>
                </w:tcPr>
                <w:p w14:paraId="05F63BB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eastAsia" w:ascii="宋体" w:hAnsi="宋体" w:eastAsia="宋体" w:cs="宋体"/>
                      <w:i w:val="0"/>
                      <w:iCs w:val="0"/>
                      <w:color w:val="0000FF"/>
                      <w:kern w:val="0"/>
                      <w:sz w:val="21"/>
                      <w:szCs w:val="21"/>
                      <w:u w:val="none"/>
                      <w:lang w:val="en-US" w:eastAsia="zh-CN" w:bidi="ar"/>
                    </w:rPr>
                    <w:t>原辅料名称</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3E402A9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eastAsia" w:ascii="宋体" w:hAnsi="宋体" w:eastAsia="宋体" w:cs="宋体"/>
                      <w:i w:val="0"/>
                      <w:iCs w:val="0"/>
                      <w:color w:val="0000FF"/>
                      <w:kern w:val="0"/>
                      <w:sz w:val="21"/>
                      <w:szCs w:val="21"/>
                      <w:u w:val="none"/>
                      <w:lang w:val="en-US" w:eastAsia="zh-CN" w:bidi="ar"/>
                    </w:rPr>
                    <w:t>年用量（</w:t>
                  </w:r>
                  <w:r>
                    <w:rPr>
                      <w:rFonts w:hint="default" w:ascii="Times New Roman" w:hAnsi="Times New Roman" w:eastAsia="宋体" w:cs="Times New Roman"/>
                      <w:i w:val="0"/>
                      <w:iCs w:val="0"/>
                      <w:color w:val="0000FF"/>
                      <w:kern w:val="0"/>
                      <w:sz w:val="21"/>
                      <w:szCs w:val="21"/>
                      <w:u w:val="none"/>
                      <w:lang w:val="en-US" w:eastAsia="zh-CN" w:bidi="ar"/>
                    </w:rPr>
                    <w:t>t/a</w:t>
                  </w:r>
                  <w:r>
                    <w:rPr>
                      <w:rFonts w:hint="eastAsia" w:ascii="宋体" w:hAnsi="宋体" w:eastAsia="宋体" w:cs="宋体"/>
                      <w:i w:val="0"/>
                      <w:iCs w:val="0"/>
                      <w:color w:val="0000FF"/>
                      <w:kern w:val="0"/>
                      <w:sz w:val="21"/>
                      <w:szCs w:val="21"/>
                      <w:u w:val="none"/>
                      <w:lang w:val="en-US" w:eastAsia="zh-CN" w:bidi="ar"/>
                    </w:rPr>
                    <w:t>）</w:t>
                  </w:r>
                </w:p>
              </w:tc>
              <w:tc>
                <w:tcPr>
                  <w:tcW w:w="998" w:type="dxa"/>
                  <w:tcBorders>
                    <w:top w:val="single" w:color="000000" w:sz="4" w:space="0"/>
                    <w:left w:val="single" w:color="000000" w:sz="4" w:space="0"/>
                    <w:bottom w:val="single" w:color="000000" w:sz="4" w:space="0"/>
                    <w:right w:val="single" w:color="000000" w:sz="4" w:space="0"/>
                  </w:tcBorders>
                  <w:noWrap w:val="0"/>
                  <w:vAlign w:val="center"/>
                </w:tcPr>
                <w:p w14:paraId="5087DF1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eastAsia" w:ascii="宋体" w:hAnsi="宋体" w:eastAsia="宋体" w:cs="宋体"/>
                      <w:i w:val="0"/>
                      <w:iCs w:val="0"/>
                      <w:color w:val="0000FF"/>
                      <w:kern w:val="0"/>
                      <w:sz w:val="21"/>
                      <w:szCs w:val="21"/>
                      <w:u w:val="none"/>
                      <w:lang w:val="en-US" w:eastAsia="zh-CN" w:bidi="ar"/>
                    </w:rPr>
                    <w:t>挥发份比例</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3EF3246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VOCs</w:t>
                  </w:r>
                  <w:r>
                    <w:rPr>
                      <w:rFonts w:hint="eastAsia" w:ascii="宋体" w:hAnsi="宋体" w:eastAsia="宋体" w:cs="宋体"/>
                      <w:i w:val="0"/>
                      <w:iCs w:val="0"/>
                      <w:color w:val="0000FF"/>
                      <w:kern w:val="0"/>
                      <w:sz w:val="21"/>
                      <w:szCs w:val="21"/>
                      <w:u w:val="none"/>
                      <w:lang w:val="en-US" w:eastAsia="zh-CN" w:bidi="ar"/>
                    </w:rPr>
                    <w:t>最大产生量（</w:t>
                  </w:r>
                  <w:r>
                    <w:rPr>
                      <w:rFonts w:hint="default" w:ascii="Times New Roman" w:hAnsi="Times New Roman" w:eastAsia="宋体" w:cs="Times New Roman"/>
                      <w:i w:val="0"/>
                      <w:iCs w:val="0"/>
                      <w:color w:val="0000FF"/>
                      <w:kern w:val="0"/>
                      <w:sz w:val="21"/>
                      <w:szCs w:val="21"/>
                      <w:u w:val="none"/>
                      <w:lang w:val="en-US" w:eastAsia="zh-CN" w:bidi="ar"/>
                    </w:rPr>
                    <w:t>t/a</w:t>
                  </w:r>
                  <w:r>
                    <w:rPr>
                      <w:rFonts w:hint="eastAsia" w:ascii="宋体" w:hAnsi="宋体" w:eastAsia="宋体" w:cs="宋体"/>
                      <w:i w:val="0"/>
                      <w:iCs w:val="0"/>
                      <w:color w:val="0000FF"/>
                      <w:kern w:val="0"/>
                      <w:sz w:val="21"/>
                      <w:szCs w:val="21"/>
                      <w:u w:val="none"/>
                      <w:lang w:val="en-US" w:eastAsia="zh-CN" w:bidi="ar"/>
                    </w:rPr>
                    <w:t>）</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2F5B942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eastAsia" w:ascii="宋体" w:hAnsi="宋体" w:eastAsia="宋体" w:cs="宋体"/>
                      <w:i w:val="0"/>
                      <w:iCs w:val="0"/>
                      <w:color w:val="0000FF"/>
                      <w:kern w:val="0"/>
                      <w:sz w:val="21"/>
                      <w:szCs w:val="21"/>
                      <w:u w:val="none"/>
                      <w:lang w:val="en-US" w:eastAsia="zh-CN" w:bidi="ar"/>
                    </w:rPr>
                    <w:t>收集量（</w:t>
                  </w:r>
                  <w:r>
                    <w:rPr>
                      <w:rFonts w:hint="default" w:ascii="Times New Roman" w:hAnsi="Times New Roman" w:eastAsia="宋体" w:cs="Times New Roman"/>
                      <w:i w:val="0"/>
                      <w:iCs w:val="0"/>
                      <w:color w:val="0000FF"/>
                      <w:kern w:val="0"/>
                      <w:sz w:val="21"/>
                      <w:szCs w:val="21"/>
                      <w:u w:val="none"/>
                      <w:lang w:val="en-US" w:eastAsia="zh-CN" w:bidi="ar"/>
                    </w:rPr>
                    <w:t>t/a</w:t>
                  </w:r>
                  <w:r>
                    <w:rPr>
                      <w:rFonts w:hint="eastAsia" w:ascii="宋体" w:hAnsi="宋体" w:eastAsia="宋体" w:cs="宋体"/>
                      <w:i w:val="0"/>
                      <w:iCs w:val="0"/>
                      <w:color w:val="0000FF"/>
                      <w:kern w:val="0"/>
                      <w:sz w:val="21"/>
                      <w:szCs w:val="21"/>
                      <w:u w:val="none"/>
                      <w:lang w:val="en-US" w:eastAsia="zh-CN" w:bidi="ar"/>
                    </w:rPr>
                    <w:t>）</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0D8002F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eastAsia" w:ascii="宋体" w:hAnsi="宋体" w:eastAsia="宋体" w:cs="宋体"/>
                      <w:i w:val="0"/>
                      <w:iCs w:val="0"/>
                      <w:color w:val="0000FF"/>
                      <w:kern w:val="0"/>
                      <w:sz w:val="21"/>
                      <w:szCs w:val="21"/>
                      <w:u w:val="none"/>
                      <w:lang w:val="en-US" w:eastAsia="zh-CN" w:bidi="ar"/>
                    </w:rPr>
                    <w:t>去除量（</w:t>
                  </w:r>
                  <w:r>
                    <w:rPr>
                      <w:rFonts w:hint="default" w:ascii="Times New Roman" w:hAnsi="Times New Roman" w:eastAsia="宋体" w:cs="Times New Roman"/>
                      <w:i w:val="0"/>
                      <w:iCs w:val="0"/>
                      <w:color w:val="0000FF"/>
                      <w:kern w:val="0"/>
                      <w:sz w:val="21"/>
                      <w:szCs w:val="21"/>
                      <w:u w:val="none"/>
                      <w:lang w:val="en-US" w:eastAsia="zh-CN" w:bidi="ar"/>
                    </w:rPr>
                    <w:t>t/a</w:t>
                  </w:r>
                  <w:r>
                    <w:rPr>
                      <w:rFonts w:hint="eastAsia" w:ascii="宋体" w:hAnsi="宋体" w:eastAsia="宋体" w:cs="宋体"/>
                      <w:i w:val="0"/>
                      <w:iCs w:val="0"/>
                      <w:color w:val="0000FF"/>
                      <w:kern w:val="0"/>
                      <w:sz w:val="21"/>
                      <w:szCs w:val="21"/>
                      <w:u w:val="none"/>
                      <w:lang w:val="en-US" w:eastAsia="zh-CN" w:bidi="ar"/>
                    </w:rPr>
                    <w:t>）</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085CB2F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eastAsia" w:ascii="宋体" w:hAnsi="宋体" w:eastAsia="宋体" w:cs="宋体"/>
                      <w:i w:val="0"/>
                      <w:iCs w:val="0"/>
                      <w:color w:val="0000FF"/>
                      <w:kern w:val="0"/>
                      <w:sz w:val="21"/>
                      <w:szCs w:val="21"/>
                      <w:u w:val="none"/>
                      <w:lang w:val="en-US" w:eastAsia="zh-CN" w:bidi="ar"/>
                    </w:rPr>
                    <w:t>有组织排放量（</w:t>
                  </w:r>
                  <w:r>
                    <w:rPr>
                      <w:rFonts w:hint="default" w:ascii="Times New Roman" w:hAnsi="Times New Roman" w:eastAsia="宋体" w:cs="Times New Roman"/>
                      <w:i w:val="0"/>
                      <w:iCs w:val="0"/>
                      <w:color w:val="0000FF"/>
                      <w:kern w:val="0"/>
                      <w:sz w:val="21"/>
                      <w:szCs w:val="21"/>
                      <w:u w:val="none"/>
                      <w:lang w:val="en-US" w:eastAsia="zh-CN" w:bidi="ar"/>
                    </w:rPr>
                    <w:t>t/a</w:t>
                  </w:r>
                  <w:r>
                    <w:rPr>
                      <w:rFonts w:hint="eastAsia" w:ascii="宋体" w:hAnsi="宋体" w:eastAsia="宋体" w:cs="宋体"/>
                      <w:i w:val="0"/>
                      <w:iCs w:val="0"/>
                      <w:color w:val="0000FF"/>
                      <w:kern w:val="0"/>
                      <w:sz w:val="21"/>
                      <w:szCs w:val="21"/>
                      <w:u w:val="none"/>
                      <w:lang w:val="en-US" w:eastAsia="zh-CN" w:bidi="ar"/>
                    </w:rPr>
                    <w:t>）</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5C8703C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eastAsia" w:ascii="宋体" w:hAnsi="宋体" w:eastAsia="宋体" w:cs="宋体"/>
                      <w:i w:val="0"/>
                      <w:iCs w:val="0"/>
                      <w:color w:val="0000FF"/>
                      <w:kern w:val="0"/>
                      <w:sz w:val="21"/>
                      <w:szCs w:val="21"/>
                      <w:u w:val="none"/>
                      <w:lang w:val="en-US" w:eastAsia="zh-CN" w:bidi="ar"/>
                    </w:rPr>
                    <w:t>无组织排放量（</w:t>
                  </w:r>
                  <w:r>
                    <w:rPr>
                      <w:rFonts w:hint="default" w:ascii="Times New Roman" w:hAnsi="Times New Roman" w:eastAsia="宋体" w:cs="Times New Roman"/>
                      <w:i w:val="0"/>
                      <w:iCs w:val="0"/>
                      <w:color w:val="0000FF"/>
                      <w:kern w:val="0"/>
                      <w:sz w:val="21"/>
                      <w:szCs w:val="21"/>
                      <w:u w:val="none"/>
                      <w:lang w:val="en-US" w:eastAsia="zh-CN" w:bidi="ar"/>
                    </w:rPr>
                    <w:t>t/a</w:t>
                  </w:r>
                  <w:r>
                    <w:rPr>
                      <w:rFonts w:hint="eastAsia" w:ascii="宋体" w:hAnsi="宋体" w:eastAsia="宋体" w:cs="宋体"/>
                      <w:i w:val="0"/>
                      <w:iCs w:val="0"/>
                      <w:color w:val="0000FF"/>
                      <w:kern w:val="0"/>
                      <w:sz w:val="21"/>
                      <w:szCs w:val="21"/>
                      <w:u w:val="none"/>
                      <w:lang w:val="en-US" w:eastAsia="zh-CN" w:bidi="ar"/>
                    </w:rPr>
                    <w:t>）</w:t>
                  </w:r>
                </w:p>
              </w:tc>
            </w:tr>
            <w:tr w14:paraId="0E537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889" w:type="dxa"/>
                  <w:gridSpan w:val="2"/>
                  <w:tcBorders>
                    <w:top w:val="single" w:color="000000" w:sz="4" w:space="0"/>
                    <w:left w:val="single" w:color="000000" w:sz="4" w:space="0"/>
                    <w:bottom w:val="single" w:color="000000" w:sz="4" w:space="0"/>
                    <w:right w:val="single" w:color="000000" w:sz="4" w:space="0"/>
                  </w:tcBorders>
                  <w:noWrap w:val="0"/>
                  <w:vAlign w:val="center"/>
                </w:tcPr>
                <w:p w14:paraId="4ED1467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eastAsia" w:ascii="宋体" w:hAnsi="宋体" w:eastAsia="宋体" w:cs="宋体"/>
                      <w:i w:val="0"/>
                      <w:iCs w:val="0"/>
                      <w:color w:val="0000FF"/>
                      <w:kern w:val="0"/>
                      <w:sz w:val="21"/>
                      <w:szCs w:val="21"/>
                      <w:u w:val="none"/>
                      <w:lang w:val="en-US" w:eastAsia="zh-CN" w:bidi="ar"/>
                    </w:rPr>
                    <w:t>洗网水</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1B2FEA2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0.01</w:t>
                  </w:r>
                </w:p>
              </w:tc>
              <w:tc>
                <w:tcPr>
                  <w:tcW w:w="998" w:type="dxa"/>
                  <w:tcBorders>
                    <w:top w:val="single" w:color="000000" w:sz="4" w:space="0"/>
                    <w:left w:val="single" w:color="000000" w:sz="4" w:space="0"/>
                    <w:bottom w:val="single" w:color="000000" w:sz="4" w:space="0"/>
                    <w:right w:val="single" w:color="000000" w:sz="4" w:space="0"/>
                  </w:tcBorders>
                  <w:noWrap w:val="0"/>
                  <w:vAlign w:val="center"/>
                </w:tcPr>
                <w:p w14:paraId="28DA56B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eastAsia" w:cs="Times New Roman"/>
                      <w:i w:val="0"/>
                      <w:iCs w:val="0"/>
                      <w:color w:val="0000FF"/>
                      <w:kern w:val="0"/>
                      <w:sz w:val="21"/>
                      <w:szCs w:val="21"/>
                      <w:u w:val="none"/>
                      <w:lang w:val="en-US" w:eastAsia="zh-CN" w:bidi="ar"/>
                    </w:rPr>
                    <w:t>82</w:t>
                  </w:r>
                  <w:r>
                    <w:rPr>
                      <w:rFonts w:hint="default" w:ascii="Times New Roman" w:hAnsi="Times New Roman" w:eastAsia="宋体" w:cs="Times New Roman"/>
                      <w:i w:val="0"/>
                      <w:iCs w:val="0"/>
                      <w:color w:val="0000FF"/>
                      <w:kern w:val="0"/>
                      <w:sz w:val="21"/>
                      <w:szCs w:val="21"/>
                      <w:u w:val="none"/>
                      <w:lang w:val="en-US" w:eastAsia="zh-CN" w:bidi="ar"/>
                    </w:rPr>
                    <w:t>.00%</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0F63037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lang w:val="en-US"/>
                    </w:rPr>
                  </w:pPr>
                  <w:r>
                    <w:rPr>
                      <w:rFonts w:hint="default" w:ascii="Times New Roman" w:hAnsi="Times New Roman" w:eastAsia="宋体" w:cs="Times New Roman"/>
                      <w:i w:val="0"/>
                      <w:iCs w:val="0"/>
                      <w:color w:val="0000FF"/>
                      <w:kern w:val="0"/>
                      <w:sz w:val="21"/>
                      <w:szCs w:val="21"/>
                      <w:u w:val="none"/>
                      <w:lang w:val="en-US" w:eastAsia="zh-CN" w:bidi="ar"/>
                    </w:rPr>
                    <w:t>0.0082</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4E58B1F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lang w:val="en-US"/>
                    </w:rPr>
                  </w:pPr>
                  <w:r>
                    <w:rPr>
                      <w:rFonts w:hint="default" w:ascii="Times New Roman" w:hAnsi="Times New Roman" w:eastAsia="宋体" w:cs="Times New Roman"/>
                      <w:i w:val="0"/>
                      <w:iCs w:val="0"/>
                      <w:color w:val="0000FF"/>
                      <w:kern w:val="0"/>
                      <w:sz w:val="21"/>
                      <w:szCs w:val="21"/>
                      <w:u w:val="none"/>
                      <w:lang w:val="en-US" w:eastAsia="zh-CN" w:bidi="ar"/>
                    </w:rPr>
                    <w:t>0.0066</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3BA43C8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lang w:val="en-US"/>
                    </w:rPr>
                  </w:pPr>
                  <w:r>
                    <w:rPr>
                      <w:rFonts w:hint="default" w:ascii="Times New Roman" w:hAnsi="Times New Roman" w:eastAsia="宋体" w:cs="Times New Roman"/>
                      <w:i w:val="0"/>
                      <w:iCs w:val="0"/>
                      <w:color w:val="0000FF"/>
                      <w:kern w:val="0"/>
                      <w:sz w:val="21"/>
                      <w:szCs w:val="21"/>
                      <w:u w:val="none"/>
                      <w:lang w:val="en-US" w:eastAsia="zh-CN" w:bidi="ar"/>
                    </w:rPr>
                    <w:t>0.005</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2DF8BCD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lang w:val="en-US"/>
                    </w:rPr>
                  </w:pPr>
                  <w:r>
                    <w:rPr>
                      <w:rFonts w:hint="default" w:ascii="Times New Roman" w:hAnsi="Times New Roman" w:eastAsia="宋体" w:cs="Times New Roman"/>
                      <w:i w:val="0"/>
                      <w:iCs w:val="0"/>
                      <w:color w:val="0000FF"/>
                      <w:kern w:val="0"/>
                      <w:sz w:val="21"/>
                      <w:szCs w:val="21"/>
                      <w:u w:val="none"/>
                      <w:lang w:val="en-US" w:eastAsia="zh-CN" w:bidi="ar"/>
                    </w:rPr>
                    <w:t>0.0016</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6AAAB39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lang w:val="en-US"/>
                    </w:rPr>
                  </w:pPr>
                  <w:r>
                    <w:rPr>
                      <w:rFonts w:hint="default" w:ascii="Times New Roman" w:hAnsi="Times New Roman" w:eastAsia="宋体" w:cs="Times New Roman"/>
                      <w:i w:val="0"/>
                      <w:iCs w:val="0"/>
                      <w:color w:val="0000FF"/>
                      <w:kern w:val="0"/>
                      <w:sz w:val="21"/>
                      <w:szCs w:val="21"/>
                      <w:u w:val="none"/>
                      <w:lang w:val="en-US" w:eastAsia="zh-CN" w:bidi="ar"/>
                    </w:rPr>
                    <w:t>0.0016</w:t>
                  </w:r>
                </w:p>
              </w:tc>
            </w:tr>
            <w:tr w14:paraId="11BF7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889" w:type="dxa"/>
                  <w:gridSpan w:val="2"/>
                  <w:tcBorders>
                    <w:top w:val="single" w:color="000000" w:sz="4" w:space="0"/>
                    <w:left w:val="single" w:color="000000" w:sz="4" w:space="0"/>
                    <w:bottom w:val="single" w:color="000000" w:sz="4" w:space="0"/>
                    <w:right w:val="single" w:color="000000" w:sz="4" w:space="0"/>
                  </w:tcBorders>
                  <w:noWrap w:val="0"/>
                  <w:vAlign w:val="center"/>
                </w:tcPr>
                <w:p w14:paraId="5BE1710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eastAsia" w:ascii="宋体" w:hAnsi="宋体" w:eastAsia="宋体" w:cs="宋体"/>
                      <w:i w:val="0"/>
                      <w:iCs w:val="0"/>
                      <w:color w:val="0000FF"/>
                      <w:kern w:val="0"/>
                      <w:sz w:val="21"/>
                      <w:szCs w:val="21"/>
                      <w:u w:val="none"/>
                      <w:lang w:val="en-US" w:eastAsia="zh-CN" w:bidi="ar"/>
                    </w:rPr>
                    <w:t>防白水</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5B43B85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0.01</w:t>
                  </w:r>
                </w:p>
              </w:tc>
              <w:tc>
                <w:tcPr>
                  <w:tcW w:w="998" w:type="dxa"/>
                  <w:tcBorders>
                    <w:top w:val="single" w:color="000000" w:sz="4" w:space="0"/>
                    <w:left w:val="single" w:color="000000" w:sz="4" w:space="0"/>
                    <w:bottom w:val="single" w:color="000000" w:sz="4" w:space="0"/>
                    <w:right w:val="single" w:color="000000" w:sz="4" w:space="0"/>
                  </w:tcBorders>
                  <w:noWrap w:val="0"/>
                  <w:vAlign w:val="center"/>
                </w:tcPr>
                <w:p w14:paraId="61AD25C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100.00%</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0A7D800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0.01</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7202F71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0.008</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792498A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0.006</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7C66771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0.002</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5E3C797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0.002</w:t>
                  </w:r>
                </w:p>
              </w:tc>
            </w:tr>
            <w:tr w14:paraId="07B6CB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44" w:type="dxa"/>
                  <w:vMerge w:val="restart"/>
                  <w:tcBorders>
                    <w:top w:val="single" w:color="000000" w:sz="4" w:space="0"/>
                    <w:left w:val="single" w:color="000000" w:sz="4" w:space="0"/>
                    <w:bottom w:val="single" w:color="000000" w:sz="4" w:space="0"/>
                    <w:right w:val="single" w:color="000000" w:sz="4" w:space="0"/>
                  </w:tcBorders>
                  <w:noWrap w:val="0"/>
                  <w:vAlign w:val="center"/>
                </w:tcPr>
                <w:p w14:paraId="57AE5F2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eastAsia" w:ascii="宋体" w:hAnsi="宋体" w:eastAsia="宋体" w:cs="宋体"/>
                      <w:i w:val="0"/>
                      <w:iCs w:val="0"/>
                      <w:color w:val="0000FF"/>
                      <w:kern w:val="0"/>
                      <w:sz w:val="21"/>
                      <w:szCs w:val="21"/>
                      <w:u w:val="none"/>
                      <w:lang w:val="en-US" w:eastAsia="zh-CN" w:bidi="ar"/>
                    </w:rPr>
                    <w:t>油墨</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013F1AD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eastAsia" w:ascii="宋体" w:hAnsi="宋体" w:eastAsia="宋体" w:cs="宋体"/>
                      <w:i w:val="0"/>
                      <w:iCs w:val="0"/>
                      <w:color w:val="0000FF"/>
                      <w:kern w:val="0"/>
                      <w:sz w:val="21"/>
                      <w:szCs w:val="21"/>
                      <w:u w:val="none"/>
                      <w:lang w:val="en-US" w:eastAsia="zh-CN" w:bidi="ar"/>
                    </w:rPr>
                    <w:t>油墨</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5F6AF7F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0.2919</w:t>
                  </w:r>
                </w:p>
              </w:tc>
              <w:tc>
                <w:tcPr>
                  <w:tcW w:w="998" w:type="dxa"/>
                  <w:tcBorders>
                    <w:top w:val="single" w:color="000000" w:sz="4" w:space="0"/>
                    <w:left w:val="single" w:color="000000" w:sz="4" w:space="0"/>
                    <w:bottom w:val="single" w:color="000000" w:sz="4" w:space="0"/>
                    <w:right w:val="single" w:color="000000" w:sz="4" w:space="0"/>
                  </w:tcBorders>
                  <w:noWrap w:val="0"/>
                  <w:vAlign w:val="center"/>
                </w:tcPr>
                <w:p w14:paraId="6A8FEAF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45.00%</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6B5A0F6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0.1314</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176FEA5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0.1051</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3B7F93F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0.0788</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1E393CF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0.0263</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368DD62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0.0263</w:t>
                  </w:r>
                </w:p>
              </w:tc>
            </w:tr>
            <w:tr w14:paraId="64341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85AF72">
                  <w:pPr>
                    <w:jc w:val="center"/>
                    <w:rPr>
                      <w:rFonts w:hint="default" w:ascii="Times New Roman" w:hAnsi="Times New Roman" w:eastAsia="宋体" w:cs="Times New Roman"/>
                      <w:i w:val="0"/>
                      <w:iCs w:val="0"/>
                      <w:color w:val="0000FF"/>
                      <w:sz w:val="21"/>
                      <w:szCs w:val="21"/>
                      <w:highlight w:val="none"/>
                      <w:u w:val="none"/>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0D3364E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eastAsia" w:ascii="宋体" w:hAnsi="宋体" w:eastAsia="宋体" w:cs="宋体"/>
                      <w:i w:val="0"/>
                      <w:iCs w:val="0"/>
                      <w:color w:val="0000FF"/>
                      <w:kern w:val="0"/>
                      <w:sz w:val="21"/>
                      <w:szCs w:val="21"/>
                      <w:u w:val="none"/>
                      <w:lang w:val="en-US" w:eastAsia="zh-CN" w:bidi="ar"/>
                    </w:rPr>
                    <w:t>稀释剂</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4FBB4DA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0.0292</w:t>
                  </w:r>
                </w:p>
              </w:tc>
              <w:tc>
                <w:tcPr>
                  <w:tcW w:w="998" w:type="dxa"/>
                  <w:tcBorders>
                    <w:top w:val="single" w:color="000000" w:sz="4" w:space="0"/>
                    <w:left w:val="single" w:color="000000" w:sz="4" w:space="0"/>
                    <w:bottom w:val="single" w:color="000000" w:sz="4" w:space="0"/>
                    <w:right w:val="single" w:color="000000" w:sz="4" w:space="0"/>
                  </w:tcBorders>
                  <w:noWrap w:val="0"/>
                  <w:vAlign w:val="center"/>
                </w:tcPr>
                <w:p w14:paraId="6CAF91D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45.00%</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6FE53F8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0.0131</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0346E05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0.0105</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30E3DC6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0.0079</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7815893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0.0026</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16FDFF6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0.0026</w:t>
                  </w:r>
                </w:p>
              </w:tc>
            </w:tr>
            <w:tr w14:paraId="1DD62A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5D0290">
                  <w:pPr>
                    <w:jc w:val="center"/>
                    <w:rPr>
                      <w:rFonts w:hint="default" w:ascii="Times New Roman" w:hAnsi="Times New Roman" w:eastAsia="宋体" w:cs="Times New Roman"/>
                      <w:i w:val="0"/>
                      <w:iCs w:val="0"/>
                      <w:color w:val="0000FF"/>
                      <w:sz w:val="21"/>
                      <w:szCs w:val="21"/>
                      <w:highlight w:val="none"/>
                      <w:u w:val="none"/>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0AC97EB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eastAsia" w:ascii="宋体" w:hAnsi="宋体" w:eastAsia="宋体" w:cs="宋体"/>
                      <w:i w:val="0"/>
                      <w:iCs w:val="0"/>
                      <w:color w:val="0000FF"/>
                      <w:kern w:val="0"/>
                      <w:sz w:val="21"/>
                      <w:szCs w:val="21"/>
                      <w:u w:val="none"/>
                      <w:lang w:val="en-US" w:eastAsia="zh-CN" w:bidi="ar"/>
                    </w:rPr>
                    <w:t>固化剂</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2656C30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0.0438</w:t>
                  </w:r>
                </w:p>
              </w:tc>
              <w:tc>
                <w:tcPr>
                  <w:tcW w:w="998" w:type="dxa"/>
                  <w:tcBorders>
                    <w:top w:val="single" w:color="000000" w:sz="4" w:space="0"/>
                    <w:left w:val="single" w:color="000000" w:sz="4" w:space="0"/>
                    <w:bottom w:val="single" w:color="000000" w:sz="4" w:space="0"/>
                    <w:right w:val="single" w:color="000000" w:sz="4" w:space="0"/>
                  </w:tcBorders>
                  <w:noWrap w:val="0"/>
                  <w:vAlign w:val="center"/>
                </w:tcPr>
                <w:p w14:paraId="38B1D42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100.00%</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45855B2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0.0438</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287FA90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0.035</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02617EE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0.0262</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0439344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0.0088</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3824B12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0.0088</w:t>
                  </w:r>
                </w:p>
              </w:tc>
            </w:tr>
            <w:tr w14:paraId="379E2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44"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C97033">
                  <w:pPr>
                    <w:jc w:val="center"/>
                    <w:rPr>
                      <w:rFonts w:hint="default" w:ascii="Times New Roman" w:hAnsi="Times New Roman" w:eastAsia="宋体" w:cs="Times New Roman"/>
                      <w:i w:val="0"/>
                      <w:iCs w:val="0"/>
                      <w:color w:val="0000FF"/>
                      <w:sz w:val="21"/>
                      <w:szCs w:val="21"/>
                      <w:highlight w:val="none"/>
                      <w:u w:val="none"/>
                    </w:rPr>
                  </w:pP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0EB7B60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eastAsia" w:ascii="宋体" w:hAnsi="宋体" w:eastAsia="宋体" w:cs="宋体"/>
                      <w:i w:val="0"/>
                      <w:iCs w:val="0"/>
                      <w:color w:val="0000FF"/>
                      <w:kern w:val="0"/>
                      <w:sz w:val="21"/>
                      <w:szCs w:val="21"/>
                      <w:u w:val="none"/>
                      <w:lang w:val="en-US" w:eastAsia="zh-CN" w:bidi="ar"/>
                    </w:rPr>
                    <w:t>小计</w:t>
                  </w:r>
                </w:p>
              </w:tc>
              <w:tc>
                <w:tcPr>
                  <w:tcW w:w="892" w:type="dxa"/>
                  <w:tcBorders>
                    <w:top w:val="single" w:color="000000" w:sz="4" w:space="0"/>
                    <w:left w:val="single" w:color="000000" w:sz="4" w:space="0"/>
                    <w:bottom w:val="single" w:color="000000" w:sz="4" w:space="0"/>
                    <w:right w:val="single" w:color="000000" w:sz="4" w:space="0"/>
                  </w:tcBorders>
                  <w:noWrap w:val="0"/>
                  <w:vAlign w:val="center"/>
                </w:tcPr>
                <w:p w14:paraId="0A9710B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0.3649</w:t>
                  </w:r>
                </w:p>
              </w:tc>
              <w:tc>
                <w:tcPr>
                  <w:tcW w:w="998" w:type="dxa"/>
                  <w:tcBorders>
                    <w:top w:val="single" w:color="000000" w:sz="4" w:space="0"/>
                    <w:left w:val="single" w:color="000000" w:sz="4" w:space="0"/>
                    <w:bottom w:val="single" w:color="000000" w:sz="4" w:space="0"/>
                    <w:right w:val="single" w:color="000000" w:sz="4" w:space="0"/>
                  </w:tcBorders>
                  <w:noWrap w:val="0"/>
                  <w:vAlign w:val="center"/>
                </w:tcPr>
                <w:p w14:paraId="70354A4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52.00%</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7F4C875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0.1883</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307E857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0.1506</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3AE0A86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0.1129</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460CC93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0.0377</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0212CCF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0.0377</w:t>
                  </w:r>
                </w:p>
              </w:tc>
            </w:tr>
            <w:tr w14:paraId="348DDD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89" w:type="dxa"/>
                  <w:gridSpan w:val="2"/>
                  <w:tcBorders>
                    <w:top w:val="single" w:color="000000" w:sz="4" w:space="0"/>
                    <w:left w:val="single" w:color="000000" w:sz="4" w:space="0"/>
                    <w:bottom w:val="single" w:color="000000" w:sz="4" w:space="0"/>
                    <w:right w:val="single" w:color="000000" w:sz="4" w:space="0"/>
                  </w:tcBorders>
                  <w:noWrap w:val="0"/>
                  <w:vAlign w:val="top"/>
                </w:tcPr>
                <w:p w14:paraId="4D2ECB11">
                  <w:pPr>
                    <w:keepNext w:val="0"/>
                    <w:keepLines w:val="0"/>
                    <w:widowControl/>
                    <w:suppressLineNumbers w:val="0"/>
                    <w:jc w:val="center"/>
                    <w:textAlignment w:val="top"/>
                    <w:rPr>
                      <w:rFonts w:hint="default" w:ascii="Times New Roman" w:hAnsi="Times New Roman" w:eastAsia="宋体" w:cs="Times New Roman"/>
                      <w:i w:val="0"/>
                      <w:iCs w:val="0"/>
                      <w:color w:val="0000FF"/>
                      <w:sz w:val="21"/>
                      <w:szCs w:val="21"/>
                      <w:highlight w:val="none"/>
                      <w:u w:val="none"/>
                    </w:rPr>
                  </w:pPr>
                  <w:r>
                    <w:rPr>
                      <w:rFonts w:hint="eastAsia" w:ascii="宋体" w:hAnsi="宋体" w:eastAsia="宋体" w:cs="宋体"/>
                      <w:i w:val="0"/>
                      <w:iCs w:val="0"/>
                      <w:color w:val="0000FF"/>
                      <w:kern w:val="0"/>
                      <w:sz w:val="21"/>
                      <w:szCs w:val="21"/>
                      <w:u w:val="none"/>
                      <w:lang w:val="en-US" w:eastAsia="zh-CN" w:bidi="ar"/>
                    </w:rPr>
                    <w:t>合计</w:t>
                  </w:r>
                </w:p>
              </w:tc>
              <w:tc>
                <w:tcPr>
                  <w:tcW w:w="892" w:type="dxa"/>
                  <w:tcBorders>
                    <w:top w:val="single" w:color="000000" w:sz="4" w:space="0"/>
                    <w:left w:val="single" w:color="000000" w:sz="4" w:space="0"/>
                    <w:bottom w:val="single" w:color="000000" w:sz="4" w:space="0"/>
                    <w:right w:val="single" w:color="000000" w:sz="4" w:space="0"/>
                  </w:tcBorders>
                  <w:noWrap w:val="0"/>
                  <w:vAlign w:val="top"/>
                </w:tcPr>
                <w:p w14:paraId="72826E33">
                  <w:pPr>
                    <w:keepNext w:val="0"/>
                    <w:keepLines w:val="0"/>
                    <w:widowControl/>
                    <w:suppressLineNumbers w:val="0"/>
                    <w:jc w:val="center"/>
                    <w:textAlignment w:val="top"/>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998" w:type="dxa"/>
                  <w:tcBorders>
                    <w:top w:val="single" w:color="000000" w:sz="4" w:space="0"/>
                    <w:left w:val="single" w:color="000000" w:sz="4" w:space="0"/>
                    <w:bottom w:val="single" w:color="000000" w:sz="4" w:space="0"/>
                    <w:right w:val="single" w:color="000000" w:sz="4" w:space="0"/>
                  </w:tcBorders>
                  <w:noWrap w:val="0"/>
                  <w:vAlign w:val="top"/>
                </w:tcPr>
                <w:p w14:paraId="065B8810">
                  <w:pPr>
                    <w:keepNext w:val="0"/>
                    <w:keepLines w:val="0"/>
                    <w:widowControl/>
                    <w:suppressLineNumbers w:val="0"/>
                    <w:jc w:val="center"/>
                    <w:textAlignment w:val="top"/>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945" w:type="dxa"/>
                  <w:tcBorders>
                    <w:top w:val="single" w:color="000000" w:sz="4" w:space="0"/>
                    <w:left w:val="single" w:color="000000" w:sz="4" w:space="0"/>
                    <w:bottom w:val="single" w:color="000000" w:sz="4" w:space="0"/>
                    <w:right w:val="single" w:color="000000" w:sz="4" w:space="0"/>
                  </w:tcBorders>
                  <w:noWrap w:val="0"/>
                  <w:vAlign w:val="top"/>
                </w:tcPr>
                <w:p w14:paraId="33CD166C">
                  <w:pPr>
                    <w:keepNext w:val="0"/>
                    <w:keepLines w:val="0"/>
                    <w:widowControl/>
                    <w:suppressLineNumbers w:val="0"/>
                    <w:jc w:val="center"/>
                    <w:textAlignment w:val="top"/>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0.2065</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4F9C11B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0.1652</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2F5B30B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0.1239</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4EDD1A4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0.0413</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14:paraId="06577B3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1"/>
                      <w:szCs w:val="21"/>
                      <w:u w:val="none"/>
                      <w:lang w:val="en-US" w:eastAsia="zh-CN" w:bidi="ar"/>
                    </w:rPr>
                    <w:t>0.0413</w:t>
                  </w:r>
                </w:p>
              </w:tc>
            </w:tr>
          </w:tbl>
          <w:p w14:paraId="0A8C1970">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cs="Times New Roman"/>
                <w:color w:val="0000FF"/>
                <w:szCs w:val="24"/>
                <w:highlight w:val="none"/>
                <w:lang w:val="en-US" w:eastAsia="zh-CN"/>
              </w:rPr>
            </w:pPr>
            <w:r>
              <w:rPr>
                <w:rFonts w:hint="eastAsia" w:cs="Times New Roman"/>
                <w:b/>
                <w:color w:val="0000FF"/>
                <w:sz w:val="24"/>
                <w:highlight w:val="none"/>
                <w:lang w:val="en-US" w:eastAsia="zh-CN"/>
              </w:rPr>
              <w:t>2.3.2.2注塑VOCs</w:t>
            </w:r>
            <w:r>
              <w:rPr>
                <w:rFonts w:hint="default" w:ascii="Times New Roman" w:hAnsi="Times New Roman" w:cs="Times New Roman"/>
                <w:b/>
                <w:color w:val="0000FF"/>
                <w:sz w:val="24"/>
                <w:highlight w:val="none"/>
              </w:rPr>
              <w:t>平衡</w:t>
            </w:r>
          </w:p>
          <w:p w14:paraId="212A68BA">
            <w:pPr>
              <w:pStyle w:val="49"/>
              <w:keepNext w:val="0"/>
              <w:keepLines w:val="0"/>
              <w:pageBreakBefore w:val="0"/>
              <w:widowControl w:val="0"/>
              <w:kinsoku/>
              <w:wordWrap/>
              <w:overflowPunct/>
              <w:topLinePunct w:val="0"/>
              <w:autoSpaceDE/>
              <w:autoSpaceDN/>
              <w:bidi w:val="0"/>
              <w:ind w:firstLine="480"/>
              <w:textAlignment w:val="auto"/>
              <w:rPr>
                <w:rFonts w:hint="default" w:ascii="Times New Roman" w:hAnsi="Times New Roman" w:cs="Times New Roman"/>
                <w:bCs/>
                <w:color w:val="0000FF"/>
                <w:sz w:val="24"/>
                <w:highlight w:val="none"/>
              </w:rPr>
            </w:pPr>
            <w:r>
              <w:rPr>
                <w:rFonts w:hint="eastAsia" w:cs="Times New Roman"/>
                <w:color w:val="0000FF"/>
                <w:szCs w:val="24"/>
                <w:highlight w:val="none"/>
                <w:lang w:val="en-US" w:eastAsia="zh-CN"/>
              </w:rPr>
              <w:t>本项目注塑产品最大量为手机充电器塑胶外壳706.8t，路由器139.5t。</w:t>
            </w:r>
            <w:r>
              <w:rPr>
                <w:rFonts w:hint="default" w:ascii="Times New Roman" w:hAnsi="Times New Roman" w:cs="Times New Roman"/>
                <w:bCs/>
                <w:color w:val="0000FF"/>
                <w:sz w:val="24"/>
                <w:highlight w:val="none"/>
              </w:rPr>
              <w:t>参考《排放源统计调查产排污核算方法和系数手册》“292 塑料制品行业系数手册-2929 塑料零件及其他塑料制品制造行业系数表”，挥发性有机物产污系数按照2.70kg/t-产品计。本项目注塑</w:t>
            </w:r>
            <w:r>
              <w:rPr>
                <w:rFonts w:hint="default" w:ascii="Times New Roman" w:hAnsi="Times New Roman" w:cs="Times New Roman"/>
                <w:bCs/>
                <w:color w:val="0000FF"/>
                <w:sz w:val="24"/>
                <w:highlight w:val="none"/>
                <w:lang w:val="en-US" w:eastAsia="zh-CN"/>
              </w:rPr>
              <w:t>产品</w:t>
            </w:r>
            <w:r>
              <w:rPr>
                <w:rFonts w:hint="default" w:ascii="Times New Roman" w:hAnsi="Times New Roman" w:cs="Times New Roman"/>
                <w:bCs/>
                <w:color w:val="0000FF"/>
                <w:sz w:val="24"/>
                <w:highlight w:val="none"/>
              </w:rPr>
              <w:t>约</w:t>
            </w:r>
            <w:r>
              <w:rPr>
                <w:rFonts w:hint="eastAsia" w:cs="Times New Roman"/>
                <w:bCs/>
                <w:color w:val="0000FF"/>
                <w:sz w:val="24"/>
                <w:highlight w:val="none"/>
                <w:lang w:val="en-US" w:eastAsia="zh-CN"/>
              </w:rPr>
              <w:t>846.3</w:t>
            </w:r>
            <w:r>
              <w:rPr>
                <w:rFonts w:hint="default" w:ascii="Times New Roman" w:hAnsi="Times New Roman" w:cs="Times New Roman"/>
                <w:bCs/>
                <w:color w:val="0000FF"/>
                <w:sz w:val="24"/>
                <w:highlight w:val="none"/>
              </w:rPr>
              <w:t>t/a，则挥发性有机物（以非甲烷总烃计）产生量约</w:t>
            </w:r>
            <w:r>
              <w:rPr>
                <w:rFonts w:hint="eastAsia" w:cs="Times New Roman"/>
                <w:bCs/>
                <w:color w:val="0000FF"/>
                <w:sz w:val="24"/>
                <w:highlight w:val="none"/>
                <w:lang w:val="en-US" w:eastAsia="zh-CN"/>
              </w:rPr>
              <w:t>2.2851</w:t>
            </w:r>
            <w:r>
              <w:rPr>
                <w:rFonts w:hint="default" w:ascii="Times New Roman" w:hAnsi="Times New Roman" w:cs="Times New Roman"/>
                <w:bCs/>
                <w:color w:val="0000FF"/>
                <w:sz w:val="24"/>
                <w:highlight w:val="none"/>
              </w:rPr>
              <w:t>/a。</w:t>
            </w:r>
          </w:p>
          <w:p w14:paraId="663E911C">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Cs/>
                <w:color w:val="0000FF"/>
                <w:sz w:val="24"/>
                <w:highlight w:val="none"/>
                <w:lang w:val="en-US" w:eastAsia="zh-CN"/>
              </w:rPr>
            </w:pPr>
            <w:r>
              <w:rPr>
                <w:rFonts w:hint="eastAsia" w:cs="Times New Roman"/>
                <w:b/>
                <w:color w:val="0000FF"/>
                <w:sz w:val="24"/>
                <w:highlight w:val="none"/>
                <w:lang w:val="en-US" w:eastAsia="zh-CN"/>
              </w:rPr>
              <w:t>2.3.2.3全厂VOCs</w:t>
            </w:r>
            <w:r>
              <w:rPr>
                <w:rFonts w:hint="default" w:ascii="Times New Roman" w:hAnsi="Times New Roman" w:cs="Times New Roman"/>
                <w:b/>
                <w:color w:val="0000FF"/>
                <w:sz w:val="24"/>
                <w:highlight w:val="none"/>
              </w:rPr>
              <w:t>平衡</w:t>
            </w:r>
          </w:p>
          <w:p w14:paraId="40F07866">
            <w:pPr>
              <w:pStyle w:val="49"/>
              <w:keepNext w:val="0"/>
              <w:keepLines w:val="0"/>
              <w:pageBreakBefore w:val="0"/>
              <w:widowControl w:val="0"/>
              <w:kinsoku/>
              <w:wordWrap/>
              <w:overflowPunct/>
              <w:topLinePunct w:val="0"/>
              <w:autoSpaceDE/>
              <w:autoSpaceDN/>
              <w:bidi w:val="0"/>
              <w:ind w:firstLine="480"/>
              <w:textAlignment w:val="auto"/>
              <w:rPr>
                <w:rFonts w:hint="default" w:ascii="Times New Roman" w:hAnsi="Times New Roman" w:cs="Times New Roman"/>
                <w:color w:val="0000FF"/>
                <w:szCs w:val="24"/>
                <w:highlight w:val="none"/>
              </w:rPr>
            </w:pPr>
            <w:r>
              <w:rPr>
                <w:rFonts w:hint="default" w:ascii="Times New Roman" w:hAnsi="Times New Roman" w:cs="Times New Roman"/>
                <w:color w:val="0000FF"/>
                <w:szCs w:val="24"/>
                <w:highlight w:val="none"/>
              </w:rPr>
              <w:t>本项目</w:t>
            </w:r>
            <w:r>
              <w:rPr>
                <w:rFonts w:hint="eastAsia" w:cs="Times New Roman"/>
                <w:color w:val="0000FF"/>
                <w:szCs w:val="24"/>
                <w:highlight w:val="none"/>
                <w:lang w:val="en-US" w:eastAsia="zh-CN"/>
              </w:rPr>
              <w:t>全厂VOCs</w:t>
            </w:r>
            <w:r>
              <w:rPr>
                <w:rFonts w:hint="default" w:ascii="Times New Roman" w:hAnsi="Times New Roman" w:cs="Times New Roman"/>
                <w:color w:val="0000FF"/>
                <w:szCs w:val="24"/>
                <w:highlight w:val="none"/>
              </w:rPr>
              <w:t>平衡表见表2.</w:t>
            </w:r>
            <w:r>
              <w:rPr>
                <w:rFonts w:hint="default" w:ascii="Times New Roman" w:hAnsi="Times New Roman" w:cs="Times New Roman"/>
                <w:color w:val="0000FF"/>
                <w:szCs w:val="24"/>
                <w:highlight w:val="none"/>
                <w:lang w:val="en-US" w:eastAsia="zh-CN"/>
              </w:rPr>
              <w:t>3-</w:t>
            </w:r>
            <w:r>
              <w:rPr>
                <w:rFonts w:hint="eastAsia" w:cs="Times New Roman"/>
                <w:color w:val="0000FF"/>
                <w:szCs w:val="24"/>
                <w:highlight w:val="none"/>
                <w:lang w:val="en-US" w:eastAsia="zh-CN"/>
              </w:rPr>
              <w:t>5</w:t>
            </w:r>
            <w:r>
              <w:rPr>
                <w:rFonts w:hint="default" w:ascii="Times New Roman" w:hAnsi="Times New Roman" w:cs="Times New Roman"/>
                <w:color w:val="0000FF"/>
                <w:szCs w:val="24"/>
                <w:highlight w:val="none"/>
              </w:rPr>
              <w:t>。</w:t>
            </w:r>
          </w:p>
          <w:p w14:paraId="355D5012">
            <w:pPr>
              <w:pStyle w:val="50"/>
              <w:spacing w:line="240" w:lineRule="auto"/>
              <w:ind w:firstLine="0" w:firstLineChars="0"/>
              <w:jc w:val="center"/>
              <w:rPr>
                <w:rFonts w:hint="default" w:ascii="Times New Roman" w:hAnsi="Times New Roman" w:cs="Times New Roman"/>
                <w:b/>
                <w:bCs/>
                <w:color w:val="0000FF"/>
                <w:sz w:val="24"/>
                <w:szCs w:val="24"/>
                <w:highlight w:val="none"/>
              </w:rPr>
            </w:pPr>
            <w:r>
              <w:rPr>
                <w:rFonts w:hint="default" w:ascii="Times New Roman" w:hAnsi="Times New Roman" w:cs="Times New Roman"/>
                <w:b/>
                <w:bCs/>
                <w:color w:val="0000FF"/>
                <w:sz w:val="24"/>
                <w:szCs w:val="24"/>
                <w:highlight w:val="none"/>
              </w:rPr>
              <w:t>表2.</w:t>
            </w:r>
            <w:r>
              <w:rPr>
                <w:rFonts w:hint="default" w:ascii="Times New Roman" w:hAnsi="Times New Roman" w:cs="Times New Roman"/>
                <w:b/>
                <w:bCs/>
                <w:color w:val="0000FF"/>
                <w:sz w:val="24"/>
                <w:szCs w:val="24"/>
                <w:highlight w:val="none"/>
                <w:lang w:val="en-US" w:eastAsia="zh-CN"/>
              </w:rPr>
              <w:t>3-</w:t>
            </w:r>
            <w:r>
              <w:rPr>
                <w:rFonts w:hint="eastAsia" w:cs="Times New Roman"/>
                <w:b/>
                <w:bCs/>
                <w:color w:val="0000FF"/>
                <w:sz w:val="24"/>
                <w:szCs w:val="24"/>
                <w:highlight w:val="none"/>
                <w:lang w:val="en-US" w:eastAsia="zh-CN"/>
              </w:rPr>
              <w:t>5</w:t>
            </w:r>
            <w:r>
              <w:rPr>
                <w:rFonts w:hint="default" w:ascii="Times New Roman" w:hAnsi="Times New Roman" w:cs="Times New Roman"/>
                <w:b/>
                <w:bCs/>
                <w:color w:val="0000FF"/>
                <w:sz w:val="24"/>
                <w:szCs w:val="24"/>
                <w:highlight w:val="none"/>
              </w:rPr>
              <w:t xml:space="preserve">  全厂VOCs平衡一览表</w:t>
            </w:r>
          </w:p>
          <w:tbl>
            <w:tblPr>
              <w:tblStyle w:val="3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276"/>
              <w:gridCol w:w="2276"/>
              <w:gridCol w:w="1023"/>
              <w:gridCol w:w="1611"/>
              <w:gridCol w:w="1318"/>
            </w:tblGrid>
            <w:tr w14:paraId="3E478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jc w:val="center"/>
              </w:trPr>
              <w:tc>
                <w:tcPr>
                  <w:tcW w:w="4552" w:type="dxa"/>
                  <w:gridSpan w:val="2"/>
                  <w:shd w:val="clear" w:color="auto" w:fill="auto"/>
                  <w:vAlign w:val="center"/>
                </w:tcPr>
                <w:p w14:paraId="50861980">
                  <w:pPr>
                    <w:keepNext w:val="0"/>
                    <w:keepLines w:val="0"/>
                    <w:widowControl/>
                    <w:suppressLineNumbers w:val="0"/>
                    <w:jc w:val="center"/>
                    <w:textAlignment w:val="center"/>
                    <w:rPr>
                      <w:rFonts w:hint="eastAsia" w:ascii="宋体" w:hAnsi="宋体" w:eastAsia="宋体" w:cs="宋体"/>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输入</w:t>
                  </w:r>
                </w:p>
              </w:tc>
              <w:tc>
                <w:tcPr>
                  <w:tcW w:w="3952" w:type="dxa"/>
                  <w:gridSpan w:val="3"/>
                  <w:shd w:val="clear" w:color="auto" w:fill="auto"/>
                  <w:vAlign w:val="center"/>
                </w:tcPr>
                <w:p w14:paraId="2D74B51C">
                  <w:pPr>
                    <w:keepNext w:val="0"/>
                    <w:keepLines w:val="0"/>
                    <w:widowControl/>
                    <w:suppressLineNumbers w:val="0"/>
                    <w:jc w:val="center"/>
                    <w:textAlignment w:val="center"/>
                    <w:rPr>
                      <w:rFonts w:hint="eastAsia" w:ascii="宋体" w:hAnsi="宋体" w:eastAsia="宋体" w:cs="宋体"/>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输出</w:t>
                  </w:r>
                </w:p>
              </w:tc>
            </w:tr>
            <w:tr w14:paraId="0341A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2276" w:type="dxa"/>
                  <w:shd w:val="clear" w:color="auto" w:fill="auto"/>
                  <w:vAlign w:val="center"/>
                </w:tcPr>
                <w:p w14:paraId="2A998B09">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名称</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种类</w:t>
                  </w:r>
                </w:p>
              </w:tc>
              <w:tc>
                <w:tcPr>
                  <w:tcW w:w="2276" w:type="dxa"/>
                  <w:shd w:val="clear" w:color="auto" w:fill="auto"/>
                  <w:vAlign w:val="center"/>
                </w:tcPr>
                <w:p w14:paraId="389FB7A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VOCs</w:t>
                  </w:r>
                  <w:r>
                    <w:rPr>
                      <w:rFonts w:hint="eastAsia" w:ascii="宋体" w:hAnsi="宋体" w:eastAsia="宋体" w:cs="宋体"/>
                      <w:i w:val="0"/>
                      <w:iCs w:val="0"/>
                      <w:color w:val="0000FF"/>
                      <w:kern w:val="0"/>
                      <w:sz w:val="21"/>
                      <w:szCs w:val="21"/>
                      <w:u w:val="none"/>
                      <w:lang w:val="en-US" w:eastAsia="zh-CN" w:bidi="ar"/>
                    </w:rPr>
                    <w:t>产生量（</w:t>
                  </w:r>
                  <w:r>
                    <w:rPr>
                      <w:rFonts w:hint="default" w:ascii="Times New Roman" w:hAnsi="Times New Roman" w:eastAsia="宋体" w:cs="Times New Roman"/>
                      <w:i w:val="0"/>
                      <w:iCs w:val="0"/>
                      <w:color w:val="0000FF"/>
                      <w:kern w:val="0"/>
                      <w:sz w:val="21"/>
                      <w:szCs w:val="21"/>
                      <w:u w:val="none"/>
                      <w:lang w:val="en-US" w:eastAsia="zh-CN" w:bidi="ar"/>
                    </w:rPr>
                    <w:t>t/a</w:t>
                  </w:r>
                  <w:r>
                    <w:rPr>
                      <w:rFonts w:hint="eastAsia" w:ascii="宋体" w:hAnsi="宋体" w:eastAsia="宋体" w:cs="宋体"/>
                      <w:i w:val="0"/>
                      <w:iCs w:val="0"/>
                      <w:color w:val="0000FF"/>
                      <w:kern w:val="0"/>
                      <w:sz w:val="21"/>
                      <w:szCs w:val="21"/>
                      <w:u w:val="none"/>
                      <w:lang w:val="en-US" w:eastAsia="zh-CN" w:bidi="ar"/>
                    </w:rPr>
                    <w:t>）</w:t>
                  </w:r>
                </w:p>
              </w:tc>
              <w:tc>
                <w:tcPr>
                  <w:tcW w:w="2634" w:type="dxa"/>
                  <w:gridSpan w:val="2"/>
                  <w:shd w:val="clear" w:color="auto" w:fill="auto"/>
                  <w:vAlign w:val="center"/>
                </w:tcPr>
                <w:p w14:paraId="67C1B12E">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名称</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种类</w:t>
                  </w:r>
                </w:p>
              </w:tc>
              <w:tc>
                <w:tcPr>
                  <w:tcW w:w="1318" w:type="dxa"/>
                  <w:shd w:val="clear" w:color="auto" w:fill="auto"/>
                  <w:vAlign w:val="center"/>
                </w:tcPr>
                <w:p w14:paraId="4589BF7F">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出料（</w:t>
                  </w:r>
                  <w:r>
                    <w:rPr>
                      <w:rFonts w:hint="default" w:ascii="Times New Roman" w:hAnsi="Times New Roman" w:eastAsia="宋体" w:cs="Times New Roman"/>
                      <w:i w:val="0"/>
                      <w:iCs w:val="0"/>
                      <w:color w:val="0000FF"/>
                      <w:kern w:val="0"/>
                      <w:sz w:val="21"/>
                      <w:szCs w:val="21"/>
                      <w:u w:val="none"/>
                      <w:lang w:val="en-US" w:eastAsia="zh-CN" w:bidi="ar"/>
                    </w:rPr>
                    <w:t>t/a</w:t>
                  </w:r>
                  <w:r>
                    <w:rPr>
                      <w:rFonts w:hint="eastAsia" w:ascii="宋体" w:hAnsi="宋体" w:eastAsia="宋体" w:cs="宋体"/>
                      <w:i w:val="0"/>
                      <w:iCs w:val="0"/>
                      <w:color w:val="0000FF"/>
                      <w:kern w:val="0"/>
                      <w:sz w:val="21"/>
                      <w:szCs w:val="21"/>
                      <w:u w:val="none"/>
                      <w:lang w:val="en-US" w:eastAsia="zh-CN" w:bidi="ar"/>
                    </w:rPr>
                    <w:t>）</w:t>
                  </w:r>
                </w:p>
              </w:tc>
            </w:tr>
            <w:tr w14:paraId="142F4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2276" w:type="dxa"/>
                  <w:shd w:val="clear" w:color="auto" w:fill="auto"/>
                  <w:vAlign w:val="center"/>
                </w:tcPr>
                <w:p w14:paraId="38E84883">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手机充电器塑胶外壳</w:t>
                  </w:r>
                </w:p>
              </w:tc>
              <w:tc>
                <w:tcPr>
                  <w:tcW w:w="2276" w:type="dxa"/>
                  <w:shd w:val="clear" w:color="auto" w:fill="auto"/>
                  <w:vAlign w:val="center"/>
                </w:tcPr>
                <w:p w14:paraId="5E2F9F4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1.6322</w:t>
                  </w:r>
                </w:p>
              </w:tc>
              <w:tc>
                <w:tcPr>
                  <w:tcW w:w="1023" w:type="dxa"/>
                  <w:vMerge w:val="restart"/>
                  <w:shd w:val="clear" w:color="auto" w:fill="auto"/>
                  <w:vAlign w:val="center"/>
                </w:tcPr>
                <w:p w14:paraId="46D16D1E">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default" w:ascii="Times New Roman" w:hAnsi="Times New Roman" w:eastAsia="宋体" w:cs="Times New Roman"/>
                      <w:i w:val="0"/>
                      <w:iCs w:val="0"/>
                      <w:color w:val="0000FF"/>
                      <w:sz w:val="21"/>
                      <w:szCs w:val="21"/>
                      <w:u w:val="none"/>
                    </w:rPr>
                    <w:t>VOCs</w:t>
                  </w:r>
                </w:p>
              </w:tc>
              <w:tc>
                <w:tcPr>
                  <w:tcW w:w="1611" w:type="dxa"/>
                  <w:shd w:val="clear" w:color="auto" w:fill="auto"/>
                  <w:vAlign w:val="center"/>
                </w:tcPr>
                <w:p w14:paraId="3207F175">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有组织排放量</w:t>
                  </w:r>
                </w:p>
              </w:tc>
              <w:tc>
                <w:tcPr>
                  <w:tcW w:w="1318" w:type="dxa"/>
                  <w:shd w:val="clear" w:color="auto" w:fill="auto"/>
                  <w:vAlign w:val="center"/>
                </w:tcPr>
                <w:p w14:paraId="307A2CB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lang w:val="en-US"/>
                    </w:rPr>
                  </w:pPr>
                  <w:r>
                    <w:rPr>
                      <w:rFonts w:hint="default" w:ascii="Times New Roman" w:hAnsi="Times New Roman" w:eastAsia="宋体" w:cs="Times New Roman"/>
                      <w:i w:val="0"/>
                      <w:iCs w:val="0"/>
                      <w:color w:val="0000FF"/>
                      <w:kern w:val="0"/>
                      <w:sz w:val="21"/>
                      <w:szCs w:val="21"/>
                      <w:u w:val="none"/>
                      <w:lang w:val="en-US" w:eastAsia="zh-CN" w:bidi="ar"/>
                    </w:rPr>
                    <w:t>0.4431</w:t>
                  </w:r>
                </w:p>
              </w:tc>
            </w:tr>
            <w:tr w14:paraId="5A61A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76" w:type="dxa"/>
                  <w:shd w:val="clear" w:color="auto" w:fill="auto"/>
                  <w:vAlign w:val="center"/>
                </w:tcPr>
                <w:p w14:paraId="3AC5188C">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路由器</w:t>
                  </w:r>
                </w:p>
              </w:tc>
              <w:tc>
                <w:tcPr>
                  <w:tcW w:w="2276" w:type="dxa"/>
                  <w:shd w:val="clear" w:color="auto" w:fill="auto"/>
                  <w:vAlign w:val="center"/>
                </w:tcPr>
                <w:p w14:paraId="7667F35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0.3767</w:t>
                  </w:r>
                </w:p>
              </w:tc>
              <w:tc>
                <w:tcPr>
                  <w:tcW w:w="1023" w:type="dxa"/>
                  <w:vMerge w:val="continue"/>
                  <w:shd w:val="clear" w:color="auto" w:fill="auto"/>
                  <w:vAlign w:val="center"/>
                </w:tcPr>
                <w:p w14:paraId="398CBF5C">
                  <w:pPr>
                    <w:jc w:val="center"/>
                    <w:rPr>
                      <w:rFonts w:hint="eastAsia" w:ascii="宋体" w:hAnsi="宋体" w:eastAsia="宋体" w:cs="宋体"/>
                      <w:i w:val="0"/>
                      <w:iCs w:val="0"/>
                      <w:color w:val="0000FF"/>
                      <w:sz w:val="21"/>
                      <w:szCs w:val="21"/>
                      <w:u w:val="none"/>
                    </w:rPr>
                  </w:pPr>
                </w:p>
              </w:tc>
              <w:tc>
                <w:tcPr>
                  <w:tcW w:w="1611" w:type="dxa"/>
                  <w:shd w:val="clear" w:color="auto" w:fill="auto"/>
                  <w:vAlign w:val="center"/>
                </w:tcPr>
                <w:p w14:paraId="64839E4F">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无组织排放量</w:t>
                  </w:r>
                </w:p>
              </w:tc>
              <w:tc>
                <w:tcPr>
                  <w:tcW w:w="1318" w:type="dxa"/>
                  <w:shd w:val="clear" w:color="auto" w:fill="auto"/>
                  <w:vAlign w:val="center"/>
                </w:tcPr>
                <w:p w14:paraId="63FBF24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lang w:val="en-US"/>
                    </w:rPr>
                  </w:pPr>
                  <w:r>
                    <w:rPr>
                      <w:rFonts w:hint="default" w:ascii="Times New Roman" w:hAnsi="Times New Roman" w:eastAsia="宋体" w:cs="Times New Roman"/>
                      <w:i w:val="0"/>
                      <w:iCs w:val="0"/>
                      <w:color w:val="0000FF"/>
                      <w:kern w:val="0"/>
                      <w:sz w:val="21"/>
                      <w:szCs w:val="21"/>
                      <w:u w:val="none"/>
                      <w:lang w:val="en-US" w:eastAsia="zh-CN" w:bidi="ar"/>
                    </w:rPr>
                    <w:t>0.5111</w:t>
                  </w:r>
                </w:p>
              </w:tc>
            </w:tr>
            <w:tr w14:paraId="70A0B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jc w:val="center"/>
              </w:trPr>
              <w:tc>
                <w:tcPr>
                  <w:tcW w:w="2276" w:type="dxa"/>
                  <w:shd w:val="clear" w:color="auto" w:fill="auto"/>
                  <w:vAlign w:val="center"/>
                </w:tcPr>
                <w:p w14:paraId="7128341E">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油墨</w:t>
                  </w:r>
                </w:p>
              </w:tc>
              <w:tc>
                <w:tcPr>
                  <w:tcW w:w="2276" w:type="dxa"/>
                  <w:shd w:val="clear" w:color="auto" w:fill="auto"/>
                  <w:vAlign w:val="center"/>
                </w:tcPr>
                <w:p w14:paraId="79124E1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0.1314</w:t>
                  </w:r>
                </w:p>
              </w:tc>
              <w:tc>
                <w:tcPr>
                  <w:tcW w:w="1023" w:type="dxa"/>
                  <w:vMerge w:val="continue"/>
                  <w:shd w:val="clear" w:color="auto" w:fill="auto"/>
                  <w:vAlign w:val="center"/>
                </w:tcPr>
                <w:p w14:paraId="14B2EC70">
                  <w:pPr>
                    <w:jc w:val="center"/>
                    <w:rPr>
                      <w:rFonts w:hint="eastAsia" w:ascii="宋体" w:hAnsi="宋体" w:eastAsia="宋体" w:cs="宋体"/>
                      <w:i w:val="0"/>
                      <w:iCs w:val="0"/>
                      <w:color w:val="0000FF"/>
                      <w:sz w:val="21"/>
                      <w:szCs w:val="21"/>
                      <w:u w:val="none"/>
                    </w:rPr>
                  </w:pPr>
                </w:p>
              </w:tc>
              <w:tc>
                <w:tcPr>
                  <w:tcW w:w="1611" w:type="dxa"/>
                  <w:shd w:val="clear" w:color="auto" w:fill="auto"/>
                  <w:vAlign w:val="center"/>
                </w:tcPr>
                <w:p w14:paraId="58F0BC22">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处理量</w:t>
                  </w:r>
                </w:p>
              </w:tc>
              <w:tc>
                <w:tcPr>
                  <w:tcW w:w="1318" w:type="dxa"/>
                  <w:shd w:val="clear" w:color="auto" w:fill="auto"/>
                  <w:vAlign w:val="center"/>
                </w:tcPr>
                <w:p w14:paraId="75B6350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lang w:val="en-US"/>
                    </w:rPr>
                  </w:pPr>
                  <w:r>
                    <w:rPr>
                      <w:rFonts w:hint="default" w:ascii="Times New Roman" w:hAnsi="Times New Roman" w:eastAsia="宋体" w:cs="Times New Roman"/>
                      <w:i w:val="0"/>
                      <w:iCs w:val="0"/>
                      <w:color w:val="0000FF"/>
                      <w:kern w:val="0"/>
                      <w:sz w:val="21"/>
                      <w:szCs w:val="21"/>
                      <w:u w:val="none"/>
                      <w:lang w:val="en-US" w:eastAsia="zh-CN" w:bidi="ar"/>
                    </w:rPr>
                    <w:t>1.3292</w:t>
                  </w:r>
                </w:p>
              </w:tc>
            </w:tr>
            <w:tr w14:paraId="14988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76" w:type="dxa"/>
                  <w:shd w:val="clear" w:color="auto" w:fill="auto"/>
                  <w:vAlign w:val="center"/>
                </w:tcPr>
                <w:p w14:paraId="2645BE3D">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稀释剂</w:t>
                  </w:r>
                </w:p>
              </w:tc>
              <w:tc>
                <w:tcPr>
                  <w:tcW w:w="2276" w:type="dxa"/>
                  <w:shd w:val="clear" w:color="auto" w:fill="auto"/>
                  <w:vAlign w:val="center"/>
                </w:tcPr>
                <w:p w14:paraId="3CA9FE7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0.0131</w:t>
                  </w:r>
                </w:p>
              </w:tc>
              <w:tc>
                <w:tcPr>
                  <w:tcW w:w="1023" w:type="dxa"/>
                  <w:shd w:val="clear" w:color="auto" w:fill="auto"/>
                  <w:vAlign w:val="center"/>
                </w:tcPr>
                <w:p w14:paraId="4E4EF85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611" w:type="dxa"/>
                  <w:shd w:val="clear" w:color="auto" w:fill="auto"/>
                  <w:vAlign w:val="center"/>
                </w:tcPr>
                <w:p w14:paraId="73055E7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318" w:type="dxa"/>
                  <w:shd w:val="clear" w:color="auto" w:fill="auto"/>
                  <w:vAlign w:val="center"/>
                </w:tcPr>
                <w:p w14:paraId="4925957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lang w:val="en-US"/>
                    </w:rPr>
                  </w:pPr>
                  <w:r>
                    <w:rPr>
                      <w:rFonts w:hint="default" w:ascii="Times New Roman" w:hAnsi="Times New Roman" w:eastAsia="宋体" w:cs="Times New Roman"/>
                      <w:i w:val="0"/>
                      <w:iCs w:val="0"/>
                      <w:color w:val="0000FF"/>
                      <w:kern w:val="0"/>
                      <w:sz w:val="21"/>
                      <w:szCs w:val="21"/>
                      <w:u w:val="none"/>
                      <w:lang w:val="en-US" w:eastAsia="zh-CN" w:bidi="ar"/>
                    </w:rPr>
                    <w:t>/</w:t>
                  </w:r>
                </w:p>
              </w:tc>
            </w:tr>
            <w:tr w14:paraId="232E5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76" w:type="dxa"/>
                  <w:shd w:val="clear" w:color="auto" w:fill="auto"/>
                  <w:vAlign w:val="center"/>
                </w:tcPr>
                <w:p w14:paraId="13CD6F0C">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固化剂</w:t>
                  </w:r>
                </w:p>
              </w:tc>
              <w:tc>
                <w:tcPr>
                  <w:tcW w:w="2276" w:type="dxa"/>
                  <w:shd w:val="clear" w:color="auto" w:fill="auto"/>
                  <w:vAlign w:val="center"/>
                </w:tcPr>
                <w:p w14:paraId="0479AA3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0.0438</w:t>
                  </w:r>
                </w:p>
              </w:tc>
              <w:tc>
                <w:tcPr>
                  <w:tcW w:w="1023" w:type="dxa"/>
                  <w:shd w:val="clear" w:color="auto" w:fill="auto"/>
                  <w:vAlign w:val="center"/>
                </w:tcPr>
                <w:p w14:paraId="33745670">
                  <w:pPr>
                    <w:jc w:val="center"/>
                    <w:rPr>
                      <w:rFonts w:hint="default" w:ascii="Times New Roman" w:hAnsi="Times New Roman" w:eastAsia="宋体" w:cs="Times New Roman"/>
                      <w:i w:val="0"/>
                      <w:iCs w:val="0"/>
                      <w:color w:val="0000FF"/>
                      <w:sz w:val="21"/>
                      <w:szCs w:val="21"/>
                      <w:u w:val="none"/>
                    </w:rPr>
                  </w:pPr>
                </w:p>
              </w:tc>
              <w:tc>
                <w:tcPr>
                  <w:tcW w:w="1611" w:type="dxa"/>
                  <w:shd w:val="clear" w:color="auto" w:fill="auto"/>
                  <w:vAlign w:val="center"/>
                </w:tcPr>
                <w:p w14:paraId="6954725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318" w:type="dxa"/>
                  <w:shd w:val="clear" w:color="auto" w:fill="auto"/>
                  <w:vAlign w:val="center"/>
                </w:tcPr>
                <w:p w14:paraId="2A1A6E0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r>
            <w:tr w14:paraId="34D93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276" w:type="dxa"/>
                  <w:shd w:val="clear" w:color="auto" w:fill="auto"/>
                  <w:vAlign w:val="center"/>
                </w:tcPr>
                <w:p w14:paraId="7B22B6A6">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防白水</w:t>
                  </w:r>
                </w:p>
              </w:tc>
              <w:tc>
                <w:tcPr>
                  <w:tcW w:w="2276" w:type="dxa"/>
                  <w:shd w:val="clear" w:color="auto" w:fill="auto"/>
                  <w:vAlign w:val="center"/>
                </w:tcPr>
                <w:p w14:paraId="756898D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0.01</w:t>
                  </w:r>
                </w:p>
              </w:tc>
              <w:tc>
                <w:tcPr>
                  <w:tcW w:w="1023" w:type="dxa"/>
                  <w:shd w:val="clear" w:color="auto" w:fill="auto"/>
                  <w:vAlign w:val="center"/>
                </w:tcPr>
                <w:p w14:paraId="6E7463F5">
                  <w:pPr>
                    <w:jc w:val="center"/>
                    <w:rPr>
                      <w:rFonts w:hint="default" w:ascii="Times New Roman" w:hAnsi="Times New Roman" w:eastAsia="宋体" w:cs="Times New Roman"/>
                      <w:i w:val="0"/>
                      <w:iCs w:val="0"/>
                      <w:color w:val="0000FF"/>
                      <w:sz w:val="21"/>
                      <w:szCs w:val="21"/>
                      <w:u w:val="none"/>
                    </w:rPr>
                  </w:pPr>
                </w:p>
              </w:tc>
              <w:tc>
                <w:tcPr>
                  <w:tcW w:w="1611" w:type="dxa"/>
                  <w:shd w:val="clear" w:color="auto" w:fill="auto"/>
                  <w:vAlign w:val="center"/>
                </w:tcPr>
                <w:p w14:paraId="12A3147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318" w:type="dxa"/>
                  <w:shd w:val="clear" w:color="auto" w:fill="auto"/>
                  <w:vAlign w:val="center"/>
                </w:tcPr>
                <w:p w14:paraId="2E54E42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lang w:val="en-US"/>
                    </w:rPr>
                  </w:pPr>
                  <w:r>
                    <w:rPr>
                      <w:rFonts w:hint="default" w:ascii="Times New Roman" w:hAnsi="Times New Roman" w:eastAsia="宋体" w:cs="Times New Roman"/>
                      <w:i w:val="0"/>
                      <w:iCs w:val="0"/>
                      <w:color w:val="0000FF"/>
                      <w:kern w:val="0"/>
                      <w:sz w:val="21"/>
                      <w:szCs w:val="21"/>
                      <w:u w:val="none"/>
                      <w:lang w:val="en-US" w:eastAsia="zh-CN" w:bidi="ar"/>
                    </w:rPr>
                    <w:t>/</w:t>
                  </w:r>
                </w:p>
              </w:tc>
            </w:tr>
            <w:tr w14:paraId="26097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276" w:type="dxa"/>
                  <w:shd w:val="clear" w:color="auto" w:fill="auto"/>
                  <w:vAlign w:val="center"/>
                </w:tcPr>
                <w:p w14:paraId="07D30BF7">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洗网水</w:t>
                  </w:r>
                </w:p>
              </w:tc>
              <w:tc>
                <w:tcPr>
                  <w:tcW w:w="2276" w:type="dxa"/>
                  <w:shd w:val="clear" w:color="auto" w:fill="auto"/>
                  <w:vAlign w:val="center"/>
                </w:tcPr>
                <w:p w14:paraId="3DE56EE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lang w:val="en-US"/>
                    </w:rPr>
                  </w:pPr>
                  <w:r>
                    <w:rPr>
                      <w:rFonts w:hint="default" w:ascii="Times New Roman" w:hAnsi="Times New Roman" w:eastAsia="宋体" w:cs="Times New Roman"/>
                      <w:i w:val="0"/>
                      <w:iCs w:val="0"/>
                      <w:color w:val="0000FF"/>
                      <w:kern w:val="0"/>
                      <w:sz w:val="21"/>
                      <w:szCs w:val="21"/>
                      <w:u w:val="none"/>
                      <w:lang w:val="en-US" w:eastAsia="zh-CN" w:bidi="ar"/>
                    </w:rPr>
                    <w:t>0.0082</w:t>
                  </w:r>
                </w:p>
              </w:tc>
              <w:tc>
                <w:tcPr>
                  <w:tcW w:w="1023" w:type="dxa"/>
                  <w:shd w:val="clear" w:color="auto" w:fill="auto"/>
                  <w:vAlign w:val="center"/>
                </w:tcPr>
                <w:p w14:paraId="395B0A1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611" w:type="dxa"/>
                  <w:shd w:val="clear" w:color="auto" w:fill="auto"/>
                  <w:vAlign w:val="center"/>
                </w:tcPr>
                <w:p w14:paraId="16CA155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318" w:type="dxa"/>
                  <w:shd w:val="clear" w:color="auto" w:fill="auto"/>
                  <w:vAlign w:val="center"/>
                </w:tcPr>
                <w:p w14:paraId="2346390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r>
            <w:tr w14:paraId="07CA0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76" w:type="dxa"/>
                  <w:shd w:val="clear" w:color="auto" w:fill="auto"/>
                  <w:vAlign w:val="center"/>
                </w:tcPr>
                <w:p w14:paraId="4C11473D">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绿色防锈剂</w:t>
                  </w:r>
                </w:p>
              </w:tc>
              <w:tc>
                <w:tcPr>
                  <w:tcW w:w="2276" w:type="dxa"/>
                  <w:shd w:val="clear" w:color="auto" w:fill="auto"/>
                  <w:vAlign w:val="center"/>
                </w:tcPr>
                <w:p w14:paraId="2946BB7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0.0075</w:t>
                  </w:r>
                </w:p>
              </w:tc>
              <w:tc>
                <w:tcPr>
                  <w:tcW w:w="1023" w:type="dxa"/>
                  <w:shd w:val="clear" w:color="auto" w:fill="auto"/>
                  <w:vAlign w:val="center"/>
                </w:tcPr>
                <w:p w14:paraId="378445C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611" w:type="dxa"/>
                  <w:shd w:val="clear" w:color="auto" w:fill="auto"/>
                  <w:vAlign w:val="center"/>
                </w:tcPr>
                <w:p w14:paraId="6477046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318" w:type="dxa"/>
                  <w:shd w:val="clear" w:color="auto" w:fill="auto"/>
                  <w:vAlign w:val="center"/>
                </w:tcPr>
                <w:p w14:paraId="6E5DEFA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r>
            <w:tr w14:paraId="0042A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76" w:type="dxa"/>
                  <w:shd w:val="clear" w:color="auto" w:fill="auto"/>
                  <w:vAlign w:val="center"/>
                </w:tcPr>
                <w:p w14:paraId="0742D7D8">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住矿润滑油喷雾剂</w:t>
                  </w:r>
                </w:p>
              </w:tc>
              <w:tc>
                <w:tcPr>
                  <w:tcW w:w="2276" w:type="dxa"/>
                  <w:shd w:val="clear" w:color="auto" w:fill="auto"/>
                  <w:vAlign w:val="center"/>
                </w:tcPr>
                <w:p w14:paraId="5DAB048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0.0033</w:t>
                  </w:r>
                </w:p>
              </w:tc>
              <w:tc>
                <w:tcPr>
                  <w:tcW w:w="1023" w:type="dxa"/>
                  <w:shd w:val="clear" w:color="auto" w:fill="auto"/>
                  <w:vAlign w:val="center"/>
                </w:tcPr>
                <w:p w14:paraId="4125F50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611" w:type="dxa"/>
                  <w:shd w:val="clear" w:color="auto" w:fill="auto"/>
                  <w:vAlign w:val="center"/>
                </w:tcPr>
                <w:p w14:paraId="55D35FE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318" w:type="dxa"/>
                  <w:shd w:val="clear" w:color="auto" w:fill="auto"/>
                  <w:vAlign w:val="center"/>
                </w:tcPr>
                <w:p w14:paraId="13A30BF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r>
            <w:tr w14:paraId="2BCE7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76" w:type="dxa"/>
                  <w:shd w:val="clear" w:color="auto" w:fill="auto"/>
                  <w:vAlign w:val="center"/>
                </w:tcPr>
                <w:p w14:paraId="454C970F">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三川耐高温润滑脂</w:t>
                  </w:r>
                </w:p>
              </w:tc>
              <w:tc>
                <w:tcPr>
                  <w:tcW w:w="2276" w:type="dxa"/>
                  <w:shd w:val="clear" w:color="auto" w:fill="auto"/>
                  <w:vAlign w:val="center"/>
                </w:tcPr>
                <w:p w14:paraId="5BC2770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0.004</w:t>
                  </w:r>
                </w:p>
              </w:tc>
              <w:tc>
                <w:tcPr>
                  <w:tcW w:w="1023" w:type="dxa"/>
                  <w:shd w:val="clear" w:color="auto" w:fill="auto"/>
                  <w:vAlign w:val="center"/>
                </w:tcPr>
                <w:p w14:paraId="6D3D89B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611" w:type="dxa"/>
                  <w:shd w:val="clear" w:color="auto" w:fill="auto"/>
                  <w:vAlign w:val="center"/>
                </w:tcPr>
                <w:p w14:paraId="34B4679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318" w:type="dxa"/>
                  <w:shd w:val="clear" w:color="auto" w:fill="auto"/>
                  <w:vAlign w:val="center"/>
                </w:tcPr>
                <w:p w14:paraId="18ED1C4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r>
            <w:tr w14:paraId="3DAF6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276" w:type="dxa"/>
                  <w:shd w:val="clear" w:color="auto" w:fill="auto"/>
                  <w:noWrap/>
                  <w:vAlign w:val="center"/>
                </w:tcPr>
                <w:p w14:paraId="0A6FD042">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除锈剂</w:t>
                  </w:r>
                </w:p>
              </w:tc>
              <w:tc>
                <w:tcPr>
                  <w:tcW w:w="2276" w:type="dxa"/>
                  <w:shd w:val="clear" w:color="auto" w:fill="auto"/>
                  <w:vAlign w:val="center"/>
                </w:tcPr>
                <w:p w14:paraId="1343A3C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0.0016</w:t>
                  </w:r>
                </w:p>
              </w:tc>
              <w:tc>
                <w:tcPr>
                  <w:tcW w:w="1023" w:type="dxa"/>
                  <w:shd w:val="clear" w:color="auto" w:fill="auto"/>
                  <w:vAlign w:val="center"/>
                </w:tcPr>
                <w:p w14:paraId="6D940BD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611" w:type="dxa"/>
                  <w:shd w:val="clear" w:color="auto" w:fill="auto"/>
                  <w:vAlign w:val="center"/>
                </w:tcPr>
                <w:p w14:paraId="3E12B70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318" w:type="dxa"/>
                  <w:shd w:val="clear" w:color="auto" w:fill="auto"/>
                  <w:vAlign w:val="center"/>
                </w:tcPr>
                <w:p w14:paraId="1027271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r>
            <w:tr w14:paraId="3F298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2276" w:type="dxa"/>
                  <w:shd w:val="clear" w:color="auto" w:fill="auto"/>
                  <w:noWrap/>
                  <w:vAlign w:val="center"/>
                </w:tcPr>
                <w:p w14:paraId="1DA1374E">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白电油</w:t>
                  </w:r>
                </w:p>
              </w:tc>
              <w:tc>
                <w:tcPr>
                  <w:tcW w:w="2276" w:type="dxa"/>
                  <w:shd w:val="clear" w:color="auto" w:fill="auto"/>
                  <w:vAlign w:val="center"/>
                </w:tcPr>
                <w:p w14:paraId="3A62BF8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0.04</w:t>
                  </w:r>
                </w:p>
              </w:tc>
              <w:tc>
                <w:tcPr>
                  <w:tcW w:w="1023" w:type="dxa"/>
                  <w:shd w:val="clear" w:color="auto" w:fill="auto"/>
                  <w:vAlign w:val="center"/>
                </w:tcPr>
                <w:p w14:paraId="5E4A03A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611" w:type="dxa"/>
                  <w:shd w:val="clear" w:color="auto" w:fill="auto"/>
                  <w:vAlign w:val="center"/>
                </w:tcPr>
                <w:p w14:paraId="1040BB7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318" w:type="dxa"/>
                  <w:shd w:val="clear" w:color="auto" w:fill="auto"/>
                  <w:vAlign w:val="center"/>
                </w:tcPr>
                <w:p w14:paraId="5DC8ABA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r>
            <w:tr w14:paraId="6D185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jc w:val="center"/>
              </w:trPr>
              <w:tc>
                <w:tcPr>
                  <w:tcW w:w="2276" w:type="dxa"/>
                  <w:shd w:val="clear" w:color="auto" w:fill="auto"/>
                  <w:noWrap/>
                  <w:vAlign w:val="center"/>
                </w:tcPr>
                <w:p w14:paraId="0AB1CD4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95%</w:t>
                  </w:r>
                  <w:r>
                    <w:rPr>
                      <w:rFonts w:hint="eastAsia" w:ascii="宋体" w:hAnsi="宋体" w:eastAsia="宋体" w:cs="宋体"/>
                      <w:i w:val="0"/>
                      <w:iCs w:val="0"/>
                      <w:color w:val="0000FF"/>
                      <w:kern w:val="0"/>
                      <w:sz w:val="21"/>
                      <w:szCs w:val="21"/>
                      <w:u w:val="none"/>
                      <w:lang w:val="en-US" w:eastAsia="zh-CN" w:bidi="ar"/>
                    </w:rPr>
                    <w:t>酒精</w:t>
                  </w:r>
                </w:p>
              </w:tc>
              <w:tc>
                <w:tcPr>
                  <w:tcW w:w="2276" w:type="dxa"/>
                  <w:shd w:val="clear" w:color="auto" w:fill="auto"/>
                  <w:vAlign w:val="center"/>
                </w:tcPr>
                <w:p w14:paraId="5E9F364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0.0076</w:t>
                  </w:r>
                </w:p>
              </w:tc>
              <w:tc>
                <w:tcPr>
                  <w:tcW w:w="1023" w:type="dxa"/>
                  <w:shd w:val="clear" w:color="auto" w:fill="auto"/>
                  <w:vAlign w:val="center"/>
                </w:tcPr>
                <w:p w14:paraId="6C7873C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611" w:type="dxa"/>
                  <w:shd w:val="clear" w:color="auto" w:fill="auto"/>
                  <w:vAlign w:val="center"/>
                </w:tcPr>
                <w:p w14:paraId="4419523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318" w:type="dxa"/>
                  <w:shd w:val="clear" w:color="auto" w:fill="auto"/>
                  <w:vAlign w:val="center"/>
                </w:tcPr>
                <w:p w14:paraId="3B5ABB9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r>
            <w:tr w14:paraId="39C44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2276" w:type="dxa"/>
                  <w:shd w:val="clear" w:color="auto" w:fill="auto"/>
                  <w:vAlign w:val="center"/>
                </w:tcPr>
                <w:p w14:paraId="4151753B">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乳化性切削液</w:t>
                  </w:r>
                </w:p>
              </w:tc>
              <w:tc>
                <w:tcPr>
                  <w:tcW w:w="2276" w:type="dxa"/>
                  <w:shd w:val="clear" w:color="auto" w:fill="auto"/>
                  <w:vAlign w:val="center"/>
                </w:tcPr>
                <w:p w14:paraId="64F33CF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0.004</w:t>
                  </w:r>
                </w:p>
              </w:tc>
              <w:tc>
                <w:tcPr>
                  <w:tcW w:w="1023" w:type="dxa"/>
                  <w:shd w:val="clear" w:color="auto" w:fill="auto"/>
                  <w:vAlign w:val="center"/>
                </w:tcPr>
                <w:p w14:paraId="7D8EBE0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611" w:type="dxa"/>
                  <w:shd w:val="clear" w:color="auto" w:fill="auto"/>
                  <w:vAlign w:val="center"/>
                </w:tcPr>
                <w:p w14:paraId="47AD48C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318" w:type="dxa"/>
                  <w:shd w:val="clear" w:color="auto" w:fill="auto"/>
                  <w:vAlign w:val="center"/>
                </w:tcPr>
                <w:p w14:paraId="5151122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r>
            <w:tr w14:paraId="6C5A9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0" w:hRule="atLeast"/>
                <w:jc w:val="center"/>
              </w:trPr>
              <w:tc>
                <w:tcPr>
                  <w:tcW w:w="2276" w:type="dxa"/>
                  <w:shd w:val="clear" w:color="auto" w:fill="auto"/>
                  <w:vAlign w:val="center"/>
                </w:tcPr>
                <w:p w14:paraId="36BDD57E">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进料合计</w:t>
                  </w:r>
                </w:p>
              </w:tc>
              <w:tc>
                <w:tcPr>
                  <w:tcW w:w="2276" w:type="dxa"/>
                  <w:shd w:val="clear" w:color="auto" w:fill="auto"/>
                  <w:vAlign w:val="center"/>
                </w:tcPr>
                <w:p w14:paraId="6C54D7EA">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2.2834</w:t>
                  </w:r>
                </w:p>
              </w:tc>
              <w:tc>
                <w:tcPr>
                  <w:tcW w:w="2634" w:type="dxa"/>
                  <w:gridSpan w:val="2"/>
                  <w:shd w:val="clear" w:color="auto" w:fill="auto"/>
                  <w:vAlign w:val="center"/>
                </w:tcPr>
                <w:p w14:paraId="7CA027B0">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出料合计</w:t>
                  </w:r>
                </w:p>
              </w:tc>
              <w:tc>
                <w:tcPr>
                  <w:tcW w:w="1318" w:type="dxa"/>
                  <w:shd w:val="clear" w:color="auto" w:fill="auto"/>
                  <w:vAlign w:val="center"/>
                </w:tcPr>
                <w:p w14:paraId="0870B652">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2.2834</w:t>
                  </w:r>
                </w:p>
              </w:tc>
            </w:tr>
            <w:tr w14:paraId="5356C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8504" w:type="dxa"/>
                  <w:gridSpan w:val="5"/>
                  <w:shd w:val="clear" w:color="auto" w:fill="auto"/>
                  <w:vAlign w:val="center"/>
                </w:tcPr>
                <w:p w14:paraId="3ED25839">
                  <w:pPr>
                    <w:keepNext w:val="0"/>
                    <w:keepLines w:val="0"/>
                    <w:widowControl/>
                    <w:suppressLineNumbers w:val="0"/>
                    <w:jc w:val="both"/>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注：</w:t>
                  </w:r>
                  <w:r>
                    <w:rPr>
                      <w:rFonts w:hint="default" w:ascii="Times New Roman" w:hAnsi="Times New Roman" w:eastAsia="宋体" w:cs="Times New Roman"/>
                      <w:i w:val="0"/>
                      <w:iCs w:val="0"/>
                      <w:color w:val="0000FF"/>
                      <w:kern w:val="0"/>
                      <w:sz w:val="21"/>
                      <w:szCs w:val="21"/>
                      <w:u w:val="none"/>
                      <w:lang w:val="en-US" w:eastAsia="zh-CN" w:bidi="ar"/>
                    </w:rPr>
                    <w:t>VOCs</w:t>
                  </w:r>
                  <w:r>
                    <w:rPr>
                      <w:rFonts w:hint="eastAsia" w:ascii="宋体" w:hAnsi="宋体" w:eastAsia="宋体" w:cs="宋体"/>
                      <w:i w:val="0"/>
                      <w:iCs w:val="0"/>
                      <w:color w:val="0000FF"/>
                      <w:kern w:val="0"/>
                      <w:sz w:val="21"/>
                      <w:szCs w:val="21"/>
                      <w:u w:val="none"/>
                      <w:lang w:val="en-US" w:eastAsia="zh-CN" w:bidi="ar"/>
                    </w:rPr>
                    <w:t>产生量取原料成分表中挥发物的最大值。</w:t>
                  </w:r>
                </w:p>
              </w:tc>
            </w:tr>
          </w:tbl>
          <w:p w14:paraId="79D5973A">
            <w:pPr>
              <w:adjustRightInd w:val="0"/>
              <w:snapToGrid w:val="0"/>
              <w:spacing w:line="240" w:lineRule="auto"/>
              <w:ind w:firstLine="480" w:firstLineChars="200"/>
              <w:rPr>
                <w:rFonts w:hint="default" w:ascii="Times New Roman" w:hAnsi="Times New Roman" w:cs="Times New Roman"/>
                <w:color w:val="0000FF"/>
                <w:sz w:val="24"/>
                <w:highlight w:val="none"/>
              </w:rPr>
            </w:pPr>
            <w:r>
              <w:rPr>
                <w:rFonts w:hint="default" w:ascii="Times New Roman" w:hAnsi="Times New Roman" w:cs="Times New Roman"/>
                <w:color w:val="0000FF"/>
                <w:sz w:val="24"/>
                <w:highlight w:val="none"/>
                <w:lang w:val="en-US" w:eastAsia="zh-CN"/>
              </w:rPr>
              <w:t>本</w:t>
            </w:r>
            <w:r>
              <w:rPr>
                <w:rFonts w:hint="default" w:ascii="Times New Roman" w:hAnsi="Times New Roman" w:cs="Times New Roman"/>
                <w:color w:val="0000FF"/>
                <w:sz w:val="24"/>
                <w:highlight w:val="none"/>
              </w:rPr>
              <w:t>项目</w:t>
            </w:r>
            <w:r>
              <w:rPr>
                <w:rFonts w:hint="eastAsia" w:ascii="Times New Roman" w:hAnsi="Times New Roman" w:cs="Times New Roman"/>
                <w:color w:val="0000FF"/>
                <w:sz w:val="24"/>
                <w:highlight w:val="none"/>
                <w:lang w:val="en-US" w:eastAsia="zh-CN"/>
              </w:rPr>
              <w:t>VOCs</w:t>
            </w:r>
            <w:r>
              <w:rPr>
                <w:rFonts w:hint="default" w:ascii="Times New Roman" w:hAnsi="Times New Roman" w:cs="Times New Roman"/>
                <w:color w:val="0000FF"/>
                <w:sz w:val="24"/>
                <w:highlight w:val="none"/>
                <w:lang w:val="en-US" w:eastAsia="zh-CN"/>
              </w:rPr>
              <w:t>平衡详见图2.3-2</w:t>
            </w:r>
            <w:r>
              <w:rPr>
                <w:rFonts w:hint="default" w:ascii="Times New Roman" w:hAnsi="Times New Roman" w:cs="Times New Roman"/>
                <w:color w:val="0000FF"/>
                <w:sz w:val="24"/>
                <w:highlight w:val="none"/>
              </w:rPr>
              <w:t>。</w:t>
            </w:r>
          </w:p>
          <w:p w14:paraId="1ACD3C1F">
            <w:pPr>
              <w:keepNext w:val="0"/>
              <w:keepLines w:val="0"/>
              <w:widowControl/>
              <w:suppressLineNumbers w:val="0"/>
              <w:jc w:val="center"/>
              <w:rPr>
                <w:rFonts w:hint="default" w:ascii="Times New Roman" w:hAnsi="Times New Roman" w:cs="Times New Roman"/>
                <w:color w:val="0000FF"/>
                <w:highlight w:val="none"/>
              </w:rPr>
            </w:pPr>
            <w:r>
              <w:rPr>
                <w:rFonts w:hint="default" w:ascii="Times New Roman" w:hAnsi="Times New Roman" w:cs="Times New Roman"/>
                <w:color w:val="0000FF"/>
                <w:highlight w:val="none"/>
              </w:rPr>
              <w:object>
                <v:shape id="_x0000_i1026" o:spt="75" type="#_x0000_t75" style="height:552.6pt;width:316.2pt;" o:ole="t" filled="f" o:preferrelative="t" stroked="f" coordsize="21600,21600">
                  <v:path/>
                  <v:fill on="f" focussize="0,0"/>
                  <v:stroke on="f"/>
                  <v:imagedata r:id="rId15" o:title=""/>
                  <o:lock v:ext="edit" aspectratio="f"/>
                  <w10:wrap type="none"/>
                  <w10:anchorlock/>
                </v:shape>
                <o:OLEObject Type="Embed" ProgID="Visio.Drawing.15" ShapeID="_x0000_i1026" DrawAspect="Content" ObjectID="_1468075726" r:id="rId14">
                  <o:LockedField>false</o:LockedField>
                </o:OLEObject>
              </w:object>
            </w:r>
          </w:p>
          <w:p w14:paraId="016F65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0000FF"/>
                <w:sz w:val="24"/>
                <w:highlight w:val="none"/>
                <w:lang w:val="en-US" w:eastAsia="zh-CN"/>
              </w:rPr>
            </w:pPr>
            <w:r>
              <w:rPr>
                <w:rFonts w:hint="default" w:ascii="Times New Roman" w:hAnsi="Times New Roman" w:cs="Times New Roman"/>
                <w:b/>
                <w:bCs/>
                <w:color w:val="0000FF"/>
                <w:sz w:val="24"/>
                <w:highlight w:val="none"/>
                <w:lang w:val="en-US" w:eastAsia="zh-CN"/>
              </w:rPr>
              <w:t>图2.3-2</w:t>
            </w:r>
            <w:r>
              <w:rPr>
                <w:rFonts w:hint="eastAsia" w:cs="Times New Roman"/>
                <w:b/>
                <w:bCs/>
                <w:color w:val="0000FF"/>
                <w:sz w:val="24"/>
                <w:highlight w:val="none"/>
                <w:lang w:val="en-US" w:eastAsia="zh-CN"/>
              </w:rPr>
              <w:t>全厂</w:t>
            </w:r>
            <w:r>
              <w:rPr>
                <w:rFonts w:hint="eastAsia" w:ascii="Times New Roman" w:hAnsi="Times New Roman" w:cs="Times New Roman"/>
                <w:b/>
                <w:bCs/>
                <w:color w:val="0000FF"/>
                <w:sz w:val="24"/>
                <w:highlight w:val="none"/>
                <w:lang w:val="en-US" w:eastAsia="zh-CN"/>
              </w:rPr>
              <w:t>VOCs</w:t>
            </w:r>
            <w:r>
              <w:rPr>
                <w:rFonts w:hint="default" w:ascii="Times New Roman" w:hAnsi="Times New Roman" w:cs="Times New Roman"/>
                <w:b/>
                <w:bCs/>
                <w:color w:val="0000FF"/>
                <w:sz w:val="24"/>
                <w:highlight w:val="none"/>
                <w:lang w:val="en-US" w:eastAsia="zh-CN"/>
              </w:rPr>
              <w:t>平衡图（t/a）</w:t>
            </w:r>
          </w:p>
          <w:p w14:paraId="16FB9752">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2.4劳动定员及工作制度</w:t>
            </w:r>
          </w:p>
          <w:p w14:paraId="7A23F979">
            <w:pPr>
              <w:pStyle w:val="49"/>
              <w:keepNext w:val="0"/>
              <w:keepLines w:val="0"/>
              <w:pageBreakBefore w:val="0"/>
              <w:widowControl w:val="0"/>
              <w:kinsoku/>
              <w:wordWrap/>
              <w:overflowPunct/>
              <w:topLinePunct w:val="0"/>
              <w:autoSpaceDE/>
              <w:autoSpaceDN/>
              <w:bidi w:val="0"/>
              <w:ind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t>劳动定员</w:t>
            </w:r>
            <w:r>
              <w:rPr>
                <w:rFonts w:hint="eastAsia" w:cs="Times New Roman"/>
                <w:color w:val="auto"/>
                <w:szCs w:val="24"/>
                <w:highlight w:val="none"/>
                <w:lang w:eastAsia="zh-CN"/>
              </w:rPr>
              <w:t>：</w:t>
            </w:r>
            <w:r>
              <w:rPr>
                <w:rFonts w:hint="default" w:ascii="Times New Roman" w:hAnsi="Times New Roman" w:cs="Times New Roman"/>
                <w:color w:val="auto"/>
                <w:szCs w:val="24"/>
                <w:highlight w:val="none"/>
                <w:lang w:val="en-US" w:eastAsia="zh-CN"/>
              </w:rPr>
              <w:t>400</w:t>
            </w:r>
            <w:r>
              <w:rPr>
                <w:rFonts w:hint="default" w:ascii="Times New Roman" w:hAnsi="Times New Roman" w:cs="Times New Roman"/>
                <w:color w:val="auto"/>
                <w:highlight w:val="none"/>
              </w:rPr>
              <w:t>人。工作制度：年生产300d，1班制，8h/班。</w:t>
            </w:r>
          </w:p>
          <w:p w14:paraId="0D4DE9DD">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2.5平面布置</w:t>
            </w:r>
          </w:p>
          <w:p w14:paraId="396D877D">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highlight w:val="none"/>
              </w:rPr>
            </w:pPr>
            <w:r>
              <w:rPr>
                <w:rFonts w:hint="eastAsia" w:cs="Times New Roman"/>
                <w:color w:val="auto"/>
                <w:sz w:val="24"/>
                <w:highlight w:val="none"/>
                <w:lang w:val="en-US" w:eastAsia="zh-CN"/>
              </w:rPr>
              <w:t>项目租用</w:t>
            </w:r>
            <w:r>
              <w:rPr>
                <w:rFonts w:hint="default" w:ascii="Times New Roman" w:hAnsi="Times New Roman" w:cs="Times New Roman"/>
                <w:color w:val="auto"/>
                <w:sz w:val="24"/>
                <w:highlight w:val="none"/>
                <w:lang w:val="en-US" w:eastAsia="zh-CN"/>
              </w:rPr>
              <w:t>四川省达州市大竹县经开区川渝合作（达州•大竹）示范园区A区三期标准化厂房1、2号楼</w:t>
            </w:r>
            <w:r>
              <w:rPr>
                <w:rFonts w:hint="eastAsia" w:cs="Times New Roman"/>
                <w:color w:val="auto"/>
                <w:sz w:val="24"/>
                <w:highlight w:val="none"/>
                <w:lang w:val="en-US" w:eastAsia="zh-CN"/>
              </w:rPr>
              <w:t>，厂房高29.7m。</w:t>
            </w:r>
          </w:p>
          <w:p w14:paraId="68DF1993">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szCs w:val="20"/>
                <w:highlight w:val="none"/>
                <w:lang w:val="en-US" w:eastAsia="zh-CN"/>
              </w:rPr>
            </w:pPr>
            <w:r>
              <w:rPr>
                <w:rFonts w:hint="eastAsia" w:cs="Times New Roman"/>
                <w:color w:val="auto"/>
                <w:sz w:val="24"/>
                <w:szCs w:val="20"/>
                <w:highlight w:val="none"/>
                <w:lang w:val="en-US" w:eastAsia="zh-CN"/>
              </w:rPr>
              <w:t>1</w:t>
            </w:r>
            <w:r>
              <w:rPr>
                <w:rFonts w:hint="default" w:ascii="Times New Roman" w:hAnsi="Times New Roman" w:cs="Times New Roman"/>
                <w:color w:val="auto"/>
                <w:sz w:val="24"/>
                <w:szCs w:val="20"/>
                <w:highlight w:val="none"/>
                <w:lang w:val="en-US" w:eastAsia="zh-CN"/>
              </w:rPr>
              <w:t>号厂房</w:t>
            </w:r>
            <w:r>
              <w:rPr>
                <w:rFonts w:hint="eastAsia" w:cs="Times New Roman"/>
                <w:color w:val="auto"/>
                <w:sz w:val="24"/>
                <w:szCs w:val="20"/>
                <w:highlight w:val="none"/>
                <w:lang w:val="en-US" w:eastAsia="zh-CN"/>
              </w:rPr>
              <w:t>进行路由器注塑工序和移印工序，分五层。1号厂房1</w:t>
            </w:r>
            <w:r>
              <w:rPr>
                <w:rFonts w:hint="default" w:ascii="Times New Roman" w:hAnsi="Times New Roman" w:cs="Times New Roman"/>
                <w:color w:val="auto"/>
                <w:sz w:val="24"/>
                <w:szCs w:val="20"/>
                <w:highlight w:val="none"/>
                <w:lang w:val="en-US" w:eastAsia="zh-CN"/>
              </w:rPr>
              <w:t>楼</w:t>
            </w:r>
            <w:r>
              <w:rPr>
                <w:rFonts w:hint="default" w:ascii="Times New Roman" w:hAnsi="Times New Roman" w:cs="Times New Roman"/>
                <w:color w:val="auto"/>
                <w:sz w:val="24"/>
                <w:szCs w:val="20"/>
                <w:highlight w:val="none"/>
              </w:rPr>
              <w:t>布置</w:t>
            </w:r>
            <w:r>
              <w:rPr>
                <w:rFonts w:hint="eastAsia" w:cs="Times New Roman"/>
                <w:color w:val="auto"/>
                <w:sz w:val="24"/>
                <w:szCs w:val="20"/>
                <w:highlight w:val="none"/>
                <w:lang w:val="en-US" w:eastAsia="zh-CN"/>
              </w:rPr>
              <w:t>有</w:t>
            </w:r>
            <w:r>
              <w:rPr>
                <w:rFonts w:hint="default" w:ascii="Times New Roman" w:hAnsi="Times New Roman" w:cs="Times New Roman"/>
                <w:color w:val="auto"/>
                <w:sz w:val="24"/>
                <w:szCs w:val="20"/>
                <w:highlight w:val="none"/>
                <w:lang w:val="en-US" w:eastAsia="zh-CN"/>
              </w:rPr>
              <w:t>加料区、注塑区、行政人事办公室、行政仓库、超声波房</w:t>
            </w:r>
            <w:r>
              <w:rPr>
                <w:rFonts w:hint="eastAsia" w:cs="Times New Roman"/>
                <w:color w:val="auto"/>
                <w:sz w:val="24"/>
                <w:szCs w:val="20"/>
                <w:highlight w:val="none"/>
                <w:lang w:val="en-US" w:eastAsia="zh-CN"/>
              </w:rPr>
              <w:t>、</w:t>
            </w:r>
            <w:r>
              <w:rPr>
                <w:rFonts w:hint="default" w:ascii="Times New Roman" w:hAnsi="Times New Roman" w:cs="Times New Roman"/>
                <w:color w:val="auto"/>
                <w:sz w:val="24"/>
                <w:szCs w:val="20"/>
                <w:highlight w:val="none"/>
                <w:lang w:val="en-US" w:eastAsia="zh-CN"/>
              </w:rPr>
              <w:t>水塔、拌料房、破碎房、线边仓库、试音辅料房等。</w:t>
            </w:r>
            <w:r>
              <w:rPr>
                <w:rFonts w:hint="eastAsia" w:cs="Times New Roman"/>
                <w:color w:val="auto"/>
                <w:sz w:val="24"/>
                <w:szCs w:val="20"/>
                <w:highlight w:val="none"/>
                <w:lang w:val="en-US" w:eastAsia="zh-CN"/>
              </w:rPr>
              <w:t>1号厂房2</w:t>
            </w:r>
            <w:r>
              <w:rPr>
                <w:rFonts w:hint="default" w:ascii="Times New Roman" w:hAnsi="Times New Roman" w:cs="Times New Roman"/>
                <w:color w:val="auto"/>
                <w:sz w:val="24"/>
                <w:szCs w:val="20"/>
                <w:highlight w:val="none"/>
                <w:lang w:val="en-US" w:eastAsia="zh-CN"/>
              </w:rPr>
              <w:t>楼</w:t>
            </w:r>
            <w:r>
              <w:rPr>
                <w:rFonts w:hint="default" w:ascii="Times New Roman" w:hAnsi="Times New Roman" w:cs="Times New Roman"/>
                <w:color w:val="auto"/>
                <w:sz w:val="24"/>
                <w:szCs w:val="20"/>
                <w:highlight w:val="none"/>
              </w:rPr>
              <w:t>布置</w:t>
            </w:r>
            <w:r>
              <w:rPr>
                <w:rFonts w:hint="eastAsia" w:cs="Times New Roman"/>
                <w:color w:val="auto"/>
                <w:sz w:val="24"/>
                <w:szCs w:val="20"/>
                <w:highlight w:val="none"/>
                <w:lang w:val="en-US" w:eastAsia="zh-CN"/>
              </w:rPr>
              <w:t>有</w:t>
            </w:r>
            <w:r>
              <w:rPr>
                <w:rFonts w:hint="default" w:ascii="Times New Roman" w:hAnsi="Times New Roman" w:cs="Times New Roman"/>
                <w:color w:val="auto"/>
                <w:sz w:val="24"/>
                <w:szCs w:val="20"/>
                <w:highlight w:val="none"/>
                <w:lang w:val="en-US" w:eastAsia="zh-CN"/>
              </w:rPr>
              <w:t>吸塑盒放置区、整理包材区、待整理包材区、空箱放置区、五金工装设备区</w:t>
            </w:r>
            <w:r>
              <w:rPr>
                <w:rFonts w:hint="eastAsia" w:cs="Times New Roman"/>
                <w:color w:val="auto"/>
                <w:sz w:val="24"/>
                <w:szCs w:val="20"/>
                <w:highlight w:val="none"/>
                <w:lang w:val="en-US" w:eastAsia="zh-CN"/>
              </w:rPr>
              <w:t>、</w:t>
            </w:r>
            <w:r>
              <w:rPr>
                <w:rFonts w:hint="default" w:ascii="Times New Roman" w:hAnsi="Times New Roman" w:cs="Times New Roman"/>
                <w:color w:val="auto"/>
                <w:sz w:val="24"/>
                <w:szCs w:val="20"/>
                <w:highlight w:val="none"/>
                <w:lang w:val="en-US" w:eastAsia="zh-CN"/>
              </w:rPr>
              <w:t>临时组装车间、自动化治具放置区、包材区、临时手动移印车间等</w:t>
            </w:r>
            <w:r>
              <w:rPr>
                <w:rFonts w:hint="default" w:ascii="Times New Roman" w:hAnsi="Times New Roman" w:cs="Times New Roman"/>
                <w:color w:val="auto"/>
                <w:sz w:val="24"/>
                <w:szCs w:val="20"/>
                <w:highlight w:val="none"/>
                <w:lang w:eastAsia="zh-CN"/>
              </w:rPr>
              <w:t>。</w:t>
            </w:r>
            <w:r>
              <w:rPr>
                <w:rFonts w:hint="eastAsia" w:cs="Times New Roman"/>
                <w:color w:val="auto"/>
                <w:sz w:val="24"/>
                <w:szCs w:val="20"/>
                <w:highlight w:val="none"/>
                <w:lang w:val="en-US" w:eastAsia="zh-CN"/>
              </w:rPr>
              <w:t>1号厂房3</w:t>
            </w:r>
            <w:r>
              <w:rPr>
                <w:rFonts w:hint="default" w:ascii="Times New Roman" w:hAnsi="Times New Roman" w:cs="Times New Roman"/>
                <w:color w:val="auto"/>
                <w:sz w:val="24"/>
                <w:szCs w:val="20"/>
                <w:highlight w:val="none"/>
                <w:lang w:val="en-US" w:eastAsia="zh-CN"/>
              </w:rPr>
              <w:t>楼</w:t>
            </w:r>
            <w:r>
              <w:rPr>
                <w:rFonts w:hint="eastAsia" w:cs="Times New Roman"/>
                <w:color w:val="auto"/>
                <w:sz w:val="24"/>
                <w:szCs w:val="20"/>
                <w:highlight w:val="none"/>
                <w:lang w:val="en-US" w:eastAsia="zh-CN"/>
              </w:rPr>
              <w:t>4</w:t>
            </w:r>
            <w:r>
              <w:rPr>
                <w:rFonts w:hint="default" w:ascii="Times New Roman" w:hAnsi="Times New Roman" w:cs="Times New Roman"/>
                <w:color w:val="auto"/>
                <w:sz w:val="24"/>
                <w:szCs w:val="20"/>
                <w:highlight w:val="none"/>
                <w:lang w:val="en-US" w:eastAsia="zh-CN"/>
              </w:rPr>
              <w:t>楼均为</w:t>
            </w:r>
            <w:r>
              <w:rPr>
                <w:rFonts w:hint="eastAsia" w:ascii="Times New Roman" w:hAnsi="Times New Roman" w:cs="Times New Roman"/>
                <w:color w:val="auto"/>
                <w:sz w:val="24"/>
                <w:szCs w:val="20"/>
                <w:highlight w:val="none"/>
                <w:lang w:val="en-US" w:eastAsia="zh-CN"/>
              </w:rPr>
              <w:t>路由器</w:t>
            </w:r>
            <w:r>
              <w:rPr>
                <w:rFonts w:hint="default" w:ascii="Times New Roman" w:hAnsi="Times New Roman" w:cs="Times New Roman"/>
                <w:color w:val="auto"/>
                <w:sz w:val="24"/>
                <w:szCs w:val="20"/>
                <w:highlight w:val="none"/>
                <w:lang w:val="en-US" w:eastAsia="zh-CN"/>
              </w:rPr>
              <w:t>成品仓，</w:t>
            </w:r>
            <w:r>
              <w:rPr>
                <w:rFonts w:hint="eastAsia" w:cs="Times New Roman"/>
                <w:color w:val="auto"/>
                <w:sz w:val="24"/>
                <w:szCs w:val="20"/>
                <w:highlight w:val="none"/>
                <w:lang w:val="en-US" w:eastAsia="zh-CN"/>
              </w:rPr>
              <w:t>5</w:t>
            </w:r>
            <w:r>
              <w:rPr>
                <w:rFonts w:hint="default" w:ascii="Times New Roman" w:hAnsi="Times New Roman" w:cs="Times New Roman"/>
                <w:color w:val="auto"/>
                <w:sz w:val="24"/>
                <w:szCs w:val="20"/>
                <w:highlight w:val="none"/>
                <w:lang w:val="en-US" w:eastAsia="zh-CN"/>
              </w:rPr>
              <w:t>楼空置。</w:t>
            </w:r>
            <w:r>
              <w:rPr>
                <w:rFonts w:hint="eastAsia" w:cs="Times New Roman"/>
                <w:color w:val="auto"/>
                <w:sz w:val="24"/>
                <w:szCs w:val="20"/>
                <w:highlight w:val="none"/>
                <w:lang w:val="en-US" w:eastAsia="zh-CN"/>
              </w:rPr>
              <w:t>1号厂房废气处理设施布置在1号厂房顶楼。</w:t>
            </w:r>
          </w:p>
          <w:p w14:paraId="18064F2E">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cs="Times New Roman"/>
                <w:color w:val="auto"/>
                <w:sz w:val="24"/>
                <w:szCs w:val="20"/>
                <w:highlight w:val="none"/>
                <w:lang w:val="en-US" w:eastAsia="zh-CN"/>
              </w:rPr>
            </w:pPr>
            <w:r>
              <w:rPr>
                <w:rFonts w:hint="eastAsia" w:cs="Times New Roman"/>
                <w:color w:val="auto"/>
                <w:sz w:val="24"/>
                <w:szCs w:val="20"/>
                <w:highlight w:val="none"/>
                <w:lang w:val="en-US" w:eastAsia="zh-CN"/>
              </w:rPr>
              <w:t>2</w:t>
            </w:r>
            <w:r>
              <w:rPr>
                <w:rFonts w:hint="default" w:ascii="Times New Roman" w:hAnsi="Times New Roman" w:cs="Times New Roman"/>
                <w:color w:val="auto"/>
                <w:sz w:val="24"/>
                <w:szCs w:val="20"/>
                <w:highlight w:val="none"/>
                <w:lang w:val="en-US" w:eastAsia="zh-CN"/>
              </w:rPr>
              <w:t>号厂房</w:t>
            </w:r>
            <w:r>
              <w:rPr>
                <w:rFonts w:hint="eastAsia" w:cs="Times New Roman"/>
                <w:color w:val="auto"/>
                <w:sz w:val="24"/>
                <w:szCs w:val="20"/>
                <w:highlight w:val="none"/>
                <w:lang w:val="en-US" w:eastAsia="zh-CN"/>
              </w:rPr>
              <w:t>进行手机充电器塑胶外壳注塑工序，分五层。2</w:t>
            </w:r>
            <w:r>
              <w:rPr>
                <w:rFonts w:hint="default" w:ascii="Times New Roman" w:hAnsi="Times New Roman" w:cs="Times New Roman"/>
                <w:color w:val="auto"/>
                <w:sz w:val="24"/>
                <w:szCs w:val="20"/>
                <w:highlight w:val="none"/>
                <w:lang w:val="en-US" w:eastAsia="zh-CN"/>
              </w:rPr>
              <w:t>号厂房</w:t>
            </w:r>
            <w:r>
              <w:rPr>
                <w:rFonts w:hint="eastAsia" w:cs="Times New Roman"/>
                <w:color w:val="auto"/>
                <w:sz w:val="24"/>
                <w:szCs w:val="20"/>
                <w:highlight w:val="none"/>
                <w:lang w:val="en-US" w:eastAsia="zh-CN"/>
              </w:rPr>
              <w:t>1</w:t>
            </w:r>
            <w:r>
              <w:rPr>
                <w:rFonts w:hint="default" w:ascii="Times New Roman" w:hAnsi="Times New Roman" w:cs="Times New Roman"/>
                <w:color w:val="auto"/>
                <w:sz w:val="24"/>
                <w:szCs w:val="20"/>
                <w:highlight w:val="none"/>
                <w:lang w:val="en-US" w:eastAsia="zh-CN"/>
              </w:rPr>
              <w:t>楼布置</w:t>
            </w:r>
            <w:r>
              <w:rPr>
                <w:rFonts w:hint="eastAsia" w:cs="Times New Roman"/>
                <w:color w:val="auto"/>
                <w:sz w:val="24"/>
                <w:szCs w:val="20"/>
                <w:highlight w:val="none"/>
                <w:lang w:val="en-US" w:eastAsia="zh-CN"/>
              </w:rPr>
              <w:t>有</w:t>
            </w:r>
            <w:r>
              <w:rPr>
                <w:rFonts w:hint="default" w:ascii="Times New Roman" w:hAnsi="Times New Roman" w:cs="Times New Roman"/>
                <w:color w:val="auto"/>
                <w:sz w:val="24"/>
                <w:szCs w:val="20"/>
                <w:highlight w:val="none"/>
                <w:lang w:val="en-US" w:eastAsia="zh-CN"/>
              </w:rPr>
              <w:t>品质杂物间、盐雾实验室、品质测量室、品质实验室、注塑区、加料区</w:t>
            </w:r>
            <w:r>
              <w:rPr>
                <w:rFonts w:hint="eastAsia" w:cs="Times New Roman"/>
                <w:color w:val="auto"/>
                <w:sz w:val="24"/>
                <w:szCs w:val="20"/>
                <w:highlight w:val="none"/>
                <w:lang w:val="en-US" w:eastAsia="zh-CN"/>
              </w:rPr>
              <w:t>、</w:t>
            </w:r>
            <w:r>
              <w:rPr>
                <w:rFonts w:hint="default" w:ascii="Times New Roman" w:hAnsi="Times New Roman" w:cs="Times New Roman"/>
                <w:color w:val="auto"/>
                <w:sz w:val="24"/>
                <w:szCs w:val="20"/>
                <w:highlight w:val="none"/>
                <w:lang w:val="en-US" w:eastAsia="zh-CN"/>
              </w:rPr>
              <w:t>生产资料室、生产工具房、生产备件房、OQC检查区、OQC待检区、不合格区、五金回收房、机修工具房、模温机维修区等。</w:t>
            </w:r>
            <w:r>
              <w:rPr>
                <w:rFonts w:hint="eastAsia" w:cs="Times New Roman"/>
                <w:color w:val="auto"/>
                <w:sz w:val="24"/>
                <w:szCs w:val="20"/>
                <w:highlight w:val="none"/>
                <w:lang w:val="en-US" w:eastAsia="zh-CN"/>
              </w:rPr>
              <w:t>2号厂房2</w:t>
            </w:r>
            <w:r>
              <w:rPr>
                <w:rFonts w:hint="default" w:ascii="Times New Roman" w:hAnsi="Times New Roman" w:cs="Times New Roman"/>
                <w:color w:val="auto"/>
                <w:sz w:val="24"/>
                <w:szCs w:val="20"/>
                <w:highlight w:val="none"/>
                <w:lang w:val="en-US" w:eastAsia="zh-CN"/>
              </w:rPr>
              <w:t>楼</w:t>
            </w:r>
            <w:r>
              <w:rPr>
                <w:rFonts w:hint="default" w:ascii="Times New Roman" w:hAnsi="Times New Roman" w:cs="Times New Roman"/>
                <w:color w:val="auto"/>
                <w:sz w:val="24"/>
                <w:szCs w:val="20"/>
                <w:highlight w:val="none"/>
              </w:rPr>
              <w:t>布置</w:t>
            </w:r>
            <w:r>
              <w:rPr>
                <w:rFonts w:hint="eastAsia" w:cs="Times New Roman"/>
                <w:color w:val="auto"/>
                <w:sz w:val="24"/>
                <w:szCs w:val="20"/>
                <w:highlight w:val="none"/>
                <w:lang w:val="en-US" w:eastAsia="zh-CN"/>
              </w:rPr>
              <w:t>有</w:t>
            </w:r>
            <w:r>
              <w:rPr>
                <w:rFonts w:hint="default" w:ascii="Times New Roman" w:hAnsi="Times New Roman" w:cs="Times New Roman"/>
                <w:color w:val="auto"/>
                <w:sz w:val="24"/>
                <w:szCs w:val="20"/>
                <w:highlight w:val="none"/>
                <w:lang w:val="en-US" w:eastAsia="zh-CN"/>
              </w:rPr>
              <w:t>计算机房、会议室、原材料仓库</w:t>
            </w:r>
            <w:r>
              <w:rPr>
                <w:rFonts w:hint="eastAsia" w:cs="Times New Roman"/>
                <w:color w:val="auto"/>
                <w:sz w:val="24"/>
                <w:szCs w:val="20"/>
                <w:highlight w:val="none"/>
                <w:lang w:val="en-US" w:eastAsia="zh-CN"/>
              </w:rPr>
              <w:t>、</w:t>
            </w:r>
            <w:r>
              <w:rPr>
                <w:rFonts w:hint="default" w:ascii="Times New Roman" w:hAnsi="Times New Roman" w:cs="Times New Roman"/>
                <w:color w:val="auto"/>
                <w:sz w:val="24"/>
                <w:szCs w:val="20"/>
                <w:highlight w:val="none"/>
                <w:lang w:val="en-US" w:eastAsia="zh-CN"/>
              </w:rPr>
              <w:t>业务总监办公室、财务总监办公室、总经理办公室、仓库办公室、临时堂食区、五金仓库等</w:t>
            </w:r>
            <w:r>
              <w:rPr>
                <w:rFonts w:hint="default" w:ascii="Times New Roman" w:hAnsi="Times New Roman" w:cs="Times New Roman"/>
                <w:color w:val="auto"/>
                <w:sz w:val="24"/>
                <w:szCs w:val="20"/>
                <w:highlight w:val="none"/>
                <w:lang w:eastAsia="zh-CN"/>
              </w:rPr>
              <w:t>。</w:t>
            </w:r>
            <w:r>
              <w:rPr>
                <w:rFonts w:hint="eastAsia" w:cs="Times New Roman"/>
                <w:color w:val="auto"/>
                <w:sz w:val="24"/>
                <w:szCs w:val="20"/>
                <w:highlight w:val="none"/>
                <w:lang w:val="en-US" w:eastAsia="zh-CN"/>
              </w:rPr>
              <w:t>2</w:t>
            </w:r>
            <w:r>
              <w:rPr>
                <w:rFonts w:hint="default" w:ascii="Times New Roman" w:hAnsi="Times New Roman" w:cs="Times New Roman"/>
                <w:color w:val="auto"/>
                <w:sz w:val="24"/>
                <w:szCs w:val="20"/>
                <w:highlight w:val="none"/>
                <w:lang w:val="en-US" w:eastAsia="zh-CN"/>
              </w:rPr>
              <w:t>号厂房</w:t>
            </w:r>
            <w:r>
              <w:rPr>
                <w:rFonts w:hint="eastAsia" w:cs="Times New Roman"/>
                <w:color w:val="auto"/>
                <w:sz w:val="24"/>
                <w:szCs w:val="20"/>
                <w:highlight w:val="none"/>
                <w:lang w:val="en-US" w:eastAsia="zh-CN"/>
              </w:rPr>
              <w:t>3</w:t>
            </w:r>
            <w:r>
              <w:rPr>
                <w:rFonts w:hint="default" w:ascii="Times New Roman" w:hAnsi="Times New Roman" w:cs="Times New Roman"/>
                <w:color w:val="auto"/>
                <w:sz w:val="24"/>
                <w:szCs w:val="20"/>
                <w:highlight w:val="none"/>
                <w:lang w:val="en-US" w:eastAsia="zh-CN"/>
              </w:rPr>
              <w:t>楼</w:t>
            </w:r>
            <w:r>
              <w:rPr>
                <w:rFonts w:hint="eastAsia" w:cs="Times New Roman"/>
                <w:color w:val="auto"/>
                <w:sz w:val="24"/>
                <w:szCs w:val="20"/>
                <w:highlight w:val="none"/>
                <w:lang w:val="en-US" w:eastAsia="zh-CN"/>
              </w:rPr>
              <w:t>4</w:t>
            </w:r>
            <w:r>
              <w:rPr>
                <w:rFonts w:hint="default" w:ascii="Times New Roman" w:hAnsi="Times New Roman" w:cs="Times New Roman"/>
                <w:color w:val="auto"/>
                <w:sz w:val="24"/>
                <w:szCs w:val="20"/>
                <w:highlight w:val="none"/>
                <w:lang w:val="en-US" w:eastAsia="zh-CN"/>
              </w:rPr>
              <w:t>楼均为手机充电器塑胶外壳成品仓，</w:t>
            </w:r>
            <w:r>
              <w:rPr>
                <w:rFonts w:hint="eastAsia" w:cs="Times New Roman"/>
                <w:color w:val="auto"/>
                <w:sz w:val="24"/>
                <w:szCs w:val="20"/>
                <w:highlight w:val="none"/>
                <w:lang w:val="en-US" w:eastAsia="zh-CN"/>
              </w:rPr>
              <w:t>5</w:t>
            </w:r>
            <w:r>
              <w:rPr>
                <w:rFonts w:hint="default" w:ascii="Times New Roman" w:hAnsi="Times New Roman" w:cs="Times New Roman"/>
                <w:color w:val="auto"/>
                <w:sz w:val="24"/>
                <w:szCs w:val="20"/>
                <w:highlight w:val="none"/>
                <w:lang w:val="en-US" w:eastAsia="zh-CN"/>
              </w:rPr>
              <w:t>楼空置。</w:t>
            </w:r>
            <w:r>
              <w:rPr>
                <w:rFonts w:hint="eastAsia" w:cs="Times New Roman"/>
                <w:color w:val="auto"/>
                <w:sz w:val="24"/>
                <w:szCs w:val="20"/>
                <w:highlight w:val="none"/>
                <w:lang w:val="en-US" w:eastAsia="zh-CN"/>
              </w:rPr>
              <w:t>2号厂房废气处理设施布置在2号厂房顶楼。</w:t>
            </w:r>
          </w:p>
          <w:p w14:paraId="7C9766C0">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highlight w:val="none"/>
              </w:rPr>
            </w:pPr>
            <w:r>
              <w:rPr>
                <w:rFonts w:hint="eastAsia" w:cs="Times New Roman"/>
                <w:color w:val="auto"/>
                <w:sz w:val="24"/>
                <w:szCs w:val="20"/>
                <w:highlight w:val="none"/>
                <w:lang w:val="en-US" w:eastAsia="zh-CN"/>
              </w:rPr>
              <w:t>根据现场调查，本项目仅在南方有零散住户，且距离均在100m以上，项目对其产生的影响较小，在可控范围内。同时本项目在1号厂房外西侧设置危险废物贮存库和一般固废暂存间。</w:t>
            </w:r>
            <w:r>
              <w:rPr>
                <w:rFonts w:hint="default" w:ascii="Times New Roman" w:hAnsi="Times New Roman" w:cs="Times New Roman"/>
                <w:color w:val="auto"/>
                <w:sz w:val="24"/>
                <w:szCs w:val="20"/>
                <w:highlight w:val="none"/>
              </w:rPr>
              <w:t>厂房内办公区与生产区分开，</w:t>
            </w:r>
            <w:r>
              <w:rPr>
                <w:rFonts w:hint="default" w:ascii="Times New Roman" w:hAnsi="Times New Roman" w:cs="Times New Roman"/>
                <w:bCs/>
                <w:color w:val="auto"/>
                <w:sz w:val="24"/>
                <w:highlight w:val="none"/>
              </w:rPr>
              <w:t>厂房内布置符合工艺要求及物料要求，做到分区明确，线路短捷，避免迂回，减少交叉，装卸运输方便，项目平面布置较为合理。</w:t>
            </w:r>
          </w:p>
          <w:p w14:paraId="1955BE33">
            <w:pPr>
              <w:pStyle w:val="53"/>
              <w:keepNext w:val="0"/>
              <w:keepLines w:val="0"/>
              <w:pageBreakBefore w:val="0"/>
              <w:widowControl w:val="0"/>
              <w:tabs>
                <w:tab w:val="left" w:pos="540"/>
                <w:tab w:val="left" w:pos="1080"/>
                <w:tab w:val="left" w:pos="1800"/>
              </w:tabs>
              <w:kinsoku/>
              <w:wordWrap/>
              <w:overflowPunct/>
              <w:topLinePunct w:val="0"/>
              <w:autoSpaceDE/>
              <w:autoSpaceDN/>
              <w:bidi w:val="0"/>
              <w:ind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企业总平面布局能满足生产工艺和质量卫生要求并符合规划、环保等要求。总平面布置图详见附图2。</w:t>
            </w:r>
          </w:p>
        </w:tc>
      </w:tr>
      <w:tr w14:paraId="09635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9" w:type="dxa"/>
            <w:noWrap w:val="0"/>
            <w:vAlign w:val="center"/>
          </w:tcPr>
          <w:p w14:paraId="143ED37E">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工艺流程和产排污环节</w:t>
            </w:r>
          </w:p>
        </w:tc>
        <w:tc>
          <w:tcPr>
            <w:tcW w:w="8795" w:type="dxa"/>
            <w:noWrap w:val="0"/>
            <w:vAlign w:val="top"/>
          </w:tcPr>
          <w:p w14:paraId="1217EC85">
            <w:pPr>
              <w:adjustRightInd w:val="0"/>
              <w:snapToGrid w:val="0"/>
              <w:spacing w:line="360" w:lineRule="auto"/>
              <w:rPr>
                <w:rFonts w:hint="default" w:ascii="Times New Roman" w:hAnsi="Times New Roman" w:cs="Times New Roman"/>
                <w:b/>
                <w:color w:val="auto"/>
                <w:sz w:val="24"/>
              </w:rPr>
            </w:pPr>
            <w:r>
              <w:rPr>
                <w:rFonts w:hint="default" w:ascii="Times New Roman" w:hAnsi="Times New Roman" w:cs="Times New Roman"/>
                <w:b/>
                <w:color w:val="auto"/>
                <w:sz w:val="24"/>
              </w:rPr>
              <w:t>2.6工艺流程简述（图示）</w:t>
            </w:r>
          </w:p>
          <w:p w14:paraId="5B4DCC43">
            <w:pPr>
              <w:pStyle w:val="20"/>
              <w:spacing w:after="0" w:line="360" w:lineRule="auto"/>
              <w:ind w:left="0" w:leftChars="0"/>
              <w:jc w:val="left"/>
              <w:rPr>
                <w:rFonts w:hint="default" w:ascii="Times New Roman" w:hAnsi="Times New Roman" w:cs="Times New Roman"/>
                <w:b/>
                <w:bCs/>
                <w:color w:val="auto"/>
                <w:kern w:val="0"/>
                <w:sz w:val="24"/>
                <w:szCs w:val="20"/>
              </w:rPr>
            </w:pPr>
            <w:r>
              <w:rPr>
                <w:rFonts w:hint="default" w:ascii="Times New Roman" w:hAnsi="Times New Roman" w:cs="Times New Roman"/>
                <w:b/>
                <w:bCs/>
                <w:color w:val="auto"/>
                <w:kern w:val="0"/>
                <w:sz w:val="24"/>
                <w:szCs w:val="20"/>
              </w:rPr>
              <w:t>2.6.1施工期工艺流程及产污环节</w:t>
            </w:r>
          </w:p>
          <w:p w14:paraId="2C66FFE3">
            <w:pPr>
              <w:widowControl/>
              <w:spacing w:line="360" w:lineRule="auto"/>
              <w:ind w:firstLine="480" w:firstLineChars="200"/>
              <w:jc w:val="left"/>
              <w:rPr>
                <w:rFonts w:hint="default" w:ascii="Times New Roman" w:hAnsi="Times New Roman" w:cs="Times New Roman"/>
                <w:color w:val="0000FF"/>
                <w:kern w:val="0"/>
                <w:sz w:val="24"/>
                <w:szCs w:val="20"/>
              </w:rPr>
            </w:pPr>
            <w:r>
              <w:rPr>
                <w:rFonts w:hint="default" w:ascii="Times New Roman" w:hAnsi="Times New Roman" w:cs="Times New Roman"/>
                <w:color w:val="0000FF"/>
                <w:kern w:val="0"/>
                <w:sz w:val="24"/>
                <w:szCs w:val="20"/>
              </w:rPr>
              <w:t>本项目施工期包含</w:t>
            </w:r>
            <w:r>
              <w:rPr>
                <w:rFonts w:hint="eastAsia" w:cs="Times New Roman"/>
                <w:color w:val="0000FF"/>
                <w:kern w:val="0"/>
                <w:sz w:val="24"/>
                <w:szCs w:val="20"/>
                <w:lang w:val="en-US" w:eastAsia="zh-CN"/>
              </w:rPr>
              <w:t>3</w:t>
            </w:r>
            <w:r>
              <w:rPr>
                <w:rFonts w:hint="default" w:ascii="Times New Roman" w:hAnsi="Times New Roman" w:cs="Times New Roman"/>
                <w:color w:val="0000FF"/>
                <w:kern w:val="0"/>
                <w:sz w:val="24"/>
                <w:szCs w:val="20"/>
              </w:rPr>
              <w:t>个阶段。</w:t>
            </w:r>
          </w:p>
          <w:p w14:paraId="46317113">
            <w:pPr>
              <w:widowControl/>
              <w:spacing w:line="360" w:lineRule="auto"/>
              <w:ind w:firstLine="480" w:firstLineChars="200"/>
              <w:jc w:val="left"/>
              <w:rPr>
                <w:rFonts w:hint="default" w:ascii="Times New Roman" w:hAnsi="Times New Roman" w:cs="Times New Roman"/>
                <w:color w:val="0000FF"/>
                <w:kern w:val="0"/>
                <w:sz w:val="24"/>
                <w:szCs w:val="20"/>
              </w:rPr>
            </w:pPr>
            <w:r>
              <w:rPr>
                <w:rFonts w:hint="default" w:ascii="Times New Roman" w:hAnsi="Times New Roman" w:cs="Times New Roman"/>
                <w:color w:val="0000FF"/>
                <w:kern w:val="0"/>
                <w:sz w:val="24"/>
                <w:szCs w:val="20"/>
              </w:rPr>
              <w:t>第一阶段：拆除老厂区的设备，设备利旧使用。</w:t>
            </w:r>
          </w:p>
          <w:p w14:paraId="24C1A1E6">
            <w:pPr>
              <w:widowControl/>
              <w:spacing w:line="360" w:lineRule="auto"/>
              <w:ind w:firstLine="480" w:firstLineChars="200"/>
              <w:jc w:val="left"/>
              <w:rPr>
                <w:rFonts w:hint="default" w:ascii="Times New Roman" w:hAnsi="Times New Roman" w:cs="Times New Roman"/>
                <w:color w:val="0000FF"/>
                <w:kern w:val="0"/>
                <w:sz w:val="24"/>
                <w:szCs w:val="20"/>
              </w:rPr>
            </w:pPr>
            <w:r>
              <w:rPr>
                <w:rFonts w:hint="default" w:ascii="Times New Roman" w:hAnsi="Times New Roman" w:cs="Times New Roman"/>
                <w:color w:val="0000FF"/>
                <w:kern w:val="0"/>
                <w:sz w:val="24"/>
                <w:szCs w:val="20"/>
              </w:rPr>
              <w:t>第二阶段：新厂区设备进厂，厂房装修及设备安装。</w:t>
            </w:r>
          </w:p>
          <w:p w14:paraId="25049BE5">
            <w:pPr>
              <w:widowControl/>
              <w:spacing w:line="360" w:lineRule="auto"/>
              <w:ind w:firstLine="480" w:firstLineChars="200"/>
              <w:jc w:val="left"/>
              <w:rPr>
                <w:rFonts w:hint="default" w:ascii="Times New Roman" w:hAnsi="Times New Roman" w:cs="Times New Roman"/>
                <w:color w:val="0000FF"/>
                <w:kern w:val="0"/>
                <w:sz w:val="24"/>
                <w:szCs w:val="20"/>
              </w:rPr>
            </w:pPr>
            <w:r>
              <w:rPr>
                <w:rFonts w:hint="default" w:ascii="Times New Roman" w:hAnsi="Times New Roman" w:cs="Times New Roman"/>
                <w:color w:val="0000FF"/>
                <w:kern w:val="0"/>
                <w:sz w:val="24"/>
                <w:szCs w:val="20"/>
              </w:rPr>
              <w:t>第</w:t>
            </w:r>
            <w:r>
              <w:rPr>
                <w:rFonts w:hint="eastAsia" w:ascii="Times New Roman" w:hAnsi="Times New Roman" w:cs="Times New Roman"/>
                <w:color w:val="0000FF"/>
                <w:kern w:val="0"/>
                <w:sz w:val="24"/>
                <w:szCs w:val="20"/>
                <w:lang w:val="en-US" w:eastAsia="zh-CN"/>
              </w:rPr>
              <w:t>三</w:t>
            </w:r>
            <w:r>
              <w:rPr>
                <w:rFonts w:hint="default" w:ascii="Times New Roman" w:hAnsi="Times New Roman" w:cs="Times New Roman"/>
                <w:color w:val="0000FF"/>
                <w:kern w:val="0"/>
                <w:sz w:val="24"/>
                <w:szCs w:val="20"/>
              </w:rPr>
              <w:t>阶段：新厂区</w:t>
            </w:r>
            <w:r>
              <w:rPr>
                <w:rFonts w:hint="eastAsia" w:ascii="Times New Roman" w:hAnsi="Times New Roman" w:cs="Times New Roman"/>
                <w:color w:val="0000FF"/>
                <w:kern w:val="0"/>
                <w:sz w:val="24"/>
                <w:szCs w:val="20"/>
                <w:lang w:val="en-US" w:eastAsia="zh-CN"/>
              </w:rPr>
              <w:t>调试及验收</w:t>
            </w:r>
            <w:r>
              <w:rPr>
                <w:rFonts w:hint="default" w:ascii="Times New Roman" w:hAnsi="Times New Roman" w:cs="Times New Roman"/>
                <w:color w:val="0000FF"/>
                <w:kern w:val="0"/>
                <w:sz w:val="24"/>
                <w:szCs w:val="20"/>
              </w:rPr>
              <w:t>。</w:t>
            </w:r>
          </w:p>
          <w:p w14:paraId="5B24C21C">
            <w:pPr>
              <w:widowControl/>
              <w:spacing w:line="360" w:lineRule="auto"/>
              <w:ind w:firstLine="480" w:firstLineChars="200"/>
              <w:jc w:val="left"/>
              <w:rPr>
                <w:rFonts w:hint="default" w:ascii="Times New Roman" w:hAnsi="Times New Roman" w:cs="Times New Roman"/>
                <w:color w:val="0000FF"/>
                <w:kern w:val="0"/>
                <w:sz w:val="24"/>
                <w:szCs w:val="20"/>
              </w:rPr>
            </w:pPr>
            <w:r>
              <w:rPr>
                <w:rFonts w:hint="default" w:ascii="Times New Roman" w:hAnsi="Times New Roman" w:cs="Times New Roman"/>
                <w:color w:val="0000FF"/>
                <w:kern w:val="0"/>
                <w:sz w:val="24"/>
                <w:szCs w:val="20"/>
              </w:rPr>
              <w:t>项目施工期间污染主要为设备运输、安装期间产生的噪声，设备安装期的影响较短暂，随着安装调试的结束，施工期环境影响随即停止。其作业流程及产排污详见图2.</w:t>
            </w:r>
            <w:r>
              <w:rPr>
                <w:rFonts w:hint="default" w:ascii="Times New Roman" w:hAnsi="Times New Roman" w:cs="Times New Roman"/>
                <w:color w:val="0000FF"/>
                <w:kern w:val="0"/>
                <w:sz w:val="24"/>
                <w:szCs w:val="20"/>
                <w:lang w:val="en-US" w:eastAsia="zh-CN"/>
              </w:rPr>
              <w:t>6-1</w:t>
            </w:r>
            <w:r>
              <w:rPr>
                <w:rFonts w:hint="default" w:ascii="Times New Roman" w:hAnsi="Times New Roman" w:cs="Times New Roman"/>
                <w:color w:val="0000FF"/>
                <w:kern w:val="0"/>
                <w:sz w:val="24"/>
                <w:szCs w:val="20"/>
              </w:rPr>
              <w:t>。</w:t>
            </w:r>
          </w:p>
          <w:p w14:paraId="24EB65BC">
            <w:pPr>
              <w:keepNext w:val="0"/>
              <w:keepLines w:val="0"/>
              <w:widowControl/>
              <w:suppressLineNumbers w:val="0"/>
              <w:jc w:val="center"/>
              <w:rPr>
                <w:rFonts w:hint="default" w:ascii="Times New Roman" w:hAnsi="Times New Roman" w:cs="Times New Roman"/>
                <w:color w:val="0000FF"/>
              </w:rPr>
            </w:pPr>
            <w:r>
              <w:rPr>
                <w:rFonts w:hint="default" w:ascii="Times New Roman" w:hAnsi="Times New Roman" w:cs="Times New Roman"/>
                <w:color w:val="0000FF"/>
              </w:rPr>
              <w:object>
                <v:shape id="_x0000_i1027" o:spt="75" type="#_x0000_t75" style="height:112.5pt;width:390.7pt;" o:ole="t" filled="f" o:preferrelative="t" stroked="f" coordsize="21600,21600">
                  <v:path/>
                  <v:fill on="f" focussize="0,0"/>
                  <v:stroke on="f"/>
                  <v:imagedata r:id="rId17" o:title=""/>
                  <o:lock v:ext="edit" aspectratio="f"/>
                  <w10:wrap type="none"/>
                  <w10:anchorlock/>
                </v:shape>
                <o:OLEObject Type="Embed" ProgID="Visio.Drawing.15" ShapeID="_x0000_i1027" DrawAspect="Content" ObjectID="_1468075727" r:id="rId16">
                  <o:LockedField>false</o:LockedField>
                </o:OLEObject>
              </w:object>
            </w:r>
          </w:p>
          <w:p w14:paraId="711DB2D9">
            <w:pPr>
              <w:pStyle w:val="20"/>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b/>
                <w:bCs/>
                <w:color w:val="0000FF"/>
                <w:kern w:val="0"/>
                <w:sz w:val="24"/>
                <w:szCs w:val="24"/>
              </w:rPr>
            </w:pPr>
            <w:r>
              <w:rPr>
                <w:rFonts w:hint="default" w:ascii="Times New Roman" w:hAnsi="Times New Roman" w:cs="Times New Roman"/>
                <w:b/>
                <w:bCs/>
                <w:color w:val="0000FF"/>
                <w:kern w:val="0"/>
                <w:sz w:val="24"/>
                <w:szCs w:val="24"/>
              </w:rPr>
              <w:t>图2.</w:t>
            </w:r>
            <w:r>
              <w:rPr>
                <w:rFonts w:hint="default" w:ascii="Times New Roman" w:hAnsi="Times New Roman" w:cs="Times New Roman"/>
                <w:b/>
                <w:bCs/>
                <w:color w:val="0000FF"/>
                <w:kern w:val="0"/>
                <w:sz w:val="24"/>
                <w:szCs w:val="24"/>
                <w:lang w:val="en-US" w:eastAsia="zh-CN"/>
              </w:rPr>
              <w:t>6-1</w:t>
            </w:r>
            <w:r>
              <w:rPr>
                <w:rFonts w:hint="default" w:ascii="Times New Roman" w:hAnsi="Times New Roman" w:cs="Times New Roman"/>
                <w:b/>
                <w:bCs/>
                <w:color w:val="0000FF"/>
                <w:kern w:val="0"/>
                <w:sz w:val="24"/>
                <w:szCs w:val="24"/>
              </w:rPr>
              <w:t xml:space="preserve"> 施工期工艺流程及产污环节图</w:t>
            </w:r>
          </w:p>
          <w:p w14:paraId="2C69D1D1">
            <w:pPr>
              <w:keepNext w:val="0"/>
              <w:keepLines w:val="0"/>
              <w:pageBreakBefore w:val="0"/>
              <w:widowControl/>
              <w:kinsoku/>
              <w:wordWrap/>
              <w:overflowPunct/>
              <w:topLinePunct w:val="0"/>
              <w:autoSpaceDE/>
              <w:autoSpaceDN/>
              <w:bidi w:val="0"/>
              <w:spacing w:line="360" w:lineRule="auto"/>
              <w:ind w:firstLine="482" w:firstLineChars="200"/>
              <w:jc w:val="left"/>
              <w:textAlignment w:val="auto"/>
              <w:rPr>
                <w:rFonts w:hint="eastAsia" w:ascii="Times New Roman" w:hAnsi="Times New Roman" w:eastAsia="宋体" w:cs="Times New Roman"/>
                <w:b/>
                <w:bCs/>
                <w:color w:val="0000FF"/>
                <w:kern w:val="0"/>
                <w:sz w:val="24"/>
                <w:szCs w:val="20"/>
                <w:lang w:val="en-US" w:eastAsia="zh-CN"/>
              </w:rPr>
            </w:pPr>
            <w:r>
              <w:rPr>
                <w:rFonts w:hint="eastAsia" w:cs="Times New Roman"/>
                <w:b/>
                <w:bCs/>
                <w:color w:val="0000FF"/>
                <w:kern w:val="0"/>
                <w:sz w:val="24"/>
                <w:szCs w:val="20"/>
                <w:lang w:val="en-US" w:eastAsia="zh-CN"/>
              </w:rPr>
              <w:t>产污环节：</w:t>
            </w:r>
          </w:p>
          <w:p w14:paraId="091FB759">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default" w:ascii="Times New Roman" w:hAnsi="Times New Roman" w:cs="Times New Roman"/>
                <w:color w:val="0000FF"/>
                <w:kern w:val="0"/>
                <w:sz w:val="24"/>
                <w:szCs w:val="20"/>
                <w:lang w:val="en-US" w:eastAsia="zh-CN"/>
              </w:rPr>
            </w:pPr>
            <w:r>
              <w:rPr>
                <w:rFonts w:hint="default" w:ascii="Times New Roman" w:hAnsi="Times New Roman" w:cs="Times New Roman"/>
                <w:color w:val="0000FF"/>
                <w:kern w:val="0"/>
                <w:sz w:val="24"/>
                <w:szCs w:val="20"/>
              </w:rPr>
              <w:t>第一阶段</w:t>
            </w:r>
            <w:r>
              <w:rPr>
                <w:rFonts w:hint="eastAsia" w:ascii="Times New Roman" w:hAnsi="Times New Roman" w:cs="Times New Roman"/>
                <w:color w:val="0000FF"/>
                <w:kern w:val="0"/>
                <w:sz w:val="24"/>
                <w:szCs w:val="20"/>
                <w:lang w:eastAsia="zh-CN"/>
              </w:rPr>
              <w:t>，</w:t>
            </w:r>
            <w:r>
              <w:rPr>
                <w:rFonts w:hint="default" w:ascii="Times New Roman" w:hAnsi="Times New Roman" w:cs="Times New Roman"/>
                <w:color w:val="0000FF"/>
                <w:kern w:val="0"/>
                <w:sz w:val="24"/>
                <w:szCs w:val="20"/>
              </w:rPr>
              <w:t>拆除老厂区的设备</w:t>
            </w:r>
            <w:r>
              <w:rPr>
                <w:rFonts w:hint="eastAsia" w:ascii="Times New Roman" w:hAnsi="Times New Roman" w:cs="Times New Roman"/>
                <w:color w:val="0000FF"/>
                <w:kern w:val="0"/>
                <w:sz w:val="24"/>
                <w:szCs w:val="20"/>
                <w:lang w:eastAsia="zh-CN"/>
              </w:rPr>
              <w:t>：该过程有噪声、</w:t>
            </w:r>
            <w:r>
              <w:rPr>
                <w:rFonts w:hint="eastAsia" w:ascii="Times New Roman" w:hAnsi="Times New Roman" w:cs="Times New Roman"/>
                <w:color w:val="0000FF"/>
                <w:kern w:val="0"/>
                <w:sz w:val="24"/>
                <w:szCs w:val="20"/>
                <w:lang w:val="en-US" w:eastAsia="zh-CN"/>
              </w:rPr>
              <w:t>废气</w:t>
            </w:r>
            <w:r>
              <w:rPr>
                <w:rFonts w:hint="eastAsia" w:ascii="Times New Roman" w:hAnsi="Times New Roman" w:cs="Times New Roman"/>
                <w:color w:val="0000FF"/>
                <w:kern w:val="0"/>
                <w:sz w:val="24"/>
                <w:szCs w:val="20"/>
                <w:lang w:eastAsia="zh-CN"/>
              </w:rPr>
              <w:t>、</w:t>
            </w:r>
            <w:r>
              <w:rPr>
                <w:rFonts w:hint="eastAsia" w:ascii="Times New Roman" w:hAnsi="Times New Roman" w:cs="Times New Roman"/>
                <w:color w:val="0000FF"/>
                <w:kern w:val="0"/>
                <w:sz w:val="24"/>
                <w:szCs w:val="20"/>
                <w:lang w:val="en-US" w:eastAsia="zh-CN"/>
              </w:rPr>
              <w:t>固废</w:t>
            </w:r>
            <w:r>
              <w:rPr>
                <w:rFonts w:hint="eastAsia" w:ascii="Times New Roman" w:hAnsi="Times New Roman" w:cs="Times New Roman"/>
                <w:color w:val="0000FF"/>
                <w:kern w:val="0"/>
                <w:sz w:val="24"/>
                <w:szCs w:val="20"/>
                <w:lang w:eastAsia="zh-CN"/>
              </w:rPr>
              <w:t>等</w:t>
            </w:r>
            <w:r>
              <w:rPr>
                <w:rFonts w:hint="eastAsia" w:ascii="Times New Roman" w:hAnsi="Times New Roman" w:cs="Times New Roman"/>
                <w:color w:val="0000FF"/>
                <w:kern w:val="0"/>
                <w:sz w:val="24"/>
                <w:szCs w:val="20"/>
                <w:lang w:val="en-US" w:eastAsia="zh-CN"/>
              </w:rPr>
              <w:t>产生</w:t>
            </w:r>
            <w:r>
              <w:rPr>
                <w:rFonts w:hint="eastAsia" w:ascii="Times New Roman" w:hAnsi="Times New Roman" w:cs="Times New Roman"/>
                <w:color w:val="0000FF"/>
                <w:kern w:val="0"/>
                <w:sz w:val="24"/>
                <w:szCs w:val="20"/>
                <w:lang w:eastAsia="zh-CN"/>
              </w:rPr>
              <w:t>，</w:t>
            </w:r>
            <w:r>
              <w:rPr>
                <w:rFonts w:hint="eastAsia" w:ascii="Times New Roman" w:hAnsi="Times New Roman" w:cs="Times New Roman"/>
                <w:color w:val="0000FF"/>
                <w:kern w:val="0"/>
                <w:sz w:val="24"/>
                <w:szCs w:val="20"/>
                <w:lang w:val="en-US" w:eastAsia="zh-CN"/>
              </w:rPr>
              <w:t>同时施工人员会产生生活污水和生活垃圾。</w:t>
            </w:r>
          </w:p>
          <w:p w14:paraId="106D63CA">
            <w:pPr>
              <w:widowControl/>
              <w:spacing w:line="360" w:lineRule="auto"/>
              <w:ind w:firstLine="480" w:firstLineChars="200"/>
              <w:jc w:val="left"/>
              <w:rPr>
                <w:rFonts w:hint="default" w:ascii="Times New Roman" w:hAnsi="Times New Roman" w:eastAsia="宋体" w:cs="Times New Roman"/>
                <w:color w:val="0000FF"/>
                <w:kern w:val="0"/>
                <w:sz w:val="24"/>
                <w:szCs w:val="20"/>
                <w:lang w:val="en-US" w:eastAsia="zh-CN"/>
              </w:rPr>
            </w:pPr>
            <w:r>
              <w:rPr>
                <w:rFonts w:hint="default" w:ascii="Times New Roman" w:hAnsi="Times New Roman" w:cs="Times New Roman"/>
                <w:color w:val="0000FF"/>
                <w:kern w:val="0"/>
                <w:sz w:val="24"/>
                <w:szCs w:val="20"/>
              </w:rPr>
              <w:t>第二阶段</w:t>
            </w:r>
            <w:r>
              <w:rPr>
                <w:rFonts w:hint="eastAsia" w:ascii="Times New Roman" w:hAnsi="Times New Roman" w:cs="Times New Roman"/>
                <w:color w:val="0000FF"/>
                <w:kern w:val="0"/>
                <w:sz w:val="24"/>
                <w:szCs w:val="20"/>
                <w:lang w:eastAsia="zh-CN"/>
              </w:rPr>
              <w:t>，</w:t>
            </w:r>
            <w:r>
              <w:rPr>
                <w:rFonts w:hint="default" w:ascii="Times New Roman" w:hAnsi="Times New Roman" w:cs="Times New Roman"/>
                <w:color w:val="0000FF"/>
                <w:kern w:val="0"/>
                <w:sz w:val="24"/>
                <w:szCs w:val="20"/>
              </w:rPr>
              <w:t>新厂区设备进厂，厂房装修及设备安装</w:t>
            </w:r>
            <w:r>
              <w:rPr>
                <w:rFonts w:hint="eastAsia" w:ascii="Times New Roman" w:hAnsi="Times New Roman" w:cs="Times New Roman"/>
                <w:color w:val="0000FF"/>
                <w:kern w:val="0"/>
                <w:sz w:val="24"/>
                <w:szCs w:val="20"/>
                <w:lang w:eastAsia="zh-CN"/>
              </w:rPr>
              <w:t>：</w:t>
            </w:r>
            <w:r>
              <w:rPr>
                <w:rFonts w:hint="eastAsia" w:ascii="Times New Roman" w:hAnsi="Times New Roman" w:cs="Times New Roman"/>
                <w:color w:val="0000FF"/>
                <w:kern w:val="0"/>
                <w:sz w:val="24"/>
                <w:szCs w:val="20"/>
                <w:lang w:val="en-US" w:eastAsia="zh-CN"/>
              </w:rPr>
              <w:t>该过程有噪声、废气、废包装材料等产生，同时施工人员会产生生活污水和生活垃圾。</w:t>
            </w:r>
          </w:p>
          <w:p w14:paraId="1EEBB175">
            <w:pPr>
              <w:keepNext w:val="0"/>
              <w:keepLines w:val="0"/>
              <w:pageBreakBefore w:val="0"/>
              <w:widowControl/>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0000FF"/>
                <w:kern w:val="0"/>
                <w:sz w:val="24"/>
                <w:szCs w:val="20"/>
                <w:lang w:val="en-US" w:eastAsia="zh-CN"/>
              </w:rPr>
            </w:pPr>
            <w:r>
              <w:rPr>
                <w:rFonts w:hint="default" w:ascii="Times New Roman" w:hAnsi="Times New Roman" w:cs="Times New Roman"/>
                <w:color w:val="0000FF"/>
                <w:kern w:val="0"/>
                <w:sz w:val="24"/>
                <w:szCs w:val="20"/>
              </w:rPr>
              <w:t>第</w:t>
            </w:r>
            <w:r>
              <w:rPr>
                <w:rFonts w:hint="eastAsia" w:ascii="Times New Roman" w:hAnsi="Times New Roman" w:cs="Times New Roman"/>
                <w:color w:val="0000FF"/>
                <w:kern w:val="0"/>
                <w:sz w:val="24"/>
                <w:szCs w:val="20"/>
                <w:lang w:val="en-US" w:eastAsia="zh-CN"/>
              </w:rPr>
              <w:t>三</w:t>
            </w:r>
            <w:r>
              <w:rPr>
                <w:rFonts w:hint="default" w:ascii="Times New Roman" w:hAnsi="Times New Roman" w:cs="Times New Roman"/>
                <w:color w:val="0000FF"/>
                <w:kern w:val="0"/>
                <w:sz w:val="24"/>
                <w:szCs w:val="20"/>
              </w:rPr>
              <w:t>阶段</w:t>
            </w:r>
            <w:r>
              <w:rPr>
                <w:rFonts w:hint="eastAsia" w:ascii="Times New Roman" w:hAnsi="Times New Roman" w:cs="Times New Roman"/>
                <w:color w:val="0000FF"/>
                <w:kern w:val="0"/>
                <w:sz w:val="24"/>
                <w:szCs w:val="20"/>
                <w:lang w:eastAsia="zh-CN"/>
              </w:rPr>
              <w:t>，</w:t>
            </w:r>
            <w:r>
              <w:rPr>
                <w:rFonts w:hint="default" w:ascii="Times New Roman" w:hAnsi="Times New Roman" w:cs="Times New Roman"/>
                <w:color w:val="0000FF"/>
                <w:kern w:val="0"/>
                <w:sz w:val="24"/>
                <w:szCs w:val="20"/>
              </w:rPr>
              <w:t>新厂区</w:t>
            </w:r>
            <w:r>
              <w:rPr>
                <w:rFonts w:hint="eastAsia" w:ascii="Times New Roman" w:hAnsi="Times New Roman" w:cs="Times New Roman"/>
                <w:color w:val="0000FF"/>
                <w:kern w:val="0"/>
                <w:sz w:val="24"/>
                <w:szCs w:val="20"/>
                <w:lang w:val="en-US" w:eastAsia="zh-CN"/>
              </w:rPr>
              <w:t>调试及验收</w:t>
            </w:r>
            <w:r>
              <w:rPr>
                <w:rFonts w:hint="eastAsia" w:ascii="Times New Roman" w:hAnsi="Times New Roman" w:cs="Times New Roman"/>
                <w:color w:val="0000FF"/>
                <w:kern w:val="0"/>
                <w:sz w:val="24"/>
                <w:szCs w:val="20"/>
                <w:lang w:eastAsia="zh-CN"/>
              </w:rPr>
              <w:t>：</w:t>
            </w:r>
            <w:r>
              <w:rPr>
                <w:rFonts w:hint="eastAsia" w:ascii="Times New Roman" w:hAnsi="Times New Roman" w:cs="Times New Roman"/>
                <w:color w:val="0000FF"/>
                <w:kern w:val="0"/>
                <w:sz w:val="24"/>
                <w:szCs w:val="20"/>
                <w:lang w:val="en-US" w:eastAsia="zh-CN"/>
              </w:rPr>
              <w:t>该过程会有设备调试的噪声产生，同时施工人员会产生生活污水和生活垃圾。</w:t>
            </w:r>
          </w:p>
          <w:p w14:paraId="3F463894">
            <w:pPr>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2.6.2 营运期工艺流程</w:t>
            </w:r>
          </w:p>
          <w:p w14:paraId="6A97B464">
            <w:pPr>
              <w:jc w:val="center"/>
              <w:rPr>
                <w:rFonts w:hint="default" w:eastAsia="宋体"/>
                <w:lang w:val="en-US" w:eastAsia="zh-CN"/>
              </w:rPr>
            </w:pPr>
            <w:r>
              <w:rPr>
                <w:rFonts w:hint="eastAsia"/>
                <w:lang w:val="en-US" w:eastAsia="zh-CN"/>
              </w:rPr>
              <w:t>***</w:t>
            </w:r>
          </w:p>
          <w:p w14:paraId="24F08078"/>
          <w:p w14:paraId="20207268"/>
          <w:p w14:paraId="1B815A60"/>
          <w:p w14:paraId="3404EFE0"/>
          <w:p w14:paraId="4777D21E"/>
          <w:p w14:paraId="0BE7A49A"/>
          <w:p w14:paraId="289DA5FB"/>
          <w:p w14:paraId="58581D1C"/>
          <w:p w14:paraId="7584ED05"/>
          <w:p w14:paraId="7B3E36D7"/>
          <w:p w14:paraId="5F5D21A0"/>
          <w:p w14:paraId="434CB29D"/>
          <w:p w14:paraId="7C51B0B7"/>
          <w:p w14:paraId="24F8E620"/>
          <w:p w14:paraId="163E41D3"/>
          <w:p w14:paraId="6F0BDFD4"/>
          <w:p w14:paraId="114B0D77"/>
          <w:p w14:paraId="159B128E">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Cs/>
                <w:color w:val="auto"/>
                <w:sz w:val="24"/>
                <w:lang w:val="en-US" w:eastAsia="zh-CN"/>
              </w:rPr>
            </w:pPr>
          </w:p>
        </w:tc>
      </w:tr>
    </w:tbl>
    <w:p w14:paraId="7563AEC9">
      <w:pPr>
        <w:pStyle w:val="14"/>
        <w:rPr>
          <w:rFonts w:hint="default" w:ascii="Times New Roman" w:hAnsi="Times New Roman" w:cs="Times New Roman"/>
          <w:color w:val="auto"/>
        </w:rPr>
        <w:sectPr>
          <w:pgSz w:w="11906" w:h="16838"/>
          <w:pgMar w:top="1701" w:right="1531" w:bottom="1701" w:left="1531" w:header="851" w:footer="1077" w:gutter="0"/>
          <w:pgNumType w:fmt="decimal"/>
          <w:cols w:space="720" w:num="1"/>
          <w:docGrid w:linePitch="312" w:charSpace="0"/>
        </w:sectPr>
      </w:pPr>
    </w:p>
    <w:tbl>
      <w:tblPr>
        <w:tblStyle w:val="35"/>
        <w:tblW w:w="93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
        <w:gridCol w:w="8974"/>
      </w:tblGrid>
      <w:tr w14:paraId="7621D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97" w:hRule="atLeast"/>
          <w:jc w:val="center"/>
        </w:trPr>
        <w:tc>
          <w:tcPr>
            <w:tcW w:w="354" w:type="dxa"/>
            <w:noWrap w:val="0"/>
            <w:vAlign w:val="center"/>
          </w:tcPr>
          <w:p w14:paraId="39C0DE4D">
            <w:pPr>
              <w:pStyle w:val="31"/>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bCs/>
                <w:color w:val="auto"/>
                <w:kern w:val="2"/>
                <w:sz w:val="21"/>
                <w:szCs w:val="21"/>
              </w:rPr>
              <w:t>与项目有关的原有环境污染问题</w:t>
            </w:r>
          </w:p>
        </w:tc>
        <w:tc>
          <w:tcPr>
            <w:tcW w:w="8974" w:type="dxa"/>
            <w:noWrap w:val="0"/>
            <w:vAlign w:val="top"/>
          </w:tcPr>
          <w:p w14:paraId="73E5813D">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2.7 现有</w:t>
            </w:r>
            <w:r>
              <w:rPr>
                <w:rFonts w:hint="eastAsia" w:cs="Times New Roman"/>
                <w:b/>
                <w:color w:val="auto"/>
                <w:sz w:val="28"/>
                <w:szCs w:val="28"/>
                <w:lang w:val="en-US" w:eastAsia="zh-CN"/>
              </w:rPr>
              <w:t>工程</w:t>
            </w:r>
            <w:r>
              <w:rPr>
                <w:rFonts w:hint="default" w:ascii="Times New Roman" w:hAnsi="Times New Roman" w:cs="Times New Roman"/>
                <w:b/>
                <w:color w:val="auto"/>
                <w:sz w:val="28"/>
                <w:szCs w:val="28"/>
              </w:rPr>
              <w:t>情况</w:t>
            </w:r>
          </w:p>
          <w:p w14:paraId="604B070C">
            <w:pPr>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2.7.1 现有</w:t>
            </w:r>
            <w:r>
              <w:rPr>
                <w:rFonts w:hint="eastAsia" w:cs="Times New Roman"/>
                <w:b/>
                <w:bCs/>
                <w:color w:val="auto"/>
                <w:sz w:val="24"/>
                <w:lang w:val="en-US" w:eastAsia="zh-CN"/>
              </w:rPr>
              <w:t>工程</w:t>
            </w:r>
            <w:r>
              <w:rPr>
                <w:rFonts w:hint="default" w:ascii="Times New Roman" w:hAnsi="Times New Roman" w:cs="Times New Roman"/>
                <w:b/>
                <w:bCs/>
                <w:color w:val="auto"/>
                <w:sz w:val="24"/>
              </w:rPr>
              <w:t>基本情况</w:t>
            </w:r>
          </w:p>
          <w:p w14:paraId="468A8A3A">
            <w:pPr>
              <w:pStyle w:val="49"/>
              <w:keepNext w:val="0"/>
              <w:keepLines w:val="0"/>
              <w:pageBreakBefore w:val="0"/>
              <w:widowControl w:val="0"/>
              <w:kinsoku/>
              <w:wordWrap/>
              <w:overflowPunct/>
              <w:topLinePunct w:val="0"/>
              <w:autoSpaceDE/>
              <w:autoSpaceDN/>
              <w:bidi w:val="0"/>
              <w:ind w:firstLine="480"/>
              <w:textAlignment w:val="auto"/>
              <w:rPr>
                <w:rFonts w:hint="default" w:ascii="Times New Roman" w:hAnsi="Times New Roman" w:eastAsia="宋体" w:cs="Times New Roman"/>
                <w:color w:val="auto"/>
                <w:szCs w:val="24"/>
                <w:highlight w:val="none"/>
                <w:lang w:val="en-US" w:eastAsia="zh-CN"/>
              </w:rPr>
            </w:pPr>
            <w:r>
              <w:rPr>
                <w:rFonts w:hint="default" w:ascii="Times New Roman" w:hAnsi="Times New Roman" w:cs="Times New Roman"/>
                <w:color w:val="auto"/>
                <w:szCs w:val="24"/>
                <w:highlight w:val="none"/>
              </w:rPr>
              <w:t>项目名称：</w:t>
            </w:r>
            <w:r>
              <w:rPr>
                <w:rFonts w:hint="default" w:ascii="Times New Roman" w:hAnsi="Times New Roman" w:cs="Times New Roman"/>
                <w:color w:val="auto"/>
                <w:szCs w:val="24"/>
                <w:highlight w:val="none"/>
                <w:lang w:val="en-US" w:eastAsia="zh-CN"/>
              </w:rPr>
              <w:t>东莞盈合（达州）大竹精密塑胶生产</w:t>
            </w:r>
          </w:p>
          <w:p w14:paraId="0EBB7F04">
            <w:pPr>
              <w:pStyle w:val="49"/>
              <w:keepNext w:val="0"/>
              <w:keepLines w:val="0"/>
              <w:pageBreakBefore w:val="0"/>
              <w:widowControl w:val="0"/>
              <w:kinsoku/>
              <w:wordWrap/>
              <w:overflowPunct/>
              <w:topLinePunct w:val="0"/>
              <w:autoSpaceDE/>
              <w:autoSpaceDN/>
              <w:bidi w:val="0"/>
              <w:ind w:firstLine="480"/>
              <w:textAlignment w:val="auto"/>
              <w:rPr>
                <w:rFonts w:hint="default" w:ascii="Times New Roman" w:hAnsi="Times New Roman" w:eastAsia="宋体" w:cs="Times New Roman"/>
                <w:color w:val="auto"/>
                <w:szCs w:val="24"/>
                <w:highlight w:val="none"/>
                <w:lang w:val="en-US" w:eastAsia="zh-CN"/>
              </w:rPr>
            </w:pPr>
            <w:r>
              <w:rPr>
                <w:rFonts w:hint="default" w:ascii="Times New Roman" w:hAnsi="Times New Roman" w:cs="Times New Roman"/>
                <w:color w:val="auto"/>
                <w:szCs w:val="24"/>
                <w:highlight w:val="none"/>
              </w:rPr>
              <w:t>建设单位：</w:t>
            </w:r>
            <w:r>
              <w:rPr>
                <w:rFonts w:hint="default" w:ascii="Times New Roman" w:hAnsi="Times New Roman" w:cs="Times New Roman"/>
                <w:color w:val="auto"/>
                <w:szCs w:val="24"/>
                <w:highlight w:val="none"/>
                <w:lang w:val="en-US" w:eastAsia="zh-CN"/>
              </w:rPr>
              <w:t>达州荣利达精密塑胶有限公司</w:t>
            </w:r>
          </w:p>
          <w:p w14:paraId="48DA52FA">
            <w:pPr>
              <w:pStyle w:val="49"/>
              <w:keepNext w:val="0"/>
              <w:keepLines w:val="0"/>
              <w:pageBreakBefore w:val="0"/>
              <w:widowControl w:val="0"/>
              <w:kinsoku/>
              <w:wordWrap/>
              <w:overflowPunct/>
              <w:topLinePunct w:val="0"/>
              <w:autoSpaceDE/>
              <w:autoSpaceDN/>
              <w:bidi w:val="0"/>
              <w:ind w:firstLine="480"/>
              <w:textAlignment w:val="auto"/>
              <w:rPr>
                <w:rFonts w:hint="default" w:ascii="Times New Roman" w:hAnsi="Times New Roman" w:eastAsia="宋体" w:cs="Times New Roman"/>
                <w:color w:val="auto"/>
                <w:szCs w:val="24"/>
                <w:highlight w:val="none"/>
                <w:lang w:val="en-US" w:eastAsia="zh-CN"/>
              </w:rPr>
            </w:pPr>
            <w:r>
              <w:rPr>
                <w:rFonts w:hint="default" w:ascii="Times New Roman" w:hAnsi="Times New Roman" w:cs="Times New Roman"/>
                <w:color w:val="auto"/>
                <w:szCs w:val="24"/>
                <w:highlight w:val="none"/>
              </w:rPr>
              <w:t>建设地点：</w:t>
            </w:r>
            <w:r>
              <w:rPr>
                <w:rFonts w:hint="default" w:ascii="Times New Roman" w:hAnsi="Times New Roman" w:cs="Times New Roman"/>
                <w:color w:val="auto"/>
                <w:szCs w:val="24"/>
                <w:highlight w:val="none"/>
                <w:lang w:val="en-US" w:eastAsia="zh-CN"/>
              </w:rPr>
              <w:t>四川省达州市大竹县经济开发区永顺路西部鞋城一期D区D5、D6栋厂房</w:t>
            </w:r>
          </w:p>
          <w:p w14:paraId="76913D03">
            <w:pPr>
              <w:pStyle w:val="49"/>
              <w:keepNext w:val="0"/>
              <w:keepLines w:val="0"/>
              <w:pageBreakBefore w:val="0"/>
              <w:widowControl w:val="0"/>
              <w:kinsoku/>
              <w:wordWrap/>
              <w:overflowPunct/>
              <w:topLinePunct w:val="0"/>
              <w:autoSpaceDE/>
              <w:autoSpaceDN/>
              <w:bidi w:val="0"/>
              <w:ind w:firstLine="48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占地面积和建筑面积：建筑面积</w:t>
            </w:r>
            <w:r>
              <w:rPr>
                <w:rFonts w:hint="default" w:ascii="Times New Roman" w:hAnsi="Times New Roman" w:cs="Times New Roman"/>
                <w:color w:val="auto"/>
                <w:szCs w:val="24"/>
                <w:highlight w:val="none"/>
                <w:lang w:val="en-US" w:eastAsia="zh-CN"/>
              </w:rPr>
              <w:t>8000</w:t>
            </w:r>
            <w:r>
              <w:rPr>
                <w:rFonts w:hint="default" w:ascii="Times New Roman" w:hAnsi="Times New Roman" w:cs="Times New Roman"/>
                <w:color w:val="auto"/>
                <w:szCs w:val="24"/>
                <w:highlight w:val="none"/>
              </w:rPr>
              <w:t>m</w:t>
            </w:r>
            <w:r>
              <w:rPr>
                <w:rFonts w:hint="default" w:ascii="Times New Roman" w:hAnsi="Times New Roman" w:cs="Times New Roman"/>
                <w:color w:val="auto"/>
                <w:szCs w:val="24"/>
                <w:highlight w:val="none"/>
                <w:vertAlign w:val="superscript"/>
              </w:rPr>
              <w:t>2</w:t>
            </w:r>
            <w:r>
              <w:rPr>
                <w:rFonts w:hint="default" w:ascii="Times New Roman" w:hAnsi="Times New Roman" w:cs="Times New Roman"/>
                <w:color w:val="auto"/>
                <w:szCs w:val="24"/>
                <w:highlight w:val="none"/>
              </w:rPr>
              <w:t>。</w:t>
            </w:r>
          </w:p>
          <w:p w14:paraId="3D3BE5CC">
            <w:pPr>
              <w:pStyle w:val="49"/>
              <w:keepNext w:val="0"/>
              <w:keepLines w:val="0"/>
              <w:pageBreakBefore w:val="0"/>
              <w:widowControl w:val="0"/>
              <w:kinsoku/>
              <w:wordWrap/>
              <w:overflowPunct/>
              <w:topLinePunct w:val="0"/>
              <w:autoSpaceDE/>
              <w:autoSpaceDN/>
              <w:bidi w:val="0"/>
              <w:ind w:firstLine="480"/>
              <w:textAlignment w:val="auto"/>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建设内容及建设规模：</w:t>
            </w:r>
            <w:r>
              <w:rPr>
                <w:rFonts w:hint="eastAsia" w:cs="Times New Roman"/>
                <w:color w:val="auto"/>
                <w:szCs w:val="24"/>
                <w:highlight w:val="none"/>
                <w:lang w:val="en-US" w:eastAsia="zh-CN"/>
              </w:rPr>
              <w:t>布置有</w:t>
            </w:r>
            <w:r>
              <w:rPr>
                <w:rFonts w:hint="default" w:ascii="Times New Roman" w:hAnsi="Times New Roman" w:cs="Times New Roman"/>
                <w:color w:val="auto"/>
                <w:szCs w:val="24"/>
                <w:highlight w:val="none"/>
                <w:lang w:val="en-US" w:eastAsia="zh-CN"/>
              </w:rPr>
              <w:t>3条手机充电器塑胶外壳先进设备生产线</w:t>
            </w:r>
            <w:r>
              <w:rPr>
                <w:rFonts w:hint="default" w:ascii="Times New Roman" w:hAnsi="Times New Roman" w:cs="Times New Roman"/>
                <w:color w:val="auto"/>
                <w:szCs w:val="24"/>
                <w:highlight w:val="none"/>
              </w:rPr>
              <w:t>，年生产</w:t>
            </w:r>
            <w:r>
              <w:rPr>
                <w:rFonts w:hint="default" w:ascii="Times New Roman" w:hAnsi="Times New Roman" w:cs="Times New Roman"/>
                <w:color w:val="auto"/>
                <w:szCs w:val="24"/>
                <w:highlight w:val="none"/>
                <w:lang w:val="en-US" w:eastAsia="zh-CN"/>
              </w:rPr>
              <w:t>手机充电器塑胶外壳6000</w:t>
            </w:r>
            <w:r>
              <w:rPr>
                <w:rFonts w:hint="default" w:ascii="Times New Roman" w:hAnsi="Times New Roman" w:cs="Times New Roman"/>
                <w:color w:val="auto"/>
                <w:szCs w:val="24"/>
                <w:highlight w:val="none"/>
              </w:rPr>
              <w:t>万</w:t>
            </w:r>
            <w:r>
              <w:rPr>
                <w:rFonts w:hint="default" w:ascii="Times New Roman" w:hAnsi="Times New Roman" w:cs="Times New Roman"/>
                <w:color w:val="auto"/>
                <w:szCs w:val="24"/>
                <w:highlight w:val="none"/>
                <w:lang w:val="en-US" w:eastAsia="zh-CN"/>
              </w:rPr>
              <w:t>件</w:t>
            </w:r>
            <w:r>
              <w:rPr>
                <w:rFonts w:hint="default" w:ascii="Times New Roman" w:hAnsi="Times New Roman" w:cs="Times New Roman"/>
                <w:color w:val="auto"/>
                <w:szCs w:val="24"/>
                <w:highlight w:val="none"/>
              </w:rPr>
              <w:t>。</w:t>
            </w:r>
          </w:p>
          <w:p w14:paraId="1AFFE88E">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劳动定员及工作制度：</w:t>
            </w:r>
            <w:r>
              <w:rPr>
                <w:rFonts w:hint="default" w:ascii="Times New Roman" w:hAnsi="Times New Roman" w:cs="Times New Roman"/>
                <w:color w:val="auto"/>
                <w:sz w:val="24"/>
                <w:highlight w:val="none"/>
                <w:lang w:val="en-US" w:eastAsia="zh-CN"/>
              </w:rPr>
              <w:t>员工人数</w:t>
            </w:r>
            <w:r>
              <w:rPr>
                <w:rFonts w:hint="eastAsia" w:cs="Times New Roman"/>
                <w:color w:val="auto"/>
                <w:sz w:val="24"/>
                <w:highlight w:val="none"/>
                <w:lang w:val="en-US" w:eastAsia="zh-CN"/>
              </w:rPr>
              <w:t>60</w:t>
            </w:r>
            <w:r>
              <w:rPr>
                <w:rFonts w:hint="default" w:ascii="Times New Roman" w:hAnsi="Times New Roman" w:cs="Times New Roman"/>
                <w:color w:val="auto"/>
                <w:sz w:val="24"/>
                <w:highlight w:val="none"/>
              </w:rPr>
              <w:t>人，全年工作300d，工作制度为1班制，每班8h。</w:t>
            </w:r>
          </w:p>
          <w:p w14:paraId="2F5BE980">
            <w:pPr>
              <w:pStyle w:val="49"/>
              <w:keepNext w:val="0"/>
              <w:keepLines w:val="0"/>
              <w:pageBreakBefore w:val="0"/>
              <w:widowControl w:val="0"/>
              <w:kinsoku/>
              <w:wordWrap/>
              <w:overflowPunct/>
              <w:topLinePunct w:val="0"/>
              <w:autoSpaceDE/>
              <w:autoSpaceDN/>
              <w:bidi w:val="0"/>
              <w:ind w:firstLine="0" w:firstLineChars="0"/>
              <w:textAlignment w:val="auto"/>
              <w:rPr>
                <w:rFonts w:hint="default" w:ascii="Times New Roman" w:hAnsi="Times New Roman" w:cs="Times New Roman"/>
                <w:b/>
                <w:bCs/>
                <w:color w:val="auto"/>
                <w:szCs w:val="24"/>
              </w:rPr>
            </w:pPr>
            <w:r>
              <w:rPr>
                <w:rFonts w:hint="default" w:ascii="Times New Roman" w:hAnsi="Times New Roman" w:cs="Times New Roman"/>
                <w:b/>
                <w:bCs/>
                <w:color w:val="auto"/>
                <w:szCs w:val="24"/>
              </w:rPr>
              <w:t>2.7.2 现有</w:t>
            </w:r>
            <w:r>
              <w:rPr>
                <w:rFonts w:hint="eastAsia" w:cs="Times New Roman"/>
                <w:b/>
                <w:bCs/>
                <w:color w:val="auto"/>
                <w:szCs w:val="24"/>
                <w:lang w:val="en-US" w:eastAsia="zh-CN"/>
              </w:rPr>
              <w:t>工程</w:t>
            </w:r>
            <w:r>
              <w:rPr>
                <w:rFonts w:hint="default" w:ascii="Times New Roman" w:hAnsi="Times New Roman" w:cs="Times New Roman"/>
                <w:b/>
                <w:bCs/>
                <w:color w:val="auto"/>
                <w:szCs w:val="24"/>
              </w:rPr>
              <w:t>产品方案</w:t>
            </w:r>
          </w:p>
          <w:p w14:paraId="312C417A">
            <w:pPr>
              <w:pStyle w:val="49"/>
              <w:keepNext w:val="0"/>
              <w:keepLines w:val="0"/>
              <w:pageBreakBefore w:val="0"/>
              <w:widowControl w:val="0"/>
              <w:kinsoku/>
              <w:wordWrap/>
              <w:overflowPunct/>
              <w:topLinePunct w:val="0"/>
              <w:autoSpaceDE/>
              <w:autoSpaceDN/>
              <w:bidi w:val="0"/>
              <w:ind w:firstLine="480"/>
              <w:textAlignment w:val="auto"/>
              <w:rPr>
                <w:rFonts w:hint="default" w:ascii="Times New Roman" w:hAnsi="Times New Roman" w:cs="Times New Roman"/>
                <w:b/>
                <w:bCs/>
                <w:color w:val="auto"/>
                <w:szCs w:val="24"/>
              </w:rPr>
            </w:pPr>
            <w:r>
              <w:rPr>
                <w:rFonts w:hint="default" w:ascii="Times New Roman" w:hAnsi="Times New Roman" w:cs="Times New Roman"/>
                <w:color w:val="auto"/>
                <w:kern w:val="0"/>
                <w:szCs w:val="24"/>
              </w:rPr>
              <w:t>现有</w:t>
            </w:r>
            <w:r>
              <w:rPr>
                <w:rFonts w:hint="eastAsia" w:cs="Times New Roman"/>
                <w:color w:val="auto"/>
                <w:kern w:val="0"/>
                <w:szCs w:val="24"/>
                <w:lang w:eastAsia="zh-CN"/>
              </w:rPr>
              <w:t>工程</w:t>
            </w:r>
            <w:r>
              <w:rPr>
                <w:rFonts w:hint="default" w:ascii="Times New Roman" w:hAnsi="Times New Roman" w:cs="Times New Roman"/>
                <w:color w:val="auto"/>
                <w:kern w:val="0"/>
                <w:szCs w:val="24"/>
              </w:rPr>
              <w:t>产品方案及规模详见表2.7-1。</w:t>
            </w:r>
          </w:p>
          <w:p w14:paraId="3893CAB3">
            <w:pPr>
              <w:pStyle w:val="225"/>
              <w:spacing w:line="240" w:lineRule="auto"/>
              <w:rPr>
                <w:rFonts w:hint="default" w:ascii="Times New Roman" w:hAnsi="Times New Roman" w:cs="Times New Roman"/>
                <w:bCs/>
                <w:color w:val="auto"/>
                <w:szCs w:val="24"/>
              </w:rPr>
            </w:pPr>
            <w:r>
              <w:rPr>
                <w:rFonts w:hint="default" w:ascii="Times New Roman" w:hAnsi="Times New Roman" w:cs="Times New Roman"/>
                <w:bCs/>
                <w:color w:val="auto"/>
                <w:szCs w:val="24"/>
              </w:rPr>
              <w:t>表2.7-1  现有</w:t>
            </w:r>
            <w:r>
              <w:rPr>
                <w:rFonts w:hint="eastAsia" w:cs="Times New Roman"/>
                <w:bCs/>
                <w:color w:val="auto"/>
                <w:szCs w:val="24"/>
                <w:lang w:val="en-US" w:eastAsia="zh-CN"/>
              </w:rPr>
              <w:t>工程</w:t>
            </w:r>
            <w:r>
              <w:rPr>
                <w:rFonts w:hint="default" w:ascii="Times New Roman" w:hAnsi="Times New Roman" w:cs="Times New Roman"/>
                <w:bCs/>
                <w:color w:val="auto"/>
                <w:szCs w:val="24"/>
              </w:rPr>
              <w:t>产品方案</w:t>
            </w:r>
          </w:p>
          <w:tbl>
            <w:tblPr>
              <w:tblStyle w:val="35"/>
              <w:tblW w:w="49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2256"/>
              <w:gridCol w:w="1788"/>
              <w:gridCol w:w="1858"/>
              <w:gridCol w:w="1965"/>
            </w:tblGrid>
            <w:tr w14:paraId="795AA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5" w:type="pct"/>
                  <w:tcBorders>
                    <w:top w:val="single" w:color="auto" w:sz="4" w:space="0"/>
                    <w:left w:val="single" w:color="auto" w:sz="4" w:space="0"/>
                    <w:bottom w:val="single" w:color="auto" w:sz="4" w:space="0"/>
                    <w:right w:val="single" w:color="auto" w:sz="4" w:space="0"/>
                  </w:tcBorders>
                  <w:noWrap w:val="0"/>
                  <w:vAlign w:val="center"/>
                </w:tcPr>
                <w:p w14:paraId="726616D3">
                  <w:pPr>
                    <w:pStyle w:val="273"/>
                    <w:spacing w:line="360" w:lineRule="exact"/>
                    <w:jc w:val="center"/>
                    <w:rPr>
                      <w:rFonts w:hint="default" w:ascii="Times New Roman" w:hAnsi="Times New Roman" w:cs="Times New Roman"/>
                      <w:color w:val="auto"/>
                    </w:rPr>
                  </w:pPr>
                  <w:r>
                    <w:rPr>
                      <w:rFonts w:hint="default" w:ascii="Times New Roman" w:hAnsi="Times New Roman" w:cs="Times New Roman"/>
                      <w:color w:val="auto"/>
                    </w:rPr>
                    <w:t>序号</w:t>
                  </w:r>
                </w:p>
              </w:tc>
              <w:tc>
                <w:tcPr>
                  <w:tcW w:w="1309" w:type="pct"/>
                  <w:tcBorders>
                    <w:top w:val="single" w:color="auto" w:sz="4" w:space="0"/>
                    <w:left w:val="single" w:color="auto" w:sz="4" w:space="0"/>
                    <w:bottom w:val="single" w:color="auto" w:sz="4" w:space="0"/>
                    <w:right w:val="single" w:color="auto" w:sz="4" w:space="0"/>
                  </w:tcBorders>
                  <w:noWrap w:val="0"/>
                  <w:vAlign w:val="center"/>
                </w:tcPr>
                <w:p w14:paraId="413E96CE">
                  <w:pPr>
                    <w:pStyle w:val="273"/>
                    <w:spacing w:line="360" w:lineRule="exact"/>
                    <w:jc w:val="center"/>
                    <w:rPr>
                      <w:rFonts w:hint="default" w:ascii="Times New Roman" w:hAnsi="Times New Roman" w:cs="Times New Roman"/>
                      <w:color w:val="auto"/>
                    </w:rPr>
                  </w:pPr>
                  <w:r>
                    <w:rPr>
                      <w:rFonts w:hint="default" w:ascii="Times New Roman" w:hAnsi="Times New Roman" w:cs="Times New Roman"/>
                      <w:color w:val="auto"/>
                    </w:rPr>
                    <w:t>产品名称</w:t>
                  </w:r>
                </w:p>
              </w:tc>
              <w:tc>
                <w:tcPr>
                  <w:tcW w:w="1788" w:type="dxa"/>
                  <w:tcBorders>
                    <w:top w:val="single" w:color="auto" w:sz="4" w:space="0"/>
                    <w:left w:val="single" w:color="auto" w:sz="4" w:space="0"/>
                    <w:bottom w:val="single" w:color="auto" w:sz="4" w:space="0"/>
                    <w:right w:val="single" w:color="auto" w:sz="4" w:space="0"/>
                  </w:tcBorders>
                  <w:noWrap w:val="0"/>
                  <w:vAlign w:val="center"/>
                </w:tcPr>
                <w:p w14:paraId="7397F04C">
                  <w:pPr>
                    <w:keepNext w:val="0"/>
                    <w:keepLines w:val="0"/>
                    <w:widowControl/>
                    <w:suppressLineNumbers w:val="0"/>
                    <w:jc w:val="center"/>
                    <w:textAlignment w:val="center"/>
                    <w:rPr>
                      <w:rFonts w:hint="default" w:ascii="Times New Roman" w:hAnsi="Times New Roman" w:cs="Times New Roman"/>
                      <w:color w:val="auto"/>
                    </w:rPr>
                  </w:pPr>
                  <w:r>
                    <w:rPr>
                      <w:rFonts w:hint="eastAsia" w:ascii="宋体" w:hAnsi="宋体" w:eastAsia="宋体" w:cs="宋体"/>
                      <w:b/>
                      <w:bCs/>
                      <w:i w:val="0"/>
                      <w:iCs w:val="0"/>
                      <w:color w:val="0000FF"/>
                      <w:kern w:val="0"/>
                      <w:sz w:val="21"/>
                      <w:szCs w:val="21"/>
                      <w:highlight w:val="none"/>
                      <w:u w:val="none"/>
                      <w:lang w:val="en-US" w:eastAsia="zh-CN" w:bidi="ar"/>
                    </w:rPr>
                    <w:t>规格型号（</w:t>
                  </w:r>
                  <w:r>
                    <w:rPr>
                      <w:rFonts w:hint="default" w:ascii="Times New Roman" w:hAnsi="Times New Roman" w:eastAsia="宋体" w:cs="Times New Roman"/>
                      <w:b/>
                      <w:bCs/>
                      <w:i w:val="0"/>
                      <w:iCs w:val="0"/>
                      <w:color w:val="0000FF"/>
                      <w:kern w:val="0"/>
                      <w:sz w:val="21"/>
                      <w:szCs w:val="21"/>
                      <w:highlight w:val="none"/>
                      <w:u w:val="none"/>
                      <w:lang w:val="en-US" w:eastAsia="zh-CN" w:bidi="ar"/>
                    </w:rPr>
                    <w:t>mm</w:t>
                  </w:r>
                  <w:r>
                    <w:rPr>
                      <w:rFonts w:hint="eastAsia" w:ascii="宋体" w:hAnsi="宋体" w:eastAsia="宋体" w:cs="宋体"/>
                      <w:b/>
                      <w:bCs/>
                      <w:i w:val="0"/>
                      <w:iCs w:val="0"/>
                      <w:color w:val="0000FF"/>
                      <w:kern w:val="0"/>
                      <w:sz w:val="21"/>
                      <w:szCs w:val="21"/>
                      <w:highlight w:val="none"/>
                      <w:u w:val="none"/>
                      <w:lang w:val="en-US" w:eastAsia="zh-CN" w:bidi="ar"/>
                    </w:rPr>
                    <w:t>）</w:t>
                  </w:r>
                </w:p>
              </w:tc>
              <w:tc>
                <w:tcPr>
                  <w:tcW w:w="1078" w:type="pct"/>
                  <w:tcBorders>
                    <w:top w:val="single" w:color="auto" w:sz="4" w:space="0"/>
                    <w:left w:val="single" w:color="auto" w:sz="4" w:space="0"/>
                    <w:bottom w:val="single" w:color="auto" w:sz="4" w:space="0"/>
                    <w:right w:val="single" w:color="auto" w:sz="4" w:space="0"/>
                  </w:tcBorders>
                  <w:noWrap w:val="0"/>
                  <w:vAlign w:val="center"/>
                </w:tcPr>
                <w:p w14:paraId="41EF0FF1">
                  <w:pPr>
                    <w:pStyle w:val="273"/>
                    <w:spacing w:line="360" w:lineRule="exact"/>
                    <w:jc w:val="center"/>
                    <w:rPr>
                      <w:rFonts w:hint="default" w:ascii="Times New Roman" w:hAnsi="Times New Roman" w:cs="Times New Roman"/>
                      <w:color w:val="auto"/>
                    </w:rPr>
                  </w:pPr>
                  <w:r>
                    <w:rPr>
                      <w:rFonts w:hint="default" w:ascii="Times New Roman" w:hAnsi="Times New Roman" w:cs="Times New Roman"/>
                      <w:color w:val="auto"/>
                    </w:rPr>
                    <w:t>现有规模</w:t>
                  </w:r>
                </w:p>
              </w:tc>
              <w:tc>
                <w:tcPr>
                  <w:tcW w:w="1140" w:type="pct"/>
                  <w:tcBorders>
                    <w:top w:val="single" w:color="auto" w:sz="4" w:space="0"/>
                    <w:left w:val="single" w:color="auto" w:sz="4" w:space="0"/>
                    <w:bottom w:val="single" w:color="auto" w:sz="4" w:space="0"/>
                    <w:right w:val="single" w:color="auto" w:sz="4" w:space="0"/>
                  </w:tcBorders>
                  <w:noWrap w:val="0"/>
                  <w:vAlign w:val="center"/>
                </w:tcPr>
                <w:p w14:paraId="52821733">
                  <w:pPr>
                    <w:pStyle w:val="273"/>
                    <w:spacing w:line="360" w:lineRule="exact"/>
                    <w:jc w:val="center"/>
                    <w:rPr>
                      <w:rFonts w:hint="default" w:ascii="Times New Roman" w:hAnsi="Times New Roman" w:cs="Times New Roman"/>
                      <w:color w:val="auto"/>
                    </w:rPr>
                  </w:pPr>
                  <w:r>
                    <w:rPr>
                      <w:rFonts w:hint="default" w:ascii="Times New Roman" w:hAnsi="Times New Roman" w:cs="Times New Roman"/>
                      <w:color w:val="auto"/>
                    </w:rPr>
                    <w:t>备注</w:t>
                  </w:r>
                </w:p>
              </w:tc>
            </w:tr>
            <w:tr w14:paraId="6233C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435" w:type="pct"/>
                  <w:tcBorders>
                    <w:top w:val="single" w:color="auto" w:sz="4" w:space="0"/>
                    <w:left w:val="single" w:color="auto" w:sz="4" w:space="0"/>
                    <w:bottom w:val="single" w:color="auto" w:sz="4" w:space="0"/>
                    <w:right w:val="single" w:color="auto" w:sz="4" w:space="0"/>
                  </w:tcBorders>
                  <w:noWrap w:val="0"/>
                  <w:vAlign w:val="center"/>
                </w:tcPr>
                <w:p w14:paraId="64161209">
                  <w:pPr>
                    <w:pStyle w:val="273"/>
                    <w:spacing w:line="360" w:lineRule="exact"/>
                    <w:jc w:val="center"/>
                    <w:rPr>
                      <w:rFonts w:hint="default" w:ascii="Times New Roman" w:hAnsi="Times New Roman" w:cs="Times New Roman"/>
                      <w:color w:val="auto"/>
                    </w:rPr>
                  </w:pPr>
                  <w:r>
                    <w:rPr>
                      <w:rFonts w:hint="default" w:ascii="Times New Roman" w:hAnsi="Times New Roman" w:cs="Times New Roman"/>
                      <w:color w:val="auto"/>
                    </w:rPr>
                    <w:t>1</w:t>
                  </w:r>
                </w:p>
              </w:tc>
              <w:tc>
                <w:tcPr>
                  <w:tcW w:w="1309" w:type="pct"/>
                  <w:tcBorders>
                    <w:top w:val="single" w:color="auto" w:sz="4" w:space="0"/>
                    <w:left w:val="single" w:color="auto" w:sz="4" w:space="0"/>
                    <w:bottom w:val="single" w:color="auto" w:sz="4" w:space="0"/>
                    <w:right w:val="single" w:color="auto" w:sz="4" w:space="0"/>
                  </w:tcBorders>
                  <w:noWrap w:val="0"/>
                  <w:vAlign w:val="center"/>
                </w:tcPr>
                <w:p w14:paraId="74C270D7">
                  <w:pPr>
                    <w:spacing w:line="380" w:lineRule="exact"/>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手机充电器塑胶外壳</w:t>
                  </w:r>
                </w:p>
              </w:tc>
              <w:tc>
                <w:tcPr>
                  <w:tcW w:w="1788" w:type="dxa"/>
                  <w:tcBorders>
                    <w:top w:val="single" w:color="auto" w:sz="4" w:space="0"/>
                    <w:left w:val="single" w:color="auto" w:sz="4" w:space="0"/>
                    <w:bottom w:val="single" w:color="auto" w:sz="4" w:space="0"/>
                    <w:right w:val="single" w:color="auto" w:sz="4" w:space="0"/>
                  </w:tcBorders>
                  <w:noWrap w:val="0"/>
                  <w:vAlign w:val="center"/>
                </w:tcPr>
                <w:p w14:paraId="0A84E0D2">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highlight w:val="none"/>
                      <w:u w:val="none"/>
                      <w:lang w:val="en-US" w:eastAsia="zh-CN" w:bidi="ar"/>
                    </w:rPr>
                    <w:t>长：42.5-65.4；</w:t>
                  </w:r>
                </w:p>
                <w:p w14:paraId="29E5DE72">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highlight w:val="none"/>
                      <w:u w:val="none"/>
                      <w:lang w:val="en-US" w:eastAsia="zh-CN" w:bidi="ar"/>
                    </w:rPr>
                  </w:pPr>
                  <w:r>
                    <w:rPr>
                      <w:rFonts w:hint="default" w:ascii="Times New Roman" w:hAnsi="Times New Roman" w:eastAsia="宋体" w:cs="Times New Roman"/>
                      <w:i w:val="0"/>
                      <w:iCs w:val="0"/>
                      <w:color w:val="0000FF"/>
                      <w:kern w:val="0"/>
                      <w:sz w:val="21"/>
                      <w:szCs w:val="21"/>
                      <w:highlight w:val="none"/>
                      <w:u w:val="none"/>
                      <w:lang w:val="en-US" w:eastAsia="zh-CN" w:bidi="ar"/>
                    </w:rPr>
                    <w:t>宽：41.5-48；</w:t>
                  </w:r>
                </w:p>
                <w:p w14:paraId="422445F8">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FF"/>
                      <w:kern w:val="0"/>
                      <w:sz w:val="21"/>
                      <w:szCs w:val="21"/>
                      <w:highlight w:val="none"/>
                      <w:u w:val="none"/>
                      <w:lang w:val="en-US" w:eastAsia="zh-CN" w:bidi="ar"/>
                    </w:rPr>
                    <w:t>高：27-28。</w:t>
                  </w:r>
                </w:p>
              </w:tc>
              <w:tc>
                <w:tcPr>
                  <w:tcW w:w="1078" w:type="pct"/>
                  <w:tcBorders>
                    <w:top w:val="single" w:color="auto" w:sz="4" w:space="0"/>
                    <w:left w:val="single" w:color="auto" w:sz="4" w:space="0"/>
                    <w:bottom w:val="single" w:color="auto" w:sz="4" w:space="0"/>
                    <w:right w:val="single" w:color="auto" w:sz="4" w:space="0"/>
                  </w:tcBorders>
                  <w:noWrap w:val="0"/>
                  <w:vAlign w:val="center"/>
                </w:tcPr>
                <w:p w14:paraId="2842129D">
                  <w:pPr>
                    <w:spacing w:line="38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6000</w:t>
                  </w:r>
                  <w:r>
                    <w:rPr>
                      <w:rFonts w:hint="default" w:ascii="Times New Roman" w:hAnsi="Times New Roman" w:cs="Times New Roman"/>
                      <w:color w:val="auto"/>
                      <w:szCs w:val="21"/>
                    </w:rPr>
                    <w:t>万件/年</w:t>
                  </w:r>
                </w:p>
              </w:tc>
              <w:tc>
                <w:tcPr>
                  <w:tcW w:w="1140" w:type="pct"/>
                  <w:tcBorders>
                    <w:top w:val="single" w:color="auto" w:sz="4" w:space="0"/>
                    <w:left w:val="single" w:color="auto" w:sz="4" w:space="0"/>
                    <w:bottom w:val="single" w:color="auto" w:sz="4" w:space="0"/>
                    <w:right w:val="single" w:color="auto" w:sz="4" w:space="0"/>
                  </w:tcBorders>
                  <w:noWrap w:val="0"/>
                  <w:vAlign w:val="center"/>
                </w:tcPr>
                <w:p w14:paraId="3A3EDD59">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14:paraId="2B319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81" w:type="pct"/>
                  <w:gridSpan w:val="3"/>
                  <w:tcBorders>
                    <w:top w:val="single" w:color="auto" w:sz="4" w:space="0"/>
                    <w:left w:val="single" w:color="auto" w:sz="4" w:space="0"/>
                    <w:bottom w:val="single" w:color="auto" w:sz="4" w:space="0"/>
                    <w:right w:val="single" w:color="auto" w:sz="4" w:space="0"/>
                  </w:tcBorders>
                  <w:noWrap w:val="0"/>
                  <w:vAlign w:val="center"/>
                </w:tcPr>
                <w:p w14:paraId="6AEB0292">
                  <w:pPr>
                    <w:pStyle w:val="273"/>
                    <w:spacing w:line="360" w:lineRule="exact"/>
                    <w:jc w:val="center"/>
                    <w:rPr>
                      <w:rFonts w:hint="default" w:ascii="Times New Roman" w:hAnsi="Times New Roman" w:cs="Times New Roman"/>
                      <w:color w:val="auto"/>
                    </w:rPr>
                  </w:pPr>
                  <w:r>
                    <w:rPr>
                      <w:rFonts w:hint="default" w:ascii="Times New Roman" w:hAnsi="Times New Roman" w:cs="Times New Roman"/>
                      <w:b/>
                      <w:bCs/>
                      <w:color w:val="auto"/>
                    </w:rPr>
                    <w:t>小计</w:t>
                  </w:r>
                </w:p>
              </w:tc>
              <w:tc>
                <w:tcPr>
                  <w:tcW w:w="1078" w:type="pct"/>
                  <w:tcBorders>
                    <w:top w:val="single" w:color="auto" w:sz="4" w:space="0"/>
                    <w:left w:val="single" w:color="auto" w:sz="4" w:space="0"/>
                    <w:bottom w:val="single" w:color="auto" w:sz="4" w:space="0"/>
                    <w:right w:val="single" w:color="auto" w:sz="4" w:space="0"/>
                  </w:tcBorders>
                  <w:noWrap w:val="0"/>
                  <w:vAlign w:val="center"/>
                </w:tcPr>
                <w:p w14:paraId="6DDFCBD5">
                  <w:pPr>
                    <w:pStyle w:val="273"/>
                    <w:spacing w:line="360" w:lineRule="exact"/>
                    <w:jc w:val="center"/>
                    <w:rPr>
                      <w:rFonts w:hint="default" w:ascii="Times New Roman" w:hAnsi="Times New Roman" w:cs="Times New Roman"/>
                      <w:color w:val="auto"/>
                    </w:rPr>
                  </w:pPr>
                  <w:r>
                    <w:rPr>
                      <w:rFonts w:hint="default" w:ascii="Times New Roman" w:hAnsi="Times New Roman" w:cs="Times New Roman"/>
                      <w:color w:val="auto"/>
                      <w:lang w:val="en-US" w:eastAsia="zh-CN"/>
                    </w:rPr>
                    <w:t>6000</w:t>
                  </w:r>
                  <w:r>
                    <w:rPr>
                      <w:rFonts w:hint="default" w:ascii="Times New Roman" w:hAnsi="Times New Roman" w:cs="Times New Roman"/>
                      <w:color w:val="auto"/>
                    </w:rPr>
                    <w:t>万件/年</w:t>
                  </w:r>
                </w:p>
              </w:tc>
              <w:tc>
                <w:tcPr>
                  <w:tcW w:w="1140" w:type="pct"/>
                  <w:tcBorders>
                    <w:top w:val="single" w:color="auto" w:sz="4" w:space="0"/>
                    <w:left w:val="single" w:color="auto" w:sz="4" w:space="0"/>
                    <w:bottom w:val="single" w:color="auto" w:sz="4" w:space="0"/>
                    <w:right w:val="single" w:color="auto" w:sz="4" w:space="0"/>
                  </w:tcBorders>
                  <w:noWrap w:val="0"/>
                  <w:vAlign w:val="center"/>
                </w:tcPr>
                <w:p w14:paraId="5B3A05CE">
                  <w:pPr>
                    <w:widowControl/>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bl>
          <w:p w14:paraId="71766946">
            <w:pPr>
              <w:pStyle w:val="49"/>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bCs/>
                <w:color w:val="auto"/>
                <w:szCs w:val="24"/>
              </w:rPr>
            </w:pPr>
            <w:r>
              <w:rPr>
                <w:rFonts w:hint="default" w:ascii="Times New Roman" w:hAnsi="Times New Roman" w:cs="Times New Roman"/>
                <w:b/>
                <w:bCs/>
                <w:color w:val="auto"/>
                <w:szCs w:val="24"/>
              </w:rPr>
              <w:t>2.7.3 现有</w:t>
            </w:r>
            <w:r>
              <w:rPr>
                <w:rFonts w:hint="eastAsia" w:cs="Times New Roman"/>
                <w:b/>
                <w:bCs/>
                <w:color w:val="auto"/>
                <w:szCs w:val="24"/>
                <w:lang w:val="en-US" w:eastAsia="zh-CN"/>
              </w:rPr>
              <w:t>工程</w:t>
            </w:r>
            <w:r>
              <w:rPr>
                <w:rFonts w:hint="default" w:ascii="Times New Roman" w:hAnsi="Times New Roman" w:cs="Times New Roman"/>
                <w:b/>
                <w:bCs/>
                <w:color w:val="auto"/>
                <w:szCs w:val="24"/>
              </w:rPr>
              <w:t>环保手续履行情况</w:t>
            </w:r>
          </w:p>
          <w:p w14:paraId="7C12577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kern w:val="0"/>
                <w:sz w:val="24"/>
              </w:rPr>
              <w:t>现有</w:t>
            </w:r>
            <w:r>
              <w:rPr>
                <w:rFonts w:hint="eastAsia" w:cs="Times New Roman"/>
                <w:color w:val="auto"/>
                <w:kern w:val="0"/>
                <w:sz w:val="24"/>
                <w:lang w:eastAsia="zh-CN"/>
              </w:rPr>
              <w:t>工程</w:t>
            </w:r>
            <w:r>
              <w:rPr>
                <w:rFonts w:hint="default" w:ascii="Times New Roman" w:hAnsi="Times New Roman" w:cs="Times New Roman"/>
                <w:color w:val="auto"/>
                <w:kern w:val="0"/>
                <w:sz w:val="24"/>
              </w:rPr>
              <w:t>环保手续及环保档案资料齐全，环保手续履行情况详见表2.7-2</w:t>
            </w:r>
            <w:r>
              <w:rPr>
                <w:rFonts w:hint="default" w:ascii="Times New Roman" w:hAnsi="Times New Roman" w:cs="Times New Roman"/>
                <w:color w:val="auto"/>
                <w:sz w:val="24"/>
              </w:rPr>
              <w:t>。</w:t>
            </w:r>
          </w:p>
          <w:p w14:paraId="51E029FF">
            <w:pPr>
              <w:pStyle w:val="225"/>
              <w:spacing w:line="240" w:lineRule="auto"/>
              <w:rPr>
                <w:rFonts w:hint="default" w:ascii="Times New Roman" w:hAnsi="Times New Roman" w:cs="Times New Roman"/>
                <w:bCs/>
                <w:color w:val="auto"/>
                <w:szCs w:val="24"/>
              </w:rPr>
            </w:pPr>
            <w:r>
              <w:rPr>
                <w:rFonts w:hint="default" w:ascii="Times New Roman" w:hAnsi="Times New Roman" w:cs="Times New Roman"/>
                <w:bCs/>
                <w:color w:val="auto"/>
                <w:szCs w:val="24"/>
              </w:rPr>
              <w:t xml:space="preserve">表2.7-2  </w:t>
            </w:r>
            <w:r>
              <w:rPr>
                <w:rFonts w:hint="default" w:ascii="Times New Roman" w:hAnsi="Times New Roman" w:cs="Times New Roman"/>
                <w:color w:val="auto"/>
                <w:szCs w:val="24"/>
              </w:rPr>
              <w:t>现有</w:t>
            </w:r>
            <w:r>
              <w:rPr>
                <w:rFonts w:hint="eastAsia" w:cs="Times New Roman"/>
                <w:color w:val="auto"/>
                <w:szCs w:val="24"/>
                <w:lang w:val="en-US" w:eastAsia="zh-CN"/>
              </w:rPr>
              <w:t>工程</w:t>
            </w:r>
            <w:r>
              <w:rPr>
                <w:rFonts w:hint="default" w:ascii="Times New Roman" w:hAnsi="Times New Roman" w:cs="Times New Roman"/>
                <w:color w:val="auto"/>
                <w:szCs w:val="24"/>
              </w:rPr>
              <w:t>环保手续履行情况一览表</w:t>
            </w:r>
          </w:p>
          <w:tbl>
            <w:tblPr>
              <w:tblStyle w:val="35"/>
              <w:tblW w:w="87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0"/>
              <w:gridCol w:w="1404"/>
              <w:gridCol w:w="4129"/>
              <w:gridCol w:w="983"/>
              <w:gridCol w:w="932"/>
            </w:tblGrid>
            <w:tr w14:paraId="1B222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10" w:type="dxa"/>
                  <w:noWrap w:val="0"/>
                  <w:vAlign w:val="center"/>
                </w:tcPr>
                <w:p w14:paraId="09881356">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项目名称</w:t>
                  </w:r>
                </w:p>
              </w:tc>
              <w:tc>
                <w:tcPr>
                  <w:tcW w:w="1404" w:type="dxa"/>
                  <w:noWrap w:val="0"/>
                  <w:vAlign w:val="center"/>
                </w:tcPr>
                <w:p w14:paraId="3A8F951C">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类别</w:t>
                  </w:r>
                </w:p>
              </w:tc>
              <w:tc>
                <w:tcPr>
                  <w:tcW w:w="4129" w:type="dxa"/>
                  <w:noWrap w:val="0"/>
                  <w:vAlign w:val="center"/>
                </w:tcPr>
                <w:p w14:paraId="2EA37DA7">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主要建设内容</w:t>
                  </w:r>
                </w:p>
              </w:tc>
              <w:tc>
                <w:tcPr>
                  <w:tcW w:w="983" w:type="dxa"/>
                  <w:noWrap w:val="0"/>
                  <w:vAlign w:val="center"/>
                </w:tcPr>
                <w:p w14:paraId="5A2AF82A">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审批文号</w:t>
                  </w:r>
                </w:p>
              </w:tc>
              <w:tc>
                <w:tcPr>
                  <w:tcW w:w="932" w:type="dxa"/>
                  <w:noWrap w:val="0"/>
                  <w:vAlign w:val="center"/>
                </w:tcPr>
                <w:p w14:paraId="294C9074">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时间</w:t>
                  </w:r>
                </w:p>
                <w:p w14:paraId="68C22350">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节点</w:t>
                  </w:r>
                </w:p>
              </w:tc>
            </w:tr>
            <w:tr w14:paraId="4370A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10" w:type="dxa"/>
                  <w:vMerge w:val="restart"/>
                  <w:noWrap w:val="0"/>
                  <w:vAlign w:val="center"/>
                </w:tcPr>
                <w:p w14:paraId="231D1060">
                  <w:pPr>
                    <w:spacing w:line="240" w:lineRule="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东莞盈合（达州）大竹精密塑胶生产</w:t>
                  </w:r>
                </w:p>
              </w:tc>
              <w:tc>
                <w:tcPr>
                  <w:tcW w:w="1404" w:type="dxa"/>
                  <w:noWrap w:val="0"/>
                  <w:vAlign w:val="center"/>
                </w:tcPr>
                <w:p w14:paraId="63ED14EF">
                  <w:pPr>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环境影响报告表</w:t>
                  </w:r>
                </w:p>
              </w:tc>
              <w:tc>
                <w:tcPr>
                  <w:tcW w:w="4129" w:type="dxa"/>
                  <w:noWrap w:val="0"/>
                  <w:vAlign w:val="top"/>
                </w:tcPr>
                <w:p w14:paraId="70099B24">
                  <w:pPr>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租赁四川省达州市大竹县经济开发区永顺路西部鞋城一期D区D5、D6厂房，购置安装3条手机充电器塑胶外壳先进设备生产线，年产手机充电器塑胶外壳8000万件。</w:t>
                  </w:r>
                </w:p>
              </w:tc>
              <w:tc>
                <w:tcPr>
                  <w:tcW w:w="983" w:type="dxa"/>
                  <w:noWrap w:val="0"/>
                  <w:vAlign w:val="center"/>
                </w:tcPr>
                <w:p w14:paraId="671753AF">
                  <w:pPr>
                    <w:spacing w:line="240" w:lineRule="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竹环函〔2021〕48号</w:t>
                  </w:r>
                </w:p>
              </w:tc>
              <w:tc>
                <w:tcPr>
                  <w:tcW w:w="932" w:type="dxa"/>
                  <w:noWrap w:val="0"/>
                  <w:vAlign w:val="center"/>
                </w:tcPr>
                <w:p w14:paraId="0DDE66DF">
                  <w:pPr>
                    <w:spacing w:line="240" w:lineRule="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2021.3</w:t>
                  </w:r>
                </w:p>
              </w:tc>
            </w:tr>
            <w:tr w14:paraId="5DD27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10" w:type="dxa"/>
                  <w:vMerge w:val="continue"/>
                  <w:noWrap w:val="0"/>
                  <w:vAlign w:val="top"/>
                </w:tcPr>
                <w:p w14:paraId="4AB2233C">
                  <w:pPr>
                    <w:spacing w:line="240" w:lineRule="auto"/>
                    <w:rPr>
                      <w:rFonts w:hint="default" w:ascii="Times New Roman" w:hAnsi="Times New Roman" w:cs="Times New Roman"/>
                      <w:color w:val="auto"/>
                      <w:szCs w:val="21"/>
                    </w:rPr>
                  </w:pPr>
                </w:p>
              </w:tc>
              <w:tc>
                <w:tcPr>
                  <w:tcW w:w="1404" w:type="dxa"/>
                  <w:noWrap w:val="0"/>
                  <w:vAlign w:val="center"/>
                </w:tcPr>
                <w:p w14:paraId="0BB02D7F">
                  <w:pPr>
                    <w:spacing w:line="240" w:lineRule="auto"/>
                    <w:jc w:val="both"/>
                    <w:rPr>
                      <w:rFonts w:hint="default" w:ascii="Times New Roman" w:hAnsi="Times New Roman" w:cs="Times New Roman"/>
                      <w:color w:val="auto"/>
                      <w:szCs w:val="21"/>
                    </w:rPr>
                  </w:pPr>
                  <w:r>
                    <w:rPr>
                      <w:rFonts w:hint="default" w:ascii="Times New Roman" w:hAnsi="Times New Roman" w:cs="Times New Roman"/>
                      <w:color w:val="auto"/>
                      <w:szCs w:val="21"/>
                    </w:rPr>
                    <w:t>竣工环境保护验收</w:t>
                  </w:r>
                </w:p>
              </w:tc>
              <w:tc>
                <w:tcPr>
                  <w:tcW w:w="4129" w:type="dxa"/>
                  <w:noWrap w:val="0"/>
                  <w:vAlign w:val="top"/>
                </w:tcPr>
                <w:p w14:paraId="4D42E0AF">
                  <w:pPr>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租赁四川省达州市大竹县经济开发区永顺路西部鞋城一期D区D5、D6厂房，购置安装3条手机充电器塑胶外壳先进设备生产线，年产手机充电器塑胶外壳6000万件。</w:t>
                  </w:r>
                </w:p>
              </w:tc>
              <w:tc>
                <w:tcPr>
                  <w:tcW w:w="983" w:type="dxa"/>
                  <w:noWrap w:val="0"/>
                  <w:vAlign w:val="center"/>
                </w:tcPr>
                <w:p w14:paraId="3ACFAD77">
                  <w:pPr>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验收意见</w:t>
                  </w:r>
                </w:p>
              </w:tc>
              <w:tc>
                <w:tcPr>
                  <w:tcW w:w="932" w:type="dxa"/>
                  <w:noWrap w:val="0"/>
                  <w:vAlign w:val="center"/>
                </w:tcPr>
                <w:p w14:paraId="5450373C">
                  <w:pPr>
                    <w:spacing w:line="240" w:lineRule="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2022.3</w:t>
                  </w:r>
                </w:p>
              </w:tc>
            </w:tr>
            <w:tr w14:paraId="3164C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noWrap w:val="0"/>
                  <w:vAlign w:val="top"/>
                </w:tcPr>
                <w:p w14:paraId="6FE81CBD">
                  <w:pPr>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固定污染源排污申报</w:t>
                  </w:r>
                </w:p>
              </w:tc>
              <w:tc>
                <w:tcPr>
                  <w:tcW w:w="1404" w:type="dxa"/>
                  <w:noWrap w:val="0"/>
                  <w:vAlign w:val="center"/>
                </w:tcPr>
                <w:p w14:paraId="6BA00A21">
                  <w:pPr>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登记管理</w:t>
                  </w:r>
                </w:p>
              </w:tc>
              <w:tc>
                <w:tcPr>
                  <w:tcW w:w="4129" w:type="dxa"/>
                  <w:noWrap w:val="0"/>
                  <w:vAlign w:val="center"/>
                </w:tcPr>
                <w:p w14:paraId="0CB5B957">
                  <w:pPr>
                    <w:spacing w:line="240" w:lineRule="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《固定污染源排污登记回执》登记编号：</w:t>
                  </w:r>
                  <w:r>
                    <w:rPr>
                      <w:rFonts w:hint="default" w:ascii="Times New Roman" w:hAnsi="Times New Roman" w:cs="Times New Roman"/>
                      <w:color w:val="auto"/>
                      <w:szCs w:val="21"/>
                      <w:lang w:val="en-US" w:eastAsia="zh-CN"/>
                    </w:rPr>
                    <w:t>91511724MA6BF6EY3E001Y</w:t>
                  </w:r>
                </w:p>
              </w:tc>
              <w:tc>
                <w:tcPr>
                  <w:tcW w:w="983" w:type="dxa"/>
                  <w:noWrap w:val="0"/>
                  <w:vAlign w:val="center"/>
                </w:tcPr>
                <w:p w14:paraId="28951513">
                  <w:pPr>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932" w:type="dxa"/>
                  <w:noWrap w:val="0"/>
                  <w:vAlign w:val="center"/>
                </w:tcPr>
                <w:p w14:paraId="11D4DF03">
                  <w:pPr>
                    <w:spacing w:line="240" w:lineRule="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202</w:t>
                  </w:r>
                  <w:r>
                    <w:rPr>
                      <w:rFonts w:hint="default" w:ascii="Times New Roman" w:hAnsi="Times New Roman" w:cs="Times New Roman"/>
                      <w:color w:val="auto"/>
                      <w:szCs w:val="21"/>
                      <w:lang w:val="en-US" w:eastAsia="zh-CN"/>
                    </w:rPr>
                    <w:t>1.12</w:t>
                  </w:r>
                </w:p>
              </w:tc>
            </w:tr>
          </w:tbl>
          <w:p w14:paraId="7BCB8845">
            <w:pPr>
              <w:pStyle w:val="49"/>
              <w:keepNext w:val="0"/>
              <w:keepLines w:val="0"/>
              <w:pageBreakBefore w:val="0"/>
              <w:widowControl w:val="0"/>
              <w:kinsoku/>
              <w:wordWrap/>
              <w:overflowPunct/>
              <w:topLinePunct w:val="0"/>
              <w:autoSpaceDE/>
              <w:autoSpaceDN/>
              <w:bidi w:val="0"/>
              <w:ind w:firstLine="0" w:firstLineChars="0"/>
              <w:textAlignment w:val="auto"/>
              <w:rPr>
                <w:rFonts w:hint="default" w:ascii="Times New Roman" w:hAnsi="Times New Roman" w:cs="Times New Roman"/>
                <w:b/>
                <w:bCs/>
                <w:color w:val="auto"/>
                <w:szCs w:val="24"/>
              </w:rPr>
            </w:pPr>
          </w:p>
          <w:p w14:paraId="7D5A87D6">
            <w:pPr>
              <w:pStyle w:val="49"/>
              <w:keepNext w:val="0"/>
              <w:keepLines w:val="0"/>
              <w:pageBreakBefore w:val="0"/>
              <w:widowControl w:val="0"/>
              <w:kinsoku/>
              <w:wordWrap/>
              <w:overflowPunct/>
              <w:topLinePunct w:val="0"/>
              <w:autoSpaceDE/>
              <w:autoSpaceDN/>
              <w:bidi w:val="0"/>
              <w:spacing w:line="240" w:lineRule="auto"/>
              <w:ind w:firstLine="0" w:firstLineChars="0"/>
              <w:textAlignment w:val="auto"/>
              <w:rPr>
                <w:rFonts w:hint="default" w:ascii="Times New Roman" w:hAnsi="Times New Roman" w:cs="Times New Roman"/>
                <w:b/>
                <w:bCs/>
                <w:color w:val="auto"/>
                <w:szCs w:val="24"/>
              </w:rPr>
            </w:pPr>
          </w:p>
          <w:p w14:paraId="04521BE6">
            <w:pPr>
              <w:pStyle w:val="49"/>
              <w:keepNext w:val="0"/>
              <w:keepLines w:val="0"/>
              <w:pageBreakBefore w:val="0"/>
              <w:widowControl w:val="0"/>
              <w:kinsoku/>
              <w:wordWrap/>
              <w:overflowPunct/>
              <w:topLinePunct w:val="0"/>
              <w:autoSpaceDE/>
              <w:autoSpaceDN/>
              <w:bidi w:val="0"/>
              <w:ind w:firstLine="0" w:firstLineChars="0"/>
              <w:textAlignment w:val="auto"/>
              <w:rPr>
                <w:rFonts w:hint="default" w:ascii="Times New Roman" w:hAnsi="Times New Roman" w:cs="Times New Roman"/>
                <w:b/>
                <w:bCs/>
                <w:color w:val="auto"/>
                <w:szCs w:val="24"/>
              </w:rPr>
            </w:pPr>
            <w:r>
              <w:rPr>
                <w:rFonts w:hint="default" w:ascii="Times New Roman" w:hAnsi="Times New Roman" w:cs="Times New Roman"/>
                <w:b/>
                <w:bCs/>
                <w:color w:val="auto"/>
                <w:szCs w:val="24"/>
              </w:rPr>
              <w:t>2.7.4 现有</w:t>
            </w:r>
            <w:r>
              <w:rPr>
                <w:rFonts w:hint="eastAsia" w:cs="Times New Roman"/>
                <w:b/>
                <w:bCs/>
                <w:color w:val="auto"/>
                <w:szCs w:val="24"/>
                <w:lang w:val="en-US" w:eastAsia="zh-CN"/>
              </w:rPr>
              <w:t>工程</w:t>
            </w:r>
            <w:r>
              <w:rPr>
                <w:rFonts w:hint="default" w:ascii="Times New Roman" w:hAnsi="Times New Roman" w:cs="Times New Roman"/>
                <w:b/>
                <w:bCs/>
                <w:color w:val="auto"/>
                <w:szCs w:val="24"/>
              </w:rPr>
              <w:t>主要建设内容</w:t>
            </w:r>
          </w:p>
          <w:p w14:paraId="573FBDA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现有</w:t>
            </w:r>
            <w:r>
              <w:rPr>
                <w:rFonts w:hint="eastAsia" w:cs="Times New Roman"/>
                <w:color w:val="auto"/>
                <w:kern w:val="0"/>
                <w:sz w:val="24"/>
                <w:lang w:eastAsia="zh-CN"/>
              </w:rPr>
              <w:t>工程</w:t>
            </w:r>
            <w:r>
              <w:rPr>
                <w:rFonts w:hint="default" w:ascii="Times New Roman" w:hAnsi="Times New Roman" w:cs="Times New Roman"/>
                <w:color w:val="auto"/>
                <w:kern w:val="0"/>
                <w:sz w:val="24"/>
              </w:rPr>
              <w:t>组成详见表2.7-3。</w:t>
            </w:r>
          </w:p>
          <w:p w14:paraId="6EFFB4ED">
            <w:pPr>
              <w:spacing w:line="240" w:lineRule="auto"/>
              <w:jc w:val="center"/>
              <w:rPr>
                <w:rFonts w:hint="default" w:ascii="Times New Roman" w:hAnsi="Times New Roman" w:cs="Times New Roman"/>
                <w:b/>
                <w:color w:val="auto"/>
                <w:sz w:val="24"/>
              </w:rPr>
            </w:pPr>
            <w:r>
              <w:rPr>
                <w:rFonts w:hint="default" w:ascii="Times New Roman" w:hAnsi="Times New Roman" w:cs="Times New Roman"/>
                <w:b/>
                <w:color w:val="auto"/>
                <w:sz w:val="24"/>
              </w:rPr>
              <w:t>表2.7-3   现有</w:t>
            </w:r>
            <w:r>
              <w:rPr>
                <w:rFonts w:hint="eastAsia" w:cs="Times New Roman"/>
                <w:b/>
                <w:color w:val="auto"/>
                <w:sz w:val="24"/>
                <w:lang w:val="en-US" w:eastAsia="zh-CN"/>
              </w:rPr>
              <w:t>工程</w:t>
            </w:r>
            <w:r>
              <w:rPr>
                <w:rFonts w:hint="default" w:ascii="Times New Roman" w:hAnsi="Times New Roman" w:cs="Times New Roman"/>
                <w:b/>
                <w:color w:val="auto"/>
                <w:sz w:val="24"/>
              </w:rPr>
              <w:t>组成一览表</w:t>
            </w:r>
          </w:p>
          <w:tbl>
            <w:tblPr>
              <w:tblStyle w:val="35"/>
              <w:tblW w:w="867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0"/>
              <w:gridCol w:w="947"/>
              <w:gridCol w:w="1063"/>
              <w:gridCol w:w="6012"/>
            </w:tblGrid>
            <w:tr w14:paraId="40F45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0" w:type="dxa"/>
                  <w:tcBorders>
                    <w:top w:val="single" w:color="000000" w:sz="4" w:space="0"/>
                    <w:left w:val="single" w:color="000000" w:sz="4" w:space="0"/>
                    <w:bottom w:val="single" w:color="000000" w:sz="4" w:space="0"/>
                    <w:right w:val="single" w:color="000000" w:sz="4" w:space="0"/>
                  </w:tcBorders>
                  <w:noWrap w:val="0"/>
                  <w:vAlign w:val="center"/>
                </w:tcPr>
                <w:p w14:paraId="0C47C06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组成</w:t>
                  </w:r>
                </w:p>
              </w:tc>
              <w:tc>
                <w:tcPr>
                  <w:tcW w:w="2010" w:type="dxa"/>
                  <w:gridSpan w:val="2"/>
                  <w:tcBorders>
                    <w:top w:val="single" w:color="000000" w:sz="4" w:space="0"/>
                    <w:left w:val="single" w:color="000000" w:sz="4" w:space="0"/>
                    <w:bottom w:val="single" w:color="000000" w:sz="4" w:space="0"/>
                    <w:right w:val="single" w:color="000000" w:sz="4" w:space="0"/>
                  </w:tcBorders>
                  <w:noWrap w:val="0"/>
                  <w:vAlign w:val="center"/>
                </w:tcPr>
                <w:p w14:paraId="7C8A98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类别</w:t>
                  </w:r>
                </w:p>
              </w:tc>
              <w:tc>
                <w:tcPr>
                  <w:tcW w:w="6012" w:type="dxa"/>
                  <w:tcBorders>
                    <w:top w:val="single" w:color="000000" w:sz="4" w:space="0"/>
                    <w:left w:val="single" w:color="000000" w:sz="4" w:space="0"/>
                    <w:bottom w:val="single" w:color="000000" w:sz="4" w:space="0"/>
                    <w:right w:val="single" w:color="000000" w:sz="4" w:space="0"/>
                  </w:tcBorders>
                  <w:noWrap w:val="0"/>
                  <w:vAlign w:val="center"/>
                </w:tcPr>
                <w:p w14:paraId="3A0A03B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建设内容及规模</w:t>
                  </w:r>
                </w:p>
              </w:tc>
            </w:tr>
            <w:tr w14:paraId="2AAA8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0" w:type="dxa"/>
                  <w:vMerge w:val="restart"/>
                  <w:tcBorders>
                    <w:top w:val="single" w:color="000000" w:sz="4" w:space="0"/>
                    <w:left w:val="single" w:color="000000" w:sz="4" w:space="0"/>
                    <w:bottom w:val="single" w:color="000000" w:sz="4" w:space="0"/>
                    <w:right w:val="single" w:color="000000" w:sz="4" w:space="0"/>
                  </w:tcBorders>
                  <w:noWrap w:val="0"/>
                  <w:vAlign w:val="center"/>
                </w:tcPr>
                <w:p w14:paraId="7E2AE12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主体工程</w:t>
                  </w:r>
                </w:p>
              </w:tc>
              <w:tc>
                <w:tcPr>
                  <w:tcW w:w="947" w:type="dxa"/>
                  <w:vMerge w:val="restart"/>
                  <w:tcBorders>
                    <w:top w:val="single" w:color="000000" w:sz="4" w:space="0"/>
                    <w:left w:val="single" w:color="000000" w:sz="4" w:space="0"/>
                    <w:bottom w:val="single" w:color="000000" w:sz="4" w:space="0"/>
                    <w:right w:val="single" w:color="000000" w:sz="4" w:space="0"/>
                  </w:tcBorders>
                  <w:noWrap w:val="0"/>
                  <w:vAlign w:val="center"/>
                </w:tcPr>
                <w:p w14:paraId="4A27CE0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厂房D5生产线4000m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14:paraId="6F96DFC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注塑区</w:t>
                  </w:r>
                </w:p>
              </w:tc>
              <w:tc>
                <w:tcPr>
                  <w:tcW w:w="6012" w:type="dxa"/>
                  <w:tcBorders>
                    <w:top w:val="single" w:color="000000" w:sz="4" w:space="0"/>
                    <w:left w:val="single" w:color="000000" w:sz="4" w:space="0"/>
                    <w:bottom w:val="single" w:color="000000" w:sz="4" w:space="0"/>
                    <w:right w:val="single" w:color="000000" w:sz="4" w:space="0"/>
                  </w:tcBorders>
                  <w:noWrap w:val="0"/>
                  <w:vAlign w:val="center"/>
                </w:tcPr>
                <w:p w14:paraId="0E761912">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位于D5一层，放置全自动注塑成型机，承担注塑产品生产工序</w:t>
                  </w:r>
                </w:p>
              </w:tc>
            </w:tr>
            <w:tr w14:paraId="020AE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7FCDDE">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9F902B">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063" w:type="dxa"/>
                  <w:tcBorders>
                    <w:top w:val="single" w:color="000000" w:sz="4" w:space="0"/>
                    <w:left w:val="single" w:color="000000" w:sz="4" w:space="0"/>
                    <w:bottom w:val="single" w:color="000000" w:sz="4" w:space="0"/>
                    <w:right w:val="single" w:color="000000" w:sz="4" w:space="0"/>
                  </w:tcBorders>
                  <w:noWrap w:val="0"/>
                  <w:vAlign w:val="center"/>
                </w:tcPr>
                <w:p w14:paraId="69AA811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烘料区</w:t>
                  </w:r>
                </w:p>
              </w:tc>
              <w:tc>
                <w:tcPr>
                  <w:tcW w:w="6012" w:type="dxa"/>
                  <w:tcBorders>
                    <w:top w:val="single" w:color="000000" w:sz="4" w:space="0"/>
                    <w:left w:val="single" w:color="000000" w:sz="4" w:space="0"/>
                    <w:bottom w:val="single" w:color="000000" w:sz="4" w:space="0"/>
                    <w:right w:val="single" w:color="000000" w:sz="4" w:space="0"/>
                  </w:tcBorders>
                  <w:noWrap w:val="0"/>
                  <w:vAlign w:val="center"/>
                </w:tcPr>
                <w:p w14:paraId="293BC9F9">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位于D5一层，位于注塑区中部，放置干燥机，承担投料烘干工序</w:t>
                  </w:r>
                </w:p>
              </w:tc>
            </w:tr>
            <w:tr w14:paraId="2F21C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FF1622">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2AEDDF8">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063" w:type="dxa"/>
                  <w:tcBorders>
                    <w:top w:val="single" w:color="000000" w:sz="4" w:space="0"/>
                    <w:left w:val="single" w:color="000000" w:sz="4" w:space="0"/>
                    <w:bottom w:val="single" w:color="000000" w:sz="4" w:space="0"/>
                    <w:right w:val="single" w:color="000000" w:sz="4" w:space="0"/>
                  </w:tcBorders>
                  <w:noWrap w:val="0"/>
                  <w:vAlign w:val="center"/>
                </w:tcPr>
                <w:p w14:paraId="72A33A3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碎料房</w:t>
                  </w:r>
                </w:p>
              </w:tc>
              <w:tc>
                <w:tcPr>
                  <w:tcW w:w="6012" w:type="dxa"/>
                  <w:tcBorders>
                    <w:top w:val="single" w:color="000000" w:sz="4" w:space="0"/>
                    <w:left w:val="single" w:color="000000" w:sz="4" w:space="0"/>
                    <w:bottom w:val="single" w:color="000000" w:sz="4" w:space="0"/>
                    <w:right w:val="single" w:color="000000" w:sz="4" w:space="0"/>
                  </w:tcBorders>
                  <w:noWrap w:val="0"/>
                  <w:vAlign w:val="center"/>
                </w:tcPr>
                <w:p w14:paraId="08A49C94">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位于D5一层，位于注塑车间北侧，设置粉碎机2台，用于破碎塑料</w:t>
                  </w:r>
                </w:p>
              </w:tc>
            </w:tr>
            <w:tr w14:paraId="49F39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4AFB08">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D2D31C">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063" w:type="dxa"/>
                  <w:tcBorders>
                    <w:top w:val="single" w:color="000000" w:sz="4" w:space="0"/>
                    <w:left w:val="single" w:color="000000" w:sz="4" w:space="0"/>
                    <w:bottom w:val="single" w:color="000000" w:sz="4" w:space="0"/>
                    <w:right w:val="single" w:color="000000" w:sz="4" w:space="0"/>
                  </w:tcBorders>
                  <w:noWrap w:val="0"/>
                  <w:vAlign w:val="center"/>
                </w:tcPr>
                <w:p w14:paraId="570671D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模具保养加工区域</w:t>
                  </w:r>
                </w:p>
              </w:tc>
              <w:tc>
                <w:tcPr>
                  <w:tcW w:w="6012" w:type="dxa"/>
                  <w:tcBorders>
                    <w:top w:val="single" w:color="000000" w:sz="4" w:space="0"/>
                    <w:left w:val="single" w:color="000000" w:sz="4" w:space="0"/>
                    <w:bottom w:val="single" w:color="000000" w:sz="4" w:space="0"/>
                    <w:right w:val="single" w:color="000000" w:sz="4" w:space="0"/>
                  </w:tcBorders>
                  <w:noWrap w:val="0"/>
                  <w:vAlign w:val="center"/>
                </w:tcPr>
                <w:p w14:paraId="2921BA23">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位于D5一层，注塑区北侧</w:t>
                  </w:r>
                </w:p>
              </w:tc>
            </w:tr>
            <w:tr w14:paraId="299736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6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F528A9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47" w:type="dxa"/>
                  <w:vMerge w:val="restart"/>
                  <w:tcBorders>
                    <w:top w:val="single" w:color="000000" w:sz="4" w:space="0"/>
                    <w:left w:val="single" w:color="000000" w:sz="4" w:space="0"/>
                    <w:bottom w:val="single" w:color="000000" w:sz="4" w:space="0"/>
                    <w:right w:val="single" w:color="000000" w:sz="4" w:space="0"/>
                  </w:tcBorders>
                  <w:noWrap w:val="0"/>
                  <w:vAlign w:val="center"/>
                </w:tcPr>
                <w:p w14:paraId="309F0AE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厂房D6生产线4000m</w:t>
                  </w:r>
                  <w:r>
                    <w:rPr>
                      <w:rFonts w:hint="default" w:ascii="Times New Roman" w:hAnsi="Times New Roman" w:eastAsia="宋体" w:cs="Times New Roman"/>
                      <w:i w:val="0"/>
                      <w:iCs w:val="0"/>
                      <w:color w:val="auto"/>
                      <w:kern w:val="0"/>
                      <w:sz w:val="21"/>
                      <w:szCs w:val="21"/>
                      <w:u w:val="none"/>
                      <w:vertAlign w:val="superscript"/>
                      <w:lang w:val="en-US" w:eastAsia="zh-CN" w:bidi="ar"/>
                    </w:rPr>
                    <w:t>2</w:t>
                  </w:r>
                </w:p>
              </w:tc>
              <w:tc>
                <w:tcPr>
                  <w:tcW w:w="1063" w:type="dxa"/>
                  <w:tcBorders>
                    <w:top w:val="single" w:color="000000" w:sz="4" w:space="0"/>
                    <w:left w:val="single" w:color="000000" w:sz="4" w:space="0"/>
                    <w:bottom w:val="single" w:color="000000" w:sz="4" w:space="0"/>
                    <w:right w:val="single" w:color="000000" w:sz="4" w:space="0"/>
                  </w:tcBorders>
                  <w:noWrap w:val="0"/>
                  <w:vAlign w:val="center"/>
                </w:tcPr>
                <w:p w14:paraId="38DB994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注塑区</w:t>
                  </w:r>
                </w:p>
              </w:tc>
              <w:tc>
                <w:tcPr>
                  <w:tcW w:w="6012" w:type="dxa"/>
                  <w:tcBorders>
                    <w:top w:val="single" w:color="000000" w:sz="4" w:space="0"/>
                    <w:left w:val="single" w:color="000000" w:sz="4" w:space="0"/>
                    <w:bottom w:val="single" w:color="000000" w:sz="4" w:space="0"/>
                    <w:right w:val="single" w:color="000000" w:sz="4" w:space="0"/>
                  </w:tcBorders>
                  <w:noWrap w:val="0"/>
                  <w:vAlign w:val="center"/>
                </w:tcPr>
                <w:p w14:paraId="0B895554">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仓库</w:t>
                  </w:r>
                </w:p>
              </w:tc>
            </w:tr>
            <w:tr w14:paraId="5B2C9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 w:hRule="atLeast"/>
              </w:trPr>
              <w:tc>
                <w:tcPr>
                  <w:tcW w:w="6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22CEA0">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66D3D68">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063" w:type="dxa"/>
                  <w:tcBorders>
                    <w:top w:val="single" w:color="000000" w:sz="4" w:space="0"/>
                    <w:left w:val="single" w:color="000000" w:sz="4" w:space="0"/>
                    <w:bottom w:val="single" w:color="000000" w:sz="4" w:space="0"/>
                    <w:right w:val="single" w:color="000000" w:sz="4" w:space="0"/>
                  </w:tcBorders>
                  <w:noWrap w:val="0"/>
                  <w:vAlign w:val="center"/>
                </w:tcPr>
                <w:p w14:paraId="48664B9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装配区</w:t>
                  </w:r>
                </w:p>
              </w:tc>
              <w:tc>
                <w:tcPr>
                  <w:tcW w:w="6012" w:type="dxa"/>
                  <w:tcBorders>
                    <w:top w:val="single" w:color="000000" w:sz="4" w:space="0"/>
                    <w:left w:val="single" w:color="000000" w:sz="4" w:space="0"/>
                    <w:bottom w:val="single" w:color="000000" w:sz="4" w:space="0"/>
                    <w:right w:val="single" w:color="000000" w:sz="4" w:space="0"/>
                  </w:tcBorders>
                  <w:noWrap w:val="0"/>
                  <w:vAlign w:val="center"/>
                </w:tcPr>
                <w:p w14:paraId="16019283">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仓库</w:t>
                  </w:r>
                </w:p>
              </w:tc>
            </w:tr>
            <w:tr w14:paraId="73461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0" w:type="dxa"/>
                  <w:vMerge w:val="restart"/>
                  <w:tcBorders>
                    <w:top w:val="single" w:color="000000" w:sz="4" w:space="0"/>
                    <w:left w:val="single" w:color="000000" w:sz="4" w:space="0"/>
                    <w:bottom w:val="single" w:color="000000" w:sz="4" w:space="0"/>
                    <w:right w:val="single" w:color="000000" w:sz="4" w:space="0"/>
                  </w:tcBorders>
                  <w:noWrap w:val="0"/>
                  <w:vAlign w:val="center"/>
                </w:tcPr>
                <w:p w14:paraId="4197833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辅助工程</w:t>
                  </w:r>
                </w:p>
              </w:tc>
              <w:tc>
                <w:tcPr>
                  <w:tcW w:w="2010" w:type="dxa"/>
                  <w:gridSpan w:val="2"/>
                  <w:tcBorders>
                    <w:top w:val="single" w:color="000000" w:sz="4" w:space="0"/>
                    <w:left w:val="single" w:color="000000" w:sz="4" w:space="0"/>
                    <w:bottom w:val="single" w:color="000000" w:sz="4" w:space="0"/>
                    <w:right w:val="single" w:color="000000" w:sz="4" w:space="0"/>
                  </w:tcBorders>
                  <w:noWrap w:val="0"/>
                  <w:vAlign w:val="center"/>
                </w:tcPr>
                <w:p w14:paraId="2C6DBD8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质检区</w:t>
                  </w:r>
                </w:p>
              </w:tc>
              <w:tc>
                <w:tcPr>
                  <w:tcW w:w="6012" w:type="dxa"/>
                  <w:tcBorders>
                    <w:top w:val="single" w:color="000000" w:sz="4" w:space="0"/>
                    <w:left w:val="single" w:color="000000" w:sz="4" w:space="0"/>
                    <w:bottom w:val="single" w:color="000000" w:sz="4" w:space="0"/>
                    <w:right w:val="single" w:color="000000" w:sz="4" w:space="0"/>
                  </w:tcBorders>
                  <w:noWrap w:val="0"/>
                  <w:vAlign w:val="center"/>
                </w:tcPr>
                <w:p w14:paraId="6B747034">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位于D5一层，紧邻注塑区，利用测量仪对模具尺寸，外观进行检验</w:t>
                  </w:r>
                </w:p>
              </w:tc>
            </w:tr>
            <w:tr w14:paraId="3FBED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65ED2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10" w:type="dxa"/>
                  <w:gridSpan w:val="2"/>
                  <w:tcBorders>
                    <w:top w:val="single" w:color="000000" w:sz="4" w:space="0"/>
                    <w:left w:val="single" w:color="000000" w:sz="4" w:space="0"/>
                    <w:bottom w:val="single" w:color="000000" w:sz="4" w:space="0"/>
                    <w:right w:val="single" w:color="000000" w:sz="4" w:space="0"/>
                  </w:tcBorders>
                  <w:noWrap w:val="0"/>
                  <w:vAlign w:val="center"/>
                </w:tcPr>
                <w:p w14:paraId="73B393A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冷却塔</w:t>
                  </w:r>
                </w:p>
              </w:tc>
              <w:tc>
                <w:tcPr>
                  <w:tcW w:w="6012" w:type="dxa"/>
                  <w:tcBorders>
                    <w:top w:val="single" w:color="000000" w:sz="4" w:space="0"/>
                    <w:left w:val="single" w:color="000000" w:sz="4" w:space="0"/>
                    <w:bottom w:val="single" w:color="000000" w:sz="4" w:space="0"/>
                    <w:right w:val="single" w:color="000000" w:sz="4" w:space="0"/>
                  </w:tcBorders>
                  <w:noWrap w:val="0"/>
                  <w:vAlign w:val="center"/>
                </w:tcPr>
                <w:p w14:paraId="27B86DAE">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位于D5厂房楼顶，主要为住宿工序提供循环冷却水</w:t>
                  </w:r>
                </w:p>
              </w:tc>
            </w:tr>
            <w:tr w14:paraId="5C785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0" w:type="dxa"/>
                  <w:vMerge w:val="restart"/>
                  <w:tcBorders>
                    <w:top w:val="single" w:color="000000" w:sz="4" w:space="0"/>
                    <w:left w:val="single" w:color="000000" w:sz="4" w:space="0"/>
                    <w:bottom w:val="single" w:color="000000" w:sz="4" w:space="0"/>
                    <w:right w:val="single" w:color="000000" w:sz="4" w:space="0"/>
                  </w:tcBorders>
                  <w:noWrap w:val="0"/>
                  <w:vAlign w:val="center"/>
                </w:tcPr>
                <w:p w14:paraId="48DBFC5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公用工程</w:t>
                  </w:r>
                </w:p>
              </w:tc>
              <w:tc>
                <w:tcPr>
                  <w:tcW w:w="2010" w:type="dxa"/>
                  <w:gridSpan w:val="2"/>
                  <w:tcBorders>
                    <w:top w:val="single" w:color="000000" w:sz="4" w:space="0"/>
                    <w:left w:val="single" w:color="000000" w:sz="4" w:space="0"/>
                    <w:bottom w:val="single" w:color="000000" w:sz="4" w:space="0"/>
                    <w:right w:val="single" w:color="000000" w:sz="4" w:space="0"/>
                  </w:tcBorders>
                  <w:noWrap w:val="0"/>
                  <w:vAlign w:val="center"/>
                </w:tcPr>
                <w:p w14:paraId="5775487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给水</w:t>
                  </w:r>
                </w:p>
              </w:tc>
              <w:tc>
                <w:tcPr>
                  <w:tcW w:w="6012" w:type="dxa"/>
                  <w:tcBorders>
                    <w:top w:val="single" w:color="000000" w:sz="4" w:space="0"/>
                    <w:left w:val="single" w:color="000000" w:sz="4" w:space="0"/>
                    <w:bottom w:val="single" w:color="000000" w:sz="4" w:space="0"/>
                    <w:right w:val="single" w:color="000000" w:sz="4" w:space="0"/>
                  </w:tcBorders>
                  <w:noWrap w:val="0"/>
                  <w:vAlign w:val="center"/>
                </w:tcPr>
                <w:p w14:paraId="5EC7825F">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由市政给水管网供给</w:t>
                  </w:r>
                </w:p>
              </w:tc>
            </w:tr>
            <w:tr w14:paraId="7D24B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4FA180">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10" w:type="dxa"/>
                  <w:gridSpan w:val="2"/>
                  <w:tcBorders>
                    <w:top w:val="single" w:color="000000" w:sz="4" w:space="0"/>
                    <w:left w:val="single" w:color="000000" w:sz="4" w:space="0"/>
                    <w:bottom w:val="single" w:color="000000" w:sz="4" w:space="0"/>
                    <w:right w:val="single" w:color="000000" w:sz="4" w:space="0"/>
                  </w:tcBorders>
                  <w:noWrap w:val="0"/>
                  <w:vAlign w:val="center"/>
                </w:tcPr>
                <w:p w14:paraId="7C1C7C0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供电</w:t>
                  </w:r>
                </w:p>
              </w:tc>
              <w:tc>
                <w:tcPr>
                  <w:tcW w:w="6012" w:type="dxa"/>
                  <w:tcBorders>
                    <w:top w:val="single" w:color="000000" w:sz="4" w:space="0"/>
                    <w:left w:val="single" w:color="000000" w:sz="4" w:space="0"/>
                    <w:bottom w:val="single" w:color="000000" w:sz="4" w:space="0"/>
                    <w:right w:val="single" w:color="000000" w:sz="4" w:space="0"/>
                  </w:tcBorders>
                  <w:noWrap w:val="0"/>
                  <w:vAlign w:val="center"/>
                </w:tcPr>
                <w:p w14:paraId="0325F00C">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由市政电网供给</w:t>
                  </w:r>
                </w:p>
              </w:tc>
            </w:tr>
            <w:tr w14:paraId="44C4C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0" w:type="dxa"/>
                  <w:tcBorders>
                    <w:top w:val="single" w:color="000000" w:sz="4" w:space="0"/>
                    <w:left w:val="single" w:color="000000" w:sz="4" w:space="0"/>
                    <w:bottom w:val="single" w:color="000000" w:sz="4" w:space="0"/>
                    <w:right w:val="single" w:color="000000" w:sz="4" w:space="0"/>
                  </w:tcBorders>
                  <w:noWrap w:val="0"/>
                  <w:vAlign w:val="center"/>
                </w:tcPr>
                <w:p w14:paraId="20EBE92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办公生活</w:t>
                  </w:r>
                </w:p>
              </w:tc>
              <w:tc>
                <w:tcPr>
                  <w:tcW w:w="2010" w:type="dxa"/>
                  <w:gridSpan w:val="2"/>
                  <w:tcBorders>
                    <w:top w:val="single" w:color="000000" w:sz="4" w:space="0"/>
                    <w:left w:val="single" w:color="000000" w:sz="4" w:space="0"/>
                    <w:bottom w:val="single" w:color="000000" w:sz="4" w:space="0"/>
                    <w:right w:val="single" w:color="000000" w:sz="4" w:space="0"/>
                  </w:tcBorders>
                  <w:noWrap w:val="0"/>
                  <w:vAlign w:val="center"/>
                </w:tcPr>
                <w:p w14:paraId="2A07921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办公室</w:t>
                  </w:r>
                </w:p>
              </w:tc>
              <w:tc>
                <w:tcPr>
                  <w:tcW w:w="6012" w:type="dxa"/>
                  <w:tcBorders>
                    <w:top w:val="single" w:color="000000" w:sz="4" w:space="0"/>
                    <w:left w:val="single" w:color="000000" w:sz="4" w:space="0"/>
                    <w:bottom w:val="single" w:color="000000" w:sz="4" w:space="0"/>
                    <w:right w:val="single" w:color="000000" w:sz="4" w:space="0"/>
                  </w:tcBorders>
                  <w:noWrap w:val="0"/>
                  <w:vAlign w:val="center"/>
                </w:tcPr>
                <w:p w14:paraId="5DFC1CA5">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D5厂房一层设置行政办公室、会议室及品质办公室</w:t>
                  </w:r>
                </w:p>
              </w:tc>
            </w:tr>
            <w:tr w14:paraId="303DB1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0" w:type="dxa"/>
                  <w:vMerge w:val="restart"/>
                  <w:tcBorders>
                    <w:top w:val="single" w:color="000000" w:sz="4" w:space="0"/>
                    <w:left w:val="single" w:color="000000" w:sz="4" w:space="0"/>
                    <w:bottom w:val="single" w:color="000000" w:sz="4" w:space="0"/>
                    <w:right w:val="single" w:color="000000" w:sz="4" w:space="0"/>
                  </w:tcBorders>
                  <w:noWrap w:val="0"/>
                  <w:vAlign w:val="center"/>
                </w:tcPr>
                <w:p w14:paraId="3B4B5F9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环保工程</w:t>
                  </w:r>
                </w:p>
              </w:tc>
              <w:tc>
                <w:tcPr>
                  <w:tcW w:w="2010" w:type="dxa"/>
                  <w:gridSpan w:val="2"/>
                  <w:vMerge w:val="restart"/>
                  <w:tcBorders>
                    <w:top w:val="single" w:color="000000" w:sz="4" w:space="0"/>
                    <w:left w:val="single" w:color="000000" w:sz="4" w:space="0"/>
                    <w:bottom w:val="single" w:color="000000" w:sz="4" w:space="0"/>
                    <w:right w:val="single" w:color="000000" w:sz="4" w:space="0"/>
                  </w:tcBorders>
                  <w:noWrap w:val="0"/>
                  <w:vAlign w:val="center"/>
                </w:tcPr>
                <w:p w14:paraId="6664FDA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w:t>
                  </w:r>
                </w:p>
              </w:tc>
              <w:tc>
                <w:tcPr>
                  <w:tcW w:w="6012" w:type="dxa"/>
                  <w:tcBorders>
                    <w:top w:val="single" w:color="000000" w:sz="4" w:space="0"/>
                    <w:left w:val="single" w:color="000000" w:sz="4" w:space="0"/>
                    <w:bottom w:val="single" w:color="000000" w:sz="4" w:space="0"/>
                    <w:right w:val="single" w:color="000000" w:sz="4" w:space="0"/>
                  </w:tcBorders>
                  <w:noWrap w:val="0"/>
                  <w:vAlign w:val="center"/>
                </w:tcPr>
                <w:p w14:paraId="6ED77609">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食堂废水经油水分离器预处理后，同其他生活污水一并进入预处理池</w:t>
                  </w:r>
                </w:p>
              </w:tc>
            </w:tr>
            <w:tr w14:paraId="0790F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04BC7C">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10" w:type="dxa"/>
                  <w:gridSpan w:val="2"/>
                  <w:vMerge w:val="continue"/>
                  <w:tcBorders>
                    <w:top w:val="single" w:color="000000" w:sz="4" w:space="0"/>
                    <w:left w:val="single" w:color="000000" w:sz="4" w:space="0"/>
                    <w:bottom w:val="single" w:color="000000" w:sz="4" w:space="0"/>
                    <w:right w:val="single" w:color="000000" w:sz="4" w:space="0"/>
                  </w:tcBorders>
                  <w:noWrap w:val="0"/>
                  <w:vAlign w:val="center"/>
                </w:tcPr>
                <w:p w14:paraId="5B91CC4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6012" w:type="dxa"/>
                  <w:tcBorders>
                    <w:top w:val="single" w:color="000000" w:sz="4" w:space="0"/>
                    <w:left w:val="single" w:color="000000" w:sz="4" w:space="0"/>
                    <w:bottom w:val="single" w:color="000000" w:sz="4" w:space="0"/>
                    <w:right w:val="single" w:color="000000" w:sz="4" w:space="0"/>
                  </w:tcBorders>
                  <w:noWrap w:val="0"/>
                  <w:vAlign w:val="center"/>
                </w:tcPr>
                <w:p w14:paraId="63D19334">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循环冷却水循环使用，更换的循环冷却水进入市政雨水管网</w:t>
                  </w:r>
                </w:p>
              </w:tc>
            </w:tr>
            <w:tr w14:paraId="75173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157B2B">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10" w:type="dxa"/>
                  <w:gridSpan w:val="2"/>
                  <w:tcBorders>
                    <w:top w:val="single" w:color="000000" w:sz="4" w:space="0"/>
                    <w:left w:val="single" w:color="000000" w:sz="4" w:space="0"/>
                    <w:bottom w:val="single" w:color="000000" w:sz="4" w:space="0"/>
                    <w:right w:val="single" w:color="000000" w:sz="4" w:space="0"/>
                  </w:tcBorders>
                  <w:noWrap w:val="0"/>
                  <w:vAlign w:val="center"/>
                </w:tcPr>
                <w:p w14:paraId="0D702A8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废气</w:t>
                  </w:r>
                </w:p>
              </w:tc>
              <w:tc>
                <w:tcPr>
                  <w:tcW w:w="6012" w:type="dxa"/>
                  <w:tcBorders>
                    <w:top w:val="single" w:color="000000" w:sz="4" w:space="0"/>
                    <w:left w:val="single" w:color="000000" w:sz="4" w:space="0"/>
                    <w:bottom w:val="single" w:color="000000" w:sz="4" w:space="0"/>
                    <w:right w:val="single" w:color="000000" w:sz="4" w:space="0"/>
                  </w:tcBorders>
                  <w:noWrap w:val="0"/>
                  <w:vAlign w:val="center"/>
                </w:tcPr>
                <w:p w14:paraId="645AFF39">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D5厂房有机废气经车间顶部管道，引至“UV光解催化氧化+活性炭吸附”装置处理后由</w:t>
                  </w:r>
                  <w:r>
                    <w:rPr>
                      <w:rFonts w:hint="eastAsia" w:cs="Times New Roman"/>
                      <w:i w:val="0"/>
                      <w:iCs w:val="0"/>
                      <w:color w:val="auto"/>
                      <w:kern w:val="0"/>
                      <w:sz w:val="21"/>
                      <w:szCs w:val="21"/>
                      <w:u w:val="none"/>
                      <w:lang w:val="en-US" w:eastAsia="zh-CN" w:bidi="ar"/>
                    </w:rPr>
                    <w:t>15m</w:t>
                  </w:r>
                  <w:r>
                    <w:rPr>
                      <w:rFonts w:hint="default" w:ascii="Times New Roman" w:hAnsi="Times New Roman" w:eastAsia="宋体" w:cs="Times New Roman"/>
                      <w:i w:val="0"/>
                      <w:iCs w:val="0"/>
                      <w:color w:val="auto"/>
                      <w:kern w:val="0"/>
                      <w:sz w:val="21"/>
                      <w:szCs w:val="21"/>
                      <w:u w:val="none"/>
                      <w:lang w:val="en-US" w:eastAsia="zh-CN" w:bidi="ar"/>
                    </w:rPr>
                    <w:t>高排气筒排放</w:t>
                  </w:r>
                </w:p>
              </w:tc>
            </w:tr>
            <w:tr w14:paraId="542CB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2B238B">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10" w:type="dxa"/>
                  <w:gridSpan w:val="2"/>
                  <w:tcBorders>
                    <w:top w:val="single" w:color="000000" w:sz="4" w:space="0"/>
                    <w:left w:val="single" w:color="000000" w:sz="4" w:space="0"/>
                    <w:bottom w:val="single" w:color="000000" w:sz="4" w:space="0"/>
                    <w:right w:val="single" w:color="000000" w:sz="4" w:space="0"/>
                  </w:tcBorders>
                  <w:noWrap w:val="0"/>
                  <w:vAlign w:val="center"/>
                </w:tcPr>
                <w:p w14:paraId="76C5FDE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食堂油烟</w:t>
                  </w:r>
                </w:p>
              </w:tc>
              <w:tc>
                <w:tcPr>
                  <w:tcW w:w="6012" w:type="dxa"/>
                  <w:tcBorders>
                    <w:top w:val="single" w:color="000000" w:sz="4" w:space="0"/>
                    <w:left w:val="single" w:color="000000" w:sz="4" w:space="0"/>
                    <w:bottom w:val="single" w:color="000000" w:sz="4" w:space="0"/>
                    <w:right w:val="single" w:color="000000" w:sz="4" w:space="0"/>
                  </w:tcBorders>
                  <w:noWrap w:val="0"/>
                  <w:vAlign w:val="center"/>
                </w:tcPr>
                <w:p w14:paraId="48E7F9A0">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食堂安装油烟净化器1台</w:t>
                  </w:r>
                </w:p>
              </w:tc>
            </w:tr>
            <w:tr w14:paraId="0DC48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C18266">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10" w:type="dxa"/>
                  <w:gridSpan w:val="2"/>
                  <w:tcBorders>
                    <w:top w:val="single" w:color="000000" w:sz="4" w:space="0"/>
                    <w:left w:val="single" w:color="000000" w:sz="4" w:space="0"/>
                    <w:bottom w:val="single" w:color="000000" w:sz="4" w:space="0"/>
                    <w:right w:val="single" w:color="000000" w:sz="4" w:space="0"/>
                  </w:tcBorders>
                  <w:noWrap w:val="0"/>
                  <w:vAlign w:val="center"/>
                </w:tcPr>
                <w:p w14:paraId="6D04508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一般固废暂存区</w:t>
                  </w:r>
                </w:p>
              </w:tc>
              <w:tc>
                <w:tcPr>
                  <w:tcW w:w="6012" w:type="dxa"/>
                  <w:tcBorders>
                    <w:top w:val="single" w:color="000000" w:sz="4" w:space="0"/>
                    <w:left w:val="single" w:color="000000" w:sz="4" w:space="0"/>
                    <w:bottom w:val="single" w:color="000000" w:sz="4" w:space="0"/>
                    <w:right w:val="single" w:color="000000" w:sz="4" w:space="0"/>
                  </w:tcBorders>
                  <w:noWrap w:val="0"/>
                  <w:vAlign w:val="center"/>
                </w:tcPr>
                <w:p w14:paraId="278CF3A1">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1个，</w:t>
                  </w:r>
                  <w:r>
                    <w:rPr>
                      <w:rFonts w:hint="eastAsia" w:cs="Times New Roman"/>
                      <w:i w:val="0"/>
                      <w:iCs w:val="0"/>
                      <w:color w:val="auto"/>
                      <w:kern w:val="0"/>
                      <w:sz w:val="21"/>
                      <w:szCs w:val="21"/>
                      <w:u w:val="none"/>
                      <w:lang w:val="en-US" w:eastAsia="zh-CN" w:bidi="ar"/>
                    </w:rPr>
                    <w:t>1</w:t>
                  </w:r>
                  <w:r>
                    <w:rPr>
                      <w:rFonts w:hint="default" w:ascii="Times New Roman" w:hAnsi="Times New Roman" w:eastAsia="宋体" w:cs="Times New Roman"/>
                      <w:i w:val="0"/>
                      <w:iCs w:val="0"/>
                      <w:color w:val="auto"/>
                      <w:kern w:val="0"/>
                      <w:sz w:val="21"/>
                      <w:szCs w:val="21"/>
                      <w:u w:val="none"/>
                      <w:lang w:val="en-US" w:eastAsia="zh-CN" w:bidi="ar"/>
                    </w:rPr>
                    <w:t>0m</w:t>
                  </w:r>
                  <w:r>
                    <w:rPr>
                      <w:rFonts w:hint="default" w:ascii="Times New Roman" w:hAnsi="Times New Roman" w:eastAsia="宋体" w:cs="Times New Roman"/>
                      <w:i w:val="0"/>
                      <w:iCs w:val="0"/>
                      <w:color w:val="auto"/>
                      <w:kern w:val="0"/>
                      <w:sz w:val="21"/>
                      <w:szCs w:val="21"/>
                      <w:u w:val="none"/>
                      <w:vertAlign w:val="superscript"/>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，在D5厂房二层北侧，暂存一般固废</w:t>
                  </w:r>
                </w:p>
              </w:tc>
            </w:tr>
            <w:tr w14:paraId="38314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6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0EBACC">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10" w:type="dxa"/>
                  <w:gridSpan w:val="2"/>
                  <w:tcBorders>
                    <w:top w:val="single" w:color="000000" w:sz="4" w:space="0"/>
                    <w:left w:val="single" w:color="000000" w:sz="4" w:space="0"/>
                    <w:bottom w:val="single" w:color="000000" w:sz="4" w:space="0"/>
                    <w:right w:val="single" w:color="000000" w:sz="4" w:space="0"/>
                  </w:tcBorders>
                  <w:noWrap w:val="0"/>
                  <w:vAlign w:val="center"/>
                </w:tcPr>
                <w:p w14:paraId="67BB86C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噪声</w:t>
                  </w:r>
                </w:p>
              </w:tc>
              <w:tc>
                <w:tcPr>
                  <w:tcW w:w="6012" w:type="dxa"/>
                  <w:tcBorders>
                    <w:top w:val="single" w:color="000000" w:sz="4" w:space="0"/>
                    <w:left w:val="single" w:color="000000" w:sz="4" w:space="0"/>
                    <w:bottom w:val="single" w:color="000000" w:sz="4" w:space="0"/>
                    <w:right w:val="single" w:color="000000" w:sz="4" w:space="0"/>
                  </w:tcBorders>
                  <w:noWrap w:val="0"/>
                  <w:vAlign w:val="center"/>
                </w:tcPr>
                <w:p w14:paraId="575F2F17">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设置减震基座、隔声设施</w:t>
                  </w:r>
                </w:p>
              </w:tc>
            </w:tr>
            <w:tr w14:paraId="7B8AD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650"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5D0279">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2010" w:type="dxa"/>
                  <w:gridSpan w:val="2"/>
                  <w:tcBorders>
                    <w:top w:val="single" w:color="000000" w:sz="4" w:space="0"/>
                    <w:left w:val="single" w:color="000000" w:sz="4" w:space="0"/>
                    <w:bottom w:val="single" w:color="000000" w:sz="4" w:space="0"/>
                    <w:right w:val="single" w:color="000000" w:sz="4" w:space="0"/>
                  </w:tcBorders>
                  <w:noWrap w:val="0"/>
                  <w:vAlign w:val="center"/>
                </w:tcPr>
                <w:p w14:paraId="3DB39DC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rPr>
                    <w:t>危险废物贮存</w:t>
                  </w:r>
                  <w:r>
                    <w:rPr>
                      <w:rFonts w:hint="default" w:ascii="Times New Roman" w:hAnsi="Times New Roman" w:eastAsia="宋体" w:cs="Times New Roman"/>
                      <w:i w:val="0"/>
                      <w:iCs w:val="0"/>
                      <w:color w:val="auto"/>
                      <w:sz w:val="21"/>
                      <w:szCs w:val="21"/>
                      <w:u w:val="none"/>
                      <w:lang w:val="en-US" w:eastAsia="zh-CN"/>
                    </w:rPr>
                    <w:t>库</w:t>
                  </w:r>
                </w:p>
              </w:tc>
              <w:tc>
                <w:tcPr>
                  <w:tcW w:w="6012" w:type="dxa"/>
                  <w:tcBorders>
                    <w:top w:val="single" w:color="000000" w:sz="4" w:space="0"/>
                    <w:left w:val="single" w:color="000000" w:sz="4" w:space="0"/>
                    <w:bottom w:val="single" w:color="000000" w:sz="4" w:space="0"/>
                    <w:right w:val="single" w:color="000000" w:sz="4" w:space="0"/>
                  </w:tcBorders>
                  <w:noWrap w:val="0"/>
                  <w:vAlign w:val="center"/>
                </w:tcPr>
                <w:p w14:paraId="66E3D401">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废活性炭定期更换并及时由有资质处置单位运走，厂区内不暂存，未设置危险废物贮存</w:t>
                  </w:r>
                  <w:r>
                    <w:rPr>
                      <w:rFonts w:hint="default" w:ascii="Times New Roman" w:hAnsi="Times New Roman" w:eastAsia="宋体" w:cs="Times New Roman"/>
                      <w:i w:val="0"/>
                      <w:iCs w:val="0"/>
                      <w:color w:val="auto"/>
                      <w:sz w:val="21"/>
                      <w:szCs w:val="21"/>
                      <w:u w:val="none"/>
                      <w:lang w:val="en-US" w:eastAsia="zh-CN"/>
                    </w:rPr>
                    <w:t>库</w:t>
                  </w:r>
                </w:p>
              </w:tc>
            </w:tr>
            <w:tr w14:paraId="0C1FA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660" w:type="dxa"/>
                  <w:gridSpan w:val="3"/>
                  <w:tcBorders>
                    <w:top w:val="single" w:color="000000" w:sz="4" w:space="0"/>
                    <w:left w:val="single" w:color="000000" w:sz="4" w:space="0"/>
                    <w:bottom w:val="single" w:color="000000" w:sz="4" w:space="0"/>
                    <w:right w:val="single" w:color="000000" w:sz="4" w:space="0"/>
                  </w:tcBorders>
                  <w:noWrap w:val="0"/>
                  <w:vAlign w:val="center"/>
                </w:tcPr>
                <w:p w14:paraId="3D59B0D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仓储及其他</w:t>
                  </w:r>
                </w:p>
              </w:tc>
              <w:tc>
                <w:tcPr>
                  <w:tcW w:w="6012" w:type="dxa"/>
                  <w:tcBorders>
                    <w:top w:val="single" w:color="000000" w:sz="4" w:space="0"/>
                    <w:left w:val="single" w:color="000000" w:sz="4" w:space="0"/>
                    <w:bottom w:val="single" w:color="000000" w:sz="4" w:space="0"/>
                    <w:right w:val="single" w:color="000000" w:sz="4" w:space="0"/>
                  </w:tcBorders>
                  <w:noWrap w:val="0"/>
                  <w:vAlign w:val="center"/>
                </w:tcPr>
                <w:p w14:paraId="41121BF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包材仓库、原料仓库、成品仓库分别位于D5厂房二层、D6厂房一层、D6厂房二层</w:t>
                  </w:r>
                </w:p>
              </w:tc>
            </w:tr>
          </w:tbl>
          <w:p w14:paraId="3B3890ED">
            <w:pPr>
              <w:pStyle w:val="49"/>
              <w:keepNext w:val="0"/>
              <w:keepLines w:val="0"/>
              <w:pageBreakBefore w:val="0"/>
              <w:widowControl w:val="0"/>
              <w:kinsoku/>
              <w:wordWrap/>
              <w:overflowPunct/>
              <w:topLinePunct w:val="0"/>
              <w:autoSpaceDE/>
              <w:autoSpaceDN/>
              <w:bidi w:val="0"/>
              <w:ind w:firstLine="0" w:firstLineChars="0"/>
              <w:textAlignment w:val="auto"/>
              <w:rPr>
                <w:rFonts w:hint="default" w:ascii="Times New Roman" w:hAnsi="Times New Roman" w:cs="Times New Roman"/>
                <w:b/>
                <w:bCs/>
                <w:color w:val="auto"/>
                <w:szCs w:val="24"/>
              </w:rPr>
            </w:pPr>
            <w:r>
              <w:rPr>
                <w:rFonts w:hint="default" w:ascii="Times New Roman" w:hAnsi="Times New Roman" w:cs="Times New Roman"/>
                <w:b/>
                <w:bCs/>
                <w:color w:val="auto"/>
                <w:szCs w:val="24"/>
              </w:rPr>
              <w:t>2.7.5 现有</w:t>
            </w:r>
            <w:r>
              <w:rPr>
                <w:rFonts w:hint="eastAsia" w:cs="Times New Roman"/>
                <w:b/>
                <w:bCs/>
                <w:color w:val="auto"/>
                <w:szCs w:val="24"/>
                <w:lang w:val="en-US" w:eastAsia="zh-CN"/>
              </w:rPr>
              <w:t>工程</w:t>
            </w:r>
            <w:r>
              <w:rPr>
                <w:rFonts w:hint="default" w:ascii="Times New Roman" w:hAnsi="Times New Roman" w:cs="Times New Roman"/>
                <w:b/>
                <w:bCs/>
                <w:color w:val="auto"/>
                <w:szCs w:val="24"/>
              </w:rPr>
              <w:t>主要建设内容</w:t>
            </w:r>
          </w:p>
          <w:p w14:paraId="7AC6C42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现有</w:t>
            </w:r>
            <w:r>
              <w:rPr>
                <w:rFonts w:hint="eastAsia" w:cs="Times New Roman"/>
                <w:color w:val="auto"/>
                <w:kern w:val="0"/>
                <w:sz w:val="24"/>
                <w:lang w:eastAsia="zh-CN"/>
              </w:rPr>
              <w:t>工程</w:t>
            </w:r>
            <w:r>
              <w:rPr>
                <w:rFonts w:hint="default" w:ascii="Times New Roman" w:hAnsi="Times New Roman" w:cs="Times New Roman"/>
                <w:color w:val="auto"/>
                <w:kern w:val="0"/>
                <w:sz w:val="24"/>
              </w:rPr>
              <w:t>主要生产设备详见表2.7-4。</w:t>
            </w:r>
          </w:p>
          <w:p w14:paraId="4D41BC2C">
            <w:pPr>
              <w:spacing w:line="240" w:lineRule="auto"/>
              <w:jc w:val="center"/>
              <w:rPr>
                <w:rFonts w:hint="default" w:ascii="Times New Roman" w:hAnsi="Times New Roman" w:cs="Times New Roman"/>
                <w:b/>
                <w:color w:val="auto"/>
                <w:sz w:val="24"/>
              </w:rPr>
            </w:pPr>
            <w:r>
              <w:rPr>
                <w:rFonts w:hint="default" w:ascii="Times New Roman" w:hAnsi="Times New Roman" w:cs="Times New Roman"/>
                <w:b/>
                <w:color w:val="auto"/>
                <w:sz w:val="24"/>
              </w:rPr>
              <w:t>表2.7-4   现有</w:t>
            </w:r>
            <w:r>
              <w:rPr>
                <w:rFonts w:hint="eastAsia" w:cs="Times New Roman"/>
                <w:b/>
                <w:color w:val="auto"/>
                <w:sz w:val="24"/>
                <w:lang w:val="en-US" w:eastAsia="zh-CN"/>
              </w:rPr>
              <w:t>工程</w:t>
            </w:r>
            <w:r>
              <w:rPr>
                <w:rFonts w:hint="default" w:ascii="Times New Roman" w:hAnsi="Times New Roman" w:cs="Times New Roman"/>
                <w:b/>
                <w:color w:val="auto"/>
                <w:sz w:val="24"/>
              </w:rPr>
              <w:t>主要生产设备一览表</w:t>
            </w:r>
          </w:p>
          <w:tbl>
            <w:tblPr>
              <w:tblStyle w:val="35"/>
              <w:tblW w:w="8370"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2541"/>
              <w:gridCol w:w="2145"/>
              <w:gridCol w:w="2559"/>
            </w:tblGrid>
            <w:tr w14:paraId="14F56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noWrap w:val="0"/>
                  <w:vAlign w:val="center"/>
                </w:tcPr>
                <w:p w14:paraId="3191A7C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序号</w:t>
                  </w:r>
                </w:p>
              </w:tc>
              <w:tc>
                <w:tcPr>
                  <w:tcW w:w="2541" w:type="dxa"/>
                  <w:noWrap w:val="0"/>
                  <w:vAlign w:val="center"/>
                </w:tcPr>
                <w:p w14:paraId="5654E26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设施名称</w:t>
                  </w:r>
                </w:p>
              </w:tc>
              <w:tc>
                <w:tcPr>
                  <w:tcW w:w="2145" w:type="dxa"/>
                  <w:noWrap w:val="0"/>
                  <w:vAlign w:val="center"/>
                </w:tcPr>
                <w:p w14:paraId="6B962AD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型号</w:t>
                  </w:r>
                </w:p>
              </w:tc>
              <w:tc>
                <w:tcPr>
                  <w:tcW w:w="2559" w:type="dxa"/>
                  <w:noWrap w:val="0"/>
                  <w:vAlign w:val="center"/>
                </w:tcPr>
                <w:p w14:paraId="2571C85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数量</w:t>
                  </w:r>
                </w:p>
              </w:tc>
            </w:tr>
            <w:tr w14:paraId="5774B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noWrap w:val="0"/>
                  <w:vAlign w:val="center"/>
                </w:tcPr>
                <w:p w14:paraId="2F1AA3B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2541" w:type="dxa"/>
                  <w:noWrap w:val="0"/>
                  <w:vAlign w:val="center"/>
                </w:tcPr>
                <w:p w14:paraId="0EDA139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w:t>
                  </w:r>
                </w:p>
              </w:tc>
              <w:tc>
                <w:tcPr>
                  <w:tcW w:w="2145" w:type="dxa"/>
                  <w:noWrap w:val="0"/>
                  <w:vAlign w:val="center"/>
                </w:tcPr>
                <w:p w14:paraId="5284EFE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300T</w:t>
                  </w:r>
                </w:p>
              </w:tc>
              <w:tc>
                <w:tcPr>
                  <w:tcW w:w="2559" w:type="dxa"/>
                  <w:noWrap w:val="0"/>
                  <w:vAlign w:val="center"/>
                </w:tcPr>
                <w:p w14:paraId="4B29FA6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r>
            <w:tr w14:paraId="314EB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noWrap w:val="0"/>
                  <w:vAlign w:val="center"/>
                </w:tcPr>
                <w:p w14:paraId="037B6BC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2541" w:type="dxa"/>
                  <w:noWrap w:val="0"/>
                  <w:vAlign w:val="center"/>
                </w:tcPr>
                <w:p w14:paraId="3D67D01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w:t>
                  </w:r>
                </w:p>
              </w:tc>
              <w:tc>
                <w:tcPr>
                  <w:tcW w:w="2145" w:type="dxa"/>
                  <w:noWrap w:val="0"/>
                  <w:vAlign w:val="center"/>
                </w:tcPr>
                <w:p w14:paraId="59B2E7B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150T</w:t>
                  </w:r>
                </w:p>
              </w:tc>
              <w:tc>
                <w:tcPr>
                  <w:tcW w:w="2559" w:type="dxa"/>
                  <w:noWrap w:val="0"/>
                  <w:vAlign w:val="center"/>
                </w:tcPr>
                <w:p w14:paraId="7C7FD75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w:t>
                  </w:r>
                </w:p>
              </w:tc>
            </w:tr>
            <w:tr w14:paraId="3C056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noWrap w:val="0"/>
                  <w:vAlign w:val="center"/>
                </w:tcPr>
                <w:p w14:paraId="6250A71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2541" w:type="dxa"/>
                  <w:noWrap w:val="0"/>
                  <w:vAlign w:val="center"/>
                </w:tcPr>
                <w:p w14:paraId="38C2D39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w:t>
                  </w:r>
                </w:p>
              </w:tc>
              <w:tc>
                <w:tcPr>
                  <w:tcW w:w="2145" w:type="dxa"/>
                  <w:noWrap w:val="0"/>
                  <w:vAlign w:val="center"/>
                </w:tcPr>
                <w:p w14:paraId="587903A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100T</w:t>
                  </w:r>
                </w:p>
              </w:tc>
              <w:tc>
                <w:tcPr>
                  <w:tcW w:w="2559" w:type="dxa"/>
                  <w:noWrap w:val="0"/>
                  <w:vAlign w:val="center"/>
                </w:tcPr>
                <w:p w14:paraId="4EB9AA8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r>
            <w:tr w14:paraId="1F83B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noWrap w:val="0"/>
                  <w:vAlign w:val="center"/>
                </w:tcPr>
                <w:p w14:paraId="5A5D614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2541" w:type="dxa"/>
                  <w:noWrap w:val="0"/>
                  <w:vAlign w:val="center"/>
                </w:tcPr>
                <w:p w14:paraId="397FF37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机械手</w:t>
                  </w:r>
                </w:p>
              </w:tc>
              <w:tc>
                <w:tcPr>
                  <w:tcW w:w="2145" w:type="dxa"/>
                  <w:noWrap w:val="0"/>
                  <w:vAlign w:val="center"/>
                </w:tcPr>
                <w:p w14:paraId="4018009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2559" w:type="dxa"/>
                  <w:noWrap w:val="0"/>
                  <w:vAlign w:val="center"/>
                </w:tcPr>
                <w:p w14:paraId="6FDD825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r>
            <w:tr w14:paraId="238A6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1125" w:type="dxa"/>
                  <w:noWrap w:val="0"/>
                  <w:vAlign w:val="center"/>
                </w:tcPr>
                <w:p w14:paraId="1DB0C81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2541" w:type="dxa"/>
                  <w:noWrap w:val="0"/>
                  <w:vAlign w:val="center"/>
                </w:tcPr>
                <w:p w14:paraId="4D12CF8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干燥机</w:t>
                  </w:r>
                </w:p>
              </w:tc>
              <w:tc>
                <w:tcPr>
                  <w:tcW w:w="2145" w:type="dxa"/>
                  <w:noWrap w:val="0"/>
                  <w:vAlign w:val="center"/>
                </w:tcPr>
                <w:p w14:paraId="00A8935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FCD-75HL</w:t>
                  </w:r>
                </w:p>
              </w:tc>
              <w:tc>
                <w:tcPr>
                  <w:tcW w:w="2559" w:type="dxa"/>
                  <w:noWrap w:val="0"/>
                  <w:vAlign w:val="center"/>
                </w:tcPr>
                <w:p w14:paraId="208153B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r>
            <w:tr w14:paraId="4C33A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noWrap w:val="0"/>
                  <w:vAlign w:val="center"/>
                </w:tcPr>
                <w:p w14:paraId="2A00B88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2541" w:type="dxa"/>
                  <w:noWrap w:val="0"/>
                  <w:vAlign w:val="center"/>
                </w:tcPr>
                <w:p w14:paraId="3EE770F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模温机</w:t>
                  </w:r>
                </w:p>
              </w:tc>
              <w:tc>
                <w:tcPr>
                  <w:tcW w:w="2145" w:type="dxa"/>
                  <w:noWrap w:val="0"/>
                  <w:vAlign w:val="center"/>
                </w:tcPr>
                <w:p w14:paraId="3686126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2559" w:type="dxa"/>
                  <w:noWrap w:val="0"/>
                  <w:vAlign w:val="center"/>
                </w:tcPr>
                <w:p w14:paraId="030391A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90</w:t>
                  </w:r>
                </w:p>
              </w:tc>
            </w:tr>
            <w:tr w14:paraId="63945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5" w:type="dxa"/>
                  <w:noWrap w:val="0"/>
                  <w:vAlign w:val="center"/>
                </w:tcPr>
                <w:p w14:paraId="721831C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2541" w:type="dxa"/>
                  <w:noWrap w:val="0"/>
                  <w:vAlign w:val="center"/>
                </w:tcPr>
                <w:p w14:paraId="52DB54F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自动贴膜机</w:t>
                  </w:r>
                </w:p>
              </w:tc>
              <w:tc>
                <w:tcPr>
                  <w:tcW w:w="2145" w:type="dxa"/>
                  <w:noWrap w:val="0"/>
                  <w:vAlign w:val="center"/>
                </w:tcPr>
                <w:p w14:paraId="29C883A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2559" w:type="dxa"/>
                  <w:noWrap w:val="0"/>
                  <w:vAlign w:val="center"/>
                </w:tcPr>
                <w:p w14:paraId="6AA0557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r>
            <w:tr w14:paraId="11512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5" w:type="dxa"/>
                  <w:noWrap w:val="0"/>
                  <w:vAlign w:val="center"/>
                </w:tcPr>
                <w:p w14:paraId="223AD6E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2541" w:type="dxa"/>
                  <w:noWrap w:val="0"/>
                  <w:vAlign w:val="center"/>
                </w:tcPr>
                <w:p w14:paraId="710F533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自动五金机</w:t>
                  </w:r>
                </w:p>
              </w:tc>
              <w:tc>
                <w:tcPr>
                  <w:tcW w:w="2145" w:type="dxa"/>
                  <w:noWrap w:val="0"/>
                  <w:vAlign w:val="center"/>
                </w:tcPr>
                <w:p w14:paraId="293CA0D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2559" w:type="dxa"/>
                  <w:noWrap w:val="0"/>
                  <w:vAlign w:val="center"/>
                </w:tcPr>
                <w:p w14:paraId="0B91FBD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r>
            <w:tr w14:paraId="0C90D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5" w:type="dxa"/>
                  <w:noWrap w:val="0"/>
                  <w:vAlign w:val="center"/>
                </w:tcPr>
                <w:p w14:paraId="49F926C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2541" w:type="dxa"/>
                  <w:noWrap w:val="0"/>
                  <w:vAlign w:val="center"/>
                </w:tcPr>
                <w:p w14:paraId="7898D83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工料机</w:t>
                  </w:r>
                </w:p>
              </w:tc>
              <w:tc>
                <w:tcPr>
                  <w:tcW w:w="2145" w:type="dxa"/>
                  <w:noWrap w:val="0"/>
                  <w:vAlign w:val="center"/>
                </w:tcPr>
                <w:p w14:paraId="5C89F47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2559" w:type="dxa"/>
                  <w:noWrap w:val="0"/>
                  <w:vAlign w:val="center"/>
                </w:tcPr>
                <w:p w14:paraId="55B2912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r>
          </w:tbl>
          <w:p w14:paraId="7DAF6056">
            <w:pPr>
              <w:pStyle w:val="49"/>
              <w:keepNext w:val="0"/>
              <w:keepLines w:val="0"/>
              <w:pageBreakBefore w:val="0"/>
              <w:widowControl w:val="0"/>
              <w:kinsoku/>
              <w:wordWrap/>
              <w:overflowPunct/>
              <w:topLinePunct w:val="0"/>
              <w:autoSpaceDE/>
              <w:autoSpaceDN/>
              <w:bidi w:val="0"/>
              <w:ind w:firstLine="480"/>
              <w:textAlignment w:val="auto"/>
              <w:rPr>
                <w:rFonts w:hint="default" w:ascii="Times New Roman" w:hAnsi="Times New Roman" w:cs="Times New Roman"/>
                <w:b/>
                <w:bCs/>
                <w:color w:val="auto"/>
                <w:szCs w:val="24"/>
              </w:rPr>
            </w:pPr>
            <w:r>
              <w:rPr>
                <w:rFonts w:hint="default" w:ascii="Times New Roman" w:hAnsi="Times New Roman" w:cs="Times New Roman"/>
                <w:color w:val="auto"/>
              </w:rPr>
              <w:t>通过核查《产业结构调整指导目录（2024年本）》可知，现有</w:t>
            </w:r>
            <w:r>
              <w:rPr>
                <w:rFonts w:hint="eastAsia" w:cs="Times New Roman"/>
                <w:color w:val="auto"/>
                <w:lang w:eastAsia="zh-CN"/>
              </w:rPr>
              <w:t>工程</w:t>
            </w:r>
            <w:r>
              <w:rPr>
                <w:rFonts w:hint="default" w:ascii="Times New Roman" w:hAnsi="Times New Roman" w:cs="Times New Roman"/>
                <w:color w:val="auto"/>
              </w:rPr>
              <w:t>所用设备均不属于国家禁止或明令淘汰的设备；同时对照工信部发布</w:t>
            </w:r>
            <w:r>
              <w:rPr>
                <w:rFonts w:hint="eastAsia" w:ascii="Times New Roman" w:hAnsi="Times New Roman" w:cs="Times New Roman"/>
                <w:color w:val="auto"/>
                <w:lang w:val="en-US" w:eastAsia="zh-CN"/>
              </w:rPr>
              <w:t>的</w:t>
            </w:r>
            <w:r>
              <w:rPr>
                <w:rFonts w:hint="default" w:ascii="Times New Roman" w:hAnsi="Times New Roman" w:cs="Times New Roman"/>
                <w:color w:val="auto"/>
              </w:rPr>
              <w:t>第一、二、三批《高耗能落后机电设备(产品)淘汰目录》，现有</w:t>
            </w:r>
            <w:r>
              <w:rPr>
                <w:rFonts w:hint="eastAsia" w:cs="Times New Roman"/>
                <w:color w:val="auto"/>
                <w:lang w:eastAsia="zh-CN"/>
              </w:rPr>
              <w:t>工程</w:t>
            </w:r>
            <w:r>
              <w:rPr>
                <w:rFonts w:hint="default" w:ascii="Times New Roman" w:hAnsi="Times New Roman" w:cs="Times New Roman"/>
                <w:color w:val="auto"/>
              </w:rPr>
              <w:t>所用设备不属于落后机电设备。</w:t>
            </w:r>
          </w:p>
          <w:p w14:paraId="09DFF7F6">
            <w:pPr>
              <w:pStyle w:val="49"/>
              <w:keepNext w:val="0"/>
              <w:keepLines w:val="0"/>
              <w:pageBreakBefore w:val="0"/>
              <w:widowControl w:val="0"/>
              <w:kinsoku/>
              <w:wordWrap/>
              <w:overflowPunct/>
              <w:topLinePunct w:val="0"/>
              <w:autoSpaceDE/>
              <w:autoSpaceDN/>
              <w:bidi w:val="0"/>
              <w:ind w:firstLine="0" w:firstLineChars="0"/>
              <w:textAlignment w:val="auto"/>
              <w:rPr>
                <w:rFonts w:hint="default" w:ascii="Times New Roman" w:hAnsi="Times New Roman" w:cs="Times New Roman"/>
                <w:b/>
                <w:bCs/>
                <w:color w:val="auto"/>
                <w:szCs w:val="24"/>
              </w:rPr>
            </w:pPr>
            <w:r>
              <w:rPr>
                <w:rFonts w:hint="default" w:ascii="Times New Roman" w:hAnsi="Times New Roman" w:cs="Times New Roman"/>
                <w:b/>
                <w:bCs/>
                <w:color w:val="auto"/>
                <w:szCs w:val="24"/>
              </w:rPr>
              <w:t>2.7.6 现有</w:t>
            </w:r>
            <w:r>
              <w:rPr>
                <w:rFonts w:hint="eastAsia" w:cs="Times New Roman"/>
                <w:b/>
                <w:bCs/>
                <w:color w:val="auto"/>
                <w:szCs w:val="24"/>
                <w:lang w:val="en-US" w:eastAsia="zh-CN"/>
              </w:rPr>
              <w:t>工程</w:t>
            </w:r>
            <w:r>
              <w:rPr>
                <w:rFonts w:hint="default" w:ascii="Times New Roman" w:hAnsi="Times New Roman" w:cs="Times New Roman"/>
                <w:b/>
                <w:bCs/>
                <w:color w:val="auto"/>
                <w:szCs w:val="24"/>
              </w:rPr>
              <w:t>主要原辅材料</w:t>
            </w:r>
          </w:p>
          <w:p w14:paraId="0A03F73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kern w:val="0"/>
                <w:sz w:val="24"/>
              </w:rPr>
            </w:pPr>
            <w:r>
              <w:rPr>
                <w:rFonts w:hint="default" w:ascii="Times New Roman" w:hAnsi="Times New Roman" w:cs="Times New Roman"/>
                <w:color w:val="auto"/>
                <w:sz w:val="24"/>
              </w:rPr>
              <w:t>现有</w:t>
            </w:r>
            <w:r>
              <w:rPr>
                <w:rFonts w:hint="eastAsia" w:cs="Times New Roman"/>
                <w:color w:val="auto"/>
                <w:sz w:val="24"/>
                <w:lang w:eastAsia="zh-CN"/>
              </w:rPr>
              <w:t>工程</w:t>
            </w:r>
            <w:r>
              <w:rPr>
                <w:rFonts w:hint="default" w:ascii="Times New Roman" w:hAnsi="Times New Roman" w:cs="Times New Roman"/>
                <w:color w:val="auto"/>
                <w:sz w:val="24"/>
              </w:rPr>
              <w:t>主要原辅材料消耗情况详见表2.7-5。</w:t>
            </w:r>
          </w:p>
          <w:p w14:paraId="708600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4"/>
              </w:rPr>
            </w:pPr>
            <w:r>
              <w:rPr>
                <w:rFonts w:hint="default" w:ascii="Times New Roman" w:hAnsi="Times New Roman" w:cs="Times New Roman"/>
                <w:b/>
                <w:color w:val="auto"/>
                <w:sz w:val="24"/>
              </w:rPr>
              <w:t>表2.7-5   现有</w:t>
            </w:r>
            <w:r>
              <w:rPr>
                <w:rFonts w:hint="eastAsia" w:cs="Times New Roman"/>
                <w:b/>
                <w:color w:val="auto"/>
                <w:sz w:val="24"/>
                <w:lang w:eastAsia="zh-CN"/>
              </w:rPr>
              <w:t>工程</w:t>
            </w:r>
            <w:r>
              <w:rPr>
                <w:rFonts w:hint="default" w:ascii="Times New Roman" w:hAnsi="Times New Roman" w:cs="Times New Roman"/>
                <w:b/>
                <w:color w:val="auto"/>
                <w:sz w:val="24"/>
              </w:rPr>
              <w:t>主要原辅材料一览表</w:t>
            </w:r>
          </w:p>
          <w:tbl>
            <w:tblPr>
              <w:tblStyle w:val="35"/>
              <w:tblW w:w="8370"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2070"/>
              <w:gridCol w:w="1755"/>
              <w:gridCol w:w="3420"/>
            </w:tblGrid>
            <w:tr w14:paraId="17AB1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5" w:type="dxa"/>
                  <w:noWrap w:val="0"/>
                  <w:vAlign w:val="center"/>
                </w:tcPr>
                <w:p w14:paraId="5A594EC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序号</w:t>
                  </w:r>
                </w:p>
              </w:tc>
              <w:tc>
                <w:tcPr>
                  <w:tcW w:w="2070" w:type="dxa"/>
                  <w:noWrap w:val="0"/>
                  <w:vAlign w:val="center"/>
                </w:tcPr>
                <w:p w14:paraId="7DA193B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原料名称</w:t>
                  </w:r>
                </w:p>
              </w:tc>
              <w:tc>
                <w:tcPr>
                  <w:tcW w:w="1755" w:type="dxa"/>
                  <w:noWrap w:val="0"/>
                  <w:vAlign w:val="center"/>
                </w:tcPr>
                <w:p w14:paraId="66A7F8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年用量</w:t>
                  </w:r>
                </w:p>
              </w:tc>
              <w:tc>
                <w:tcPr>
                  <w:tcW w:w="3420" w:type="dxa"/>
                  <w:noWrap w:val="0"/>
                  <w:vAlign w:val="center"/>
                </w:tcPr>
                <w:p w14:paraId="2C3A8A4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备注</w:t>
                  </w:r>
                </w:p>
              </w:tc>
            </w:tr>
            <w:tr w14:paraId="55306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5" w:type="dxa"/>
                  <w:noWrap w:val="0"/>
                  <w:vAlign w:val="center"/>
                </w:tcPr>
                <w:p w14:paraId="392EB0F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2070" w:type="dxa"/>
                  <w:noWrap w:val="0"/>
                  <w:vAlign w:val="center"/>
                </w:tcPr>
                <w:p w14:paraId="1B96B5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铜材</w:t>
                  </w:r>
                </w:p>
              </w:tc>
              <w:tc>
                <w:tcPr>
                  <w:tcW w:w="1755" w:type="dxa"/>
                  <w:noWrap w:val="0"/>
                  <w:vAlign w:val="center"/>
                </w:tcPr>
                <w:p w14:paraId="5E33C85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30吨</w:t>
                  </w:r>
                </w:p>
              </w:tc>
              <w:tc>
                <w:tcPr>
                  <w:tcW w:w="3420" w:type="dxa"/>
                  <w:noWrap w:val="0"/>
                  <w:vAlign w:val="center"/>
                </w:tcPr>
                <w:p w14:paraId="738331D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模具原料</w:t>
                  </w:r>
                </w:p>
              </w:tc>
            </w:tr>
            <w:tr w14:paraId="26B82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5" w:type="dxa"/>
                  <w:noWrap w:val="0"/>
                  <w:vAlign w:val="center"/>
                </w:tcPr>
                <w:p w14:paraId="744F56A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2070" w:type="dxa"/>
                  <w:noWrap w:val="0"/>
                  <w:vAlign w:val="center"/>
                </w:tcPr>
                <w:p w14:paraId="3169F30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PA塑胶粒</w:t>
                  </w:r>
                </w:p>
              </w:tc>
              <w:tc>
                <w:tcPr>
                  <w:tcW w:w="1755" w:type="dxa"/>
                  <w:noWrap w:val="0"/>
                  <w:vAlign w:val="center"/>
                </w:tcPr>
                <w:p w14:paraId="6EF1965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11.25吨</w:t>
                  </w:r>
                </w:p>
              </w:tc>
              <w:tc>
                <w:tcPr>
                  <w:tcW w:w="3420" w:type="dxa"/>
                  <w:vMerge w:val="restart"/>
                  <w:noWrap w:val="0"/>
                  <w:vAlign w:val="center"/>
                </w:tcPr>
                <w:p w14:paraId="31564DE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产品原料</w:t>
                  </w:r>
                </w:p>
              </w:tc>
            </w:tr>
            <w:tr w14:paraId="3E41D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5" w:type="dxa"/>
                  <w:noWrap w:val="0"/>
                  <w:vAlign w:val="center"/>
                </w:tcPr>
                <w:p w14:paraId="5B627F6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2070" w:type="dxa"/>
                  <w:noWrap w:val="0"/>
                  <w:vAlign w:val="center"/>
                </w:tcPr>
                <w:p w14:paraId="5B8EA51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PC塑胶粒</w:t>
                  </w:r>
                </w:p>
              </w:tc>
              <w:tc>
                <w:tcPr>
                  <w:tcW w:w="1755" w:type="dxa"/>
                  <w:noWrap w:val="0"/>
                  <w:vAlign w:val="center"/>
                </w:tcPr>
                <w:p w14:paraId="532D797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225吨</w:t>
                  </w:r>
                </w:p>
              </w:tc>
              <w:tc>
                <w:tcPr>
                  <w:tcW w:w="3420" w:type="dxa"/>
                  <w:vMerge w:val="continue"/>
                  <w:noWrap w:val="0"/>
                  <w:vAlign w:val="center"/>
                </w:tcPr>
                <w:p w14:paraId="534B66CD">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r>
            <w:tr w14:paraId="18617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5" w:type="dxa"/>
                  <w:noWrap w:val="0"/>
                  <w:vAlign w:val="center"/>
                </w:tcPr>
                <w:p w14:paraId="734E08B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2070" w:type="dxa"/>
                  <w:noWrap w:val="0"/>
                  <w:vAlign w:val="center"/>
                </w:tcPr>
                <w:p w14:paraId="7233EFC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包装材料</w:t>
                  </w:r>
                </w:p>
              </w:tc>
              <w:tc>
                <w:tcPr>
                  <w:tcW w:w="1755" w:type="dxa"/>
                  <w:noWrap w:val="0"/>
                  <w:vAlign w:val="center"/>
                </w:tcPr>
                <w:p w14:paraId="697B296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11.25吨</w:t>
                  </w:r>
                </w:p>
              </w:tc>
              <w:tc>
                <w:tcPr>
                  <w:tcW w:w="3420" w:type="dxa"/>
                  <w:noWrap w:val="0"/>
                  <w:vAlign w:val="center"/>
                </w:tcPr>
                <w:p w14:paraId="0C02EFC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辅料</w:t>
                  </w:r>
                </w:p>
              </w:tc>
            </w:tr>
            <w:tr w14:paraId="6BBF7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5" w:type="dxa"/>
                  <w:noWrap w:val="0"/>
                  <w:vAlign w:val="center"/>
                </w:tcPr>
                <w:p w14:paraId="41895A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2070" w:type="dxa"/>
                  <w:noWrap w:val="0"/>
                  <w:vAlign w:val="center"/>
                </w:tcPr>
                <w:p w14:paraId="47722A9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电</w:t>
                  </w:r>
                </w:p>
              </w:tc>
              <w:tc>
                <w:tcPr>
                  <w:tcW w:w="1755" w:type="dxa"/>
                  <w:noWrap w:val="0"/>
                  <w:vAlign w:val="center"/>
                </w:tcPr>
                <w:p w14:paraId="16ECD0F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75万度/年</w:t>
                  </w:r>
                </w:p>
              </w:tc>
              <w:tc>
                <w:tcPr>
                  <w:tcW w:w="3420" w:type="dxa"/>
                  <w:vMerge w:val="restart"/>
                  <w:noWrap w:val="0"/>
                  <w:vAlign w:val="center"/>
                </w:tcPr>
                <w:p w14:paraId="3BD1D6C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园区供应</w:t>
                  </w:r>
                </w:p>
              </w:tc>
            </w:tr>
            <w:tr w14:paraId="40491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25" w:type="dxa"/>
                  <w:noWrap w:val="0"/>
                  <w:vAlign w:val="center"/>
                </w:tcPr>
                <w:p w14:paraId="6410087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2070" w:type="dxa"/>
                  <w:noWrap w:val="0"/>
                  <w:vAlign w:val="center"/>
                </w:tcPr>
                <w:p w14:paraId="7CFA9A7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水</w:t>
                  </w:r>
                </w:p>
              </w:tc>
              <w:tc>
                <w:tcPr>
                  <w:tcW w:w="1755" w:type="dxa"/>
                  <w:noWrap w:val="0"/>
                  <w:vAlign w:val="center"/>
                </w:tcPr>
                <w:p w14:paraId="2552B94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2460立方米/年</w:t>
                  </w:r>
                </w:p>
              </w:tc>
              <w:tc>
                <w:tcPr>
                  <w:tcW w:w="3420" w:type="dxa"/>
                  <w:vMerge w:val="continue"/>
                  <w:noWrap w:val="0"/>
                  <w:vAlign w:val="center"/>
                </w:tcPr>
                <w:p w14:paraId="3BCCB25C">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r>
          </w:tbl>
          <w:p w14:paraId="58CE4FFE">
            <w:pPr>
              <w:pStyle w:val="49"/>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bCs/>
                <w:color w:val="auto"/>
                <w:szCs w:val="24"/>
              </w:rPr>
            </w:pPr>
            <w:r>
              <w:rPr>
                <w:rFonts w:hint="default" w:ascii="Times New Roman" w:hAnsi="Times New Roman" w:cs="Times New Roman"/>
                <w:b/>
                <w:bCs/>
                <w:color w:val="auto"/>
                <w:szCs w:val="24"/>
              </w:rPr>
              <w:t>2.7.7 现有</w:t>
            </w:r>
            <w:r>
              <w:rPr>
                <w:rFonts w:hint="eastAsia" w:cs="Times New Roman"/>
                <w:b/>
                <w:bCs/>
                <w:color w:val="auto"/>
                <w:szCs w:val="24"/>
                <w:lang w:eastAsia="zh-CN"/>
              </w:rPr>
              <w:t>工程</w:t>
            </w:r>
            <w:r>
              <w:rPr>
                <w:rFonts w:hint="default" w:ascii="Times New Roman" w:hAnsi="Times New Roman" w:cs="Times New Roman"/>
                <w:b/>
                <w:bCs/>
                <w:color w:val="auto"/>
                <w:szCs w:val="24"/>
              </w:rPr>
              <w:t>生产工艺流程</w:t>
            </w:r>
          </w:p>
          <w:p w14:paraId="266D62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现有</w:t>
            </w:r>
            <w:r>
              <w:rPr>
                <w:rFonts w:hint="eastAsia" w:cs="Times New Roman"/>
                <w:color w:val="auto"/>
                <w:sz w:val="24"/>
                <w:szCs w:val="21"/>
                <w:lang w:eastAsia="zh-CN"/>
              </w:rPr>
              <w:t>工程</w:t>
            </w:r>
            <w:r>
              <w:rPr>
                <w:rFonts w:hint="default" w:ascii="Times New Roman" w:hAnsi="Times New Roman" w:cs="Times New Roman"/>
                <w:color w:val="auto"/>
                <w:sz w:val="24"/>
                <w:szCs w:val="21"/>
              </w:rPr>
              <w:t>建设了3条手机充电器塑胶外壳先进设备生产线，主要生产手机充电器塑胶外壳，生产工艺流程图见图2.2。</w:t>
            </w:r>
            <w:r>
              <w:rPr>
                <w:rFonts w:hint="default" w:ascii="Times New Roman" w:hAnsi="Times New Roman" w:cs="Times New Roman"/>
                <w:color w:val="auto"/>
                <w:sz w:val="24"/>
              </w:rPr>
              <w:t>具体工艺如下：</w:t>
            </w:r>
          </w:p>
          <w:p w14:paraId="6EF5B28C">
            <w:pPr>
              <w:pStyle w:val="49"/>
              <w:keepNext w:val="0"/>
              <w:keepLines w:val="0"/>
              <w:pageBreakBefore w:val="0"/>
              <w:widowControl w:val="0"/>
              <w:kinsoku/>
              <w:wordWrap/>
              <w:overflowPunct/>
              <w:topLinePunct w:val="0"/>
              <w:autoSpaceDE/>
              <w:autoSpaceDN/>
              <w:bidi w:val="0"/>
              <w:adjustRightInd/>
              <w:snapToGrid/>
              <w:ind w:firstLine="482"/>
              <w:textAlignment w:val="auto"/>
              <w:rPr>
                <w:rFonts w:hint="default" w:ascii="Times New Roman" w:hAnsi="Times New Roman" w:cs="Times New Roman"/>
                <w:color w:val="auto"/>
                <w:szCs w:val="24"/>
              </w:rPr>
            </w:pPr>
            <w:r>
              <w:rPr>
                <w:rFonts w:hint="default" w:ascii="Times New Roman" w:hAnsi="Times New Roman" w:cs="Times New Roman"/>
                <w:b/>
                <w:bCs/>
                <w:color w:val="auto"/>
                <w:szCs w:val="24"/>
              </w:rPr>
              <w:t>一、生产工艺流程</w:t>
            </w:r>
          </w:p>
          <w:p w14:paraId="0CB4D736">
            <w:pPr>
              <w:pStyle w:val="49"/>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auto"/>
                <w:szCs w:val="24"/>
              </w:rPr>
            </w:pPr>
            <w:r>
              <w:rPr>
                <w:rFonts w:hint="default" w:ascii="Times New Roman" w:hAnsi="Times New Roman" w:cs="Times New Roman"/>
                <w:color w:val="auto"/>
                <w:szCs w:val="24"/>
              </w:rPr>
              <w:t>现有</w:t>
            </w:r>
            <w:r>
              <w:rPr>
                <w:rFonts w:hint="eastAsia" w:cs="Times New Roman"/>
                <w:color w:val="auto"/>
                <w:szCs w:val="24"/>
                <w:lang w:eastAsia="zh-CN"/>
              </w:rPr>
              <w:t>工程</w:t>
            </w:r>
            <w:r>
              <w:rPr>
                <w:rFonts w:hint="default" w:ascii="Times New Roman" w:hAnsi="Times New Roman" w:cs="Times New Roman"/>
                <w:color w:val="auto"/>
                <w:szCs w:val="24"/>
              </w:rPr>
              <w:t>生产工艺流程见图2.</w:t>
            </w:r>
            <w:r>
              <w:rPr>
                <w:rFonts w:hint="eastAsia" w:ascii="Times New Roman" w:hAnsi="Times New Roman" w:cs="Times New Roman"/>
                <w:color w:val="auto"/>
                <w:szCs w:val="24"/>
                <w:lang w:val="en-US" w:eastAsia="zh-CN"/>
              </w:rPr>
              <w:t>7-1</w:t>
            </w:r>
            <w:r>
              <w:rPr>
                <w:rFonts w:hint="default" w:ascii="Times New Roman" w:hAnsi="Times New Roman" w:cs="Times New Roman"/>
                <w:color w:val="auto"/>
                <w:szCs w:val="24"/>
              </w:rPr>
              <w:t>。</w:t>
            </w:r>
          </w:p>
          <w:tbl>
            <w:tblPr>
              <w:tblStyle w:val="35"/>
              <w:tblW w:w="0" w:type="auto"/>
              <w:tblInd w:w="5" w:type="dxa"/>
              <w:tblLayout w:type="fixed"/>
              <w:tblCellMar>
                <w:top w:w="0" w:type="dxa"/>
                <w:left w:w="108" w:type="dxa"/>
                <w:bottom w:w="0" w:type="dxa"/>
                <w:right w:w="108" w:type="dxa"/>
              </w:tblCellMar>
            </w:tblPr>
            <w:tblGrid>
              <w:gridCol w:w="8758"/>
            </w:tblGrid>
            <w:tr w14:paraId="5D1EB263">
              <w:tc>
                <w:tcPr>
                  <w:tcW w:w="8758" w:type="dxa"/>
                  <w:noWrap w:val="0"/>
                  <w:vAlign w:val="top"/>
                </w:tcPr>
                <w:p w14:paraId="5B91BC27">
                  <w:pPr>
                    <w:pStyle w:val="49"/>
                    <w:spacing w:line="240" w:lineRule="auto"/>
                    <w:ind w:firstLine="0" w:firstLineChars="0"/>
                    <w:jc w:val="center"/>
                    <w:rPr>
                      <w:rFonts w:hint="default" w:ascii="Times New Roman" w:hAnsi="Times New Roman" w:cs="Times New Roman"/>
                      <w:color w:val="auto"/>
                      <w:szCs w:val="24"/>
                    </w:rPr>
                  </w:pPr>
                  <w:r>
                    <w:rPr>
                      <w:rFonts w:hint="default" w:ascii="Times New Roman" w:hAnsi="Times New Roman" w:cs="Times New Roman"/>
                      <w:b/>
                      <w:color w:val="auto"/>
                      <w:szCs w:val="21"/>
                    </w:rPr>
                    <w:object>
                      <v:shape id="_x0000_i1028" o:spt="75" type="#_x0000_t75" style="height:159.6pt;width:426.45pt;" o:ole="t" filled="f" o:preferrelative="t" stroked="f" coordsize="21600,21600">
                        <v:path/>
                        <v:fill on="f" focussize="0,0"/>
                        <v:stroke on="f"/>
                        <v:imagedata r:id="rId19" o:title=""/>
                        <o:lock v:ext="edit" aspectratio="f"/>
                        <w10:wrap type="none"/>
                        <w10:anchorlock/>
                      </v:shape>
                      <o:OLEObject Type="Embed" ProgID="Visio.Drawing.15" ShapeID="_x0000_i1028" DrawAspect="Content" ObjectID="_1468075728" r:id="rId18">
                        <o:LockedField>false</o:LockedField>
                      </o:OLEObject>
                    </w:object>
                  </w:r>
                  <w:r>
                    <w:rPr>
                      <w:rFonts w:hint="default" w:ascii="Times New Roman" w:hAnsi="Times New Roman" w:cs="Times New Roman"/>
                      <w:b/>
                      <w:color w:val="0000FF"/>
                      <w:szCs w:val="21"/>
                    </w:rPr>
                    <w:t>图2.</w:t>
                  </w:r>
                  <w:r>
                    <w:rPr>
                      <w:rFonts w:hint="default" w:ascii="Times New Roman" w:hAnsi="Times New Roman" w:cs="Times New Roman"/>
                      <w:b/>
                      <w:color w:val="0000FF"/>
                      <w:szCs w:val="21"/>
                      <w:lang w:val="en-US" w:eastAsia="zh-CN"/>
                    </w:rPr>
                    <w:t>7-1</w:t>
                  </w:r>
                  <w:r>
                    <w:rPr>
                      <w:rFonts w:hint="default" w:ascii="Times New Roman" w:hAnsi="Times New Roman" w:cs="Times New Roman"/>
                      <w:b/>
                      <w:color w:val="0000FF"/>
                      <w:szCs w:val="21"/>
                    </w:rPr>
                    <w:t xml:space="preserve">  </w:t>
                  </w:r>
                  <w:r>
                    <w:rPr>
                      <w:rFonts w:hint="default" w:ascii="Times New Roman" w:hAnsi="Times New Roman" w:cs="Times New Roman"/>
                      <w:b/>
                      <w:color w:val="0000FF"/>
                      <w:szCs w:val="21"/>
                      <w:lang w:val="en-US" w:eastAsia="zh-CN"/>
                    </w:rPr>
                    <w:t>手机充电器塑胶外壳</w:t>
                  </w:r>
                  <w:r>
                    <w:rPr>
                      <w:rFonts w:hint="default" w:ascii="Times New Roman" w:hAnsi="Times New Roman" w:cs="Times New Roman"/>
                      <w:b/>
                      <w:color w:val="0000FF"/>
                      <w:szCs w:val="21"/>
                    </w:rPr>
                    <w:t>生产工艺流程及产污环节图</w:t>
                  </w:r>
                </w:p>
              </w:tc>
            </w:tr>
          </w:tbl>
          <w:p w14:paraId="44299367">
            <w:pPr>
              <w:pStyle w:val="49"/>
              <w:keepNext w:val="0"/>
              <w:keepLines w:val="0"/>
              <w:pageBreakBefore w:val="0"/>
              <w:kinsoku/>
              <w:wordWrap/>
              <w:overflowPunct/>
              <w:topLinePunct w:val="0"/>
              <w:autoSpaceDE/>
              <w:autoSpaceDN/>
              <w:bidi w:val="0"/>
              <w:spacing w:line="360" w:lineRule="auto"/>
              <w:ind w:firstLine="0" w:firstLineChars="0"/>
              <w:textAlignment w:val="auto"/>
              <w:rPr>
                <w:rFonts w:hint="default" w:ascii="Times New Roman" w:hAnsi="Times New Roman" w:cs="Times New Roman"/>
                <w:b/>
                <w:bCs/>
                <w:color w:val="auto"/>
                <w:szCs w:val="24"/>
              </w:rPr>
            </w:pPr>
            <w:r>
              <w:rPr>
                <w:rFonts w:hint="default" w:ascii="Times New Roman" w:hAnsi="Times New Roman" w:cs="Times New Roman"/>
                <w:b/>
                <w:bCs/>
                <w:color w:val="auto"/>
                <w:szCs w:val="24"/>
              </w:rPr>
              <w:t>2.7.8 现有</w:t>
            </w:r>
            <w:r>
              <w:rPr>
                <w:rFonts w:hint="eastAsia" w:cs="Times New Roman"/>
                <w:b/>
                <w:bCs/>
                <w:color w:val="auto"/>
                <w:szCs w:val="24"/>
                <w:lang w:eastAsia="zh-CN"/>
              </w:rPr>
              <w:t>工程</w:t>
            </w:r>
            <w:r>
              <w:rPr>
                <w:rFonts w:hint="default" w:ascii="Times New Roman" w:hAnsi="Times New Roman" w:cs="Times New Roman"/>
                <w:b/>
                <w:bCs/>
                <w:color w:val="auto"/>
                <w:szCs w:val="24"/>
              </w:rPr>
              <w:t>产排污情况</w:t>
            </w:r>
          </w:p>
          <w:p w14:paraId="4B4B29F9">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一、废气</w:t>
            </w:r>
          </w:p>
          <w:p w14:paraId="0E62BCB0">
            <w:pPr>
              <w:pStyle w:val="14"/>
              <w:keepNext w:val="0"/>
              <w:keepLines w:val="0"/>
              <w:pageBreakBefore w:val="0"/>
              <w:kinsoku/>
              <w:wordWrap/>
              <w:overflowPunct/>
              <w:topLinePunct w:val="0"/>
              <w:autoSpaceDE/>
              <w:autoSpaceDN/>
              <w:bidi w:val="0"/>
              <w:spacing w:before="0" w:after="0" w:line="360" w:lineRule="auto"/>
              <w:ind w:right="0" w:firstLine="474" w:firstLineChars="200"/>
              <w:textAlignment w:val="auto"/>
              <w:rPr>
                <w:rFonts w:hint="default" w:ascii="Times New Roman" w:hAnsi="Times New Roman" w:cs="Times New Roman"/>
                <w:b/>
                <w:bCs/>
                <w:color w:val="auto"/>
                <w:spacing w:val="-2"/>
                <w:sz w:val="24"/>
                <w:szCs w:val="24"/>
              </w:rPr>
            </w:pPr>
            <w:r>
              <w:rPr>
                <w:rFonts w:hint="default" w:ascii="Times New Roman" w:hAnsi="Times New Roman" w:cs="Times New Roman"/>
                <w:b/>
                <w:bCs/>
                <w:color w:val="auto"/>
                <w:spacing w:val="-2"/>
                <w:sz w:val="24"/>
                <w:szCs w:val="24"/>
              </w:rPr>
              <w:t>1、废气采取的治理措施</w:t>
            </w:r>
          </w:p>
          <w:p w14:paraId="191ADBA2">
            <w:pPr>
              <w:pStyle w:val="14"/>
              <w:keepNext w:val="0"/>
              <w:keepLines w:val="0"/>
              <w:pageBreakBefore w:val="0"/>
              <w:kinsoku/>
              <w:wordWrap/>
              <w:overflowPunct/>
              <w:topLinePunct w:val="0"/>
              <w:autoSpaceDE/>
              <w:autoSpaceDN/>
              <w:bidi w:val="0"/>
              <w:spacing w:before="0" w:after="0" w:line="360" w:lineRule="auto"/>
              <w:ind w:right="0" w:firstLine="472" w:firstLineChars="200"/>
              <w:textAlignment w:val="auto"/>
              <w:rPr>
                <w:rFonts w:hint="default" w:ascii="Times New Roman" w:hAnsi="Times New Roman" w:cs="Times New Roman"/>
                <w:color w:val="auto"/>
                <w:spacing w:val="-2"/>
                <w:sz w:val="24"/>
                <w:szCs w:val="24"/>
              </w:rPr>
            </w:pPr>
            <w:r>
              <w:rPr>
                <w:rFonts w:hint="default" w:ascii="Times New Roman" w:hAnsi="Times New Roman" w:cs="Times New Roman"/>
                <w:color w:val="auto"/>
                <w:spacing w:val="-2"/>
                <w:sz w:val="24"/>
                <w:szCs w:val="24"/>
              </w:rPr>
              <w:t>现有</w:t>
            </w:r>
            <w:r>
              <w:rPr>
                <w:rFonts w:hint="eastAsia" w:cs="Times New Roman"/>
                <w:color w:val="auto"/>
                <w:spacing w:val="-2"/>
                <w:sz w:val="24"/>
                <w:szCs w:val="24"/>
                <w:lang w:eastAsia="zh-CN"/>
              </w:rPr>
              <w:t>工程</w:t>
            </w:r>
            <w:r>
              <w:rPr>
                <w:rFonts w:hint="default" w:ascii="Times New Roman" w:hAnsi="Times New Roman" w:cs="Times New Roman"/>
                <w:color w:val="auto"/>
                <w:spacing w:val="-2"/>
                <w:sz w:val="24"/>
                <w:szCs w:val="24"/>
              </w:rPr>
              <w:t>生产工艺废气</w:t>
            </w:r>
            <w:r>
              <w:rPr>
                <w:rFonts w:hint="default" w:ascii="Times New Roman" w:hAnsi="Times New Roman" w:cs="Times New Roman"/>
                <w:color w:val="auto"/>
                <w:spacing w:val="-2"/>
                <w:sz w:val="24"/>
                <w:szCs w:val="24"/>
                <w:lang w:val="en-US" w:eastAsia="zh-CN"/>
              </w:rPr>
              <w:t>主要为注塑成型有机废气、破碎粉尘</w:t>
            </w:r>
            <w:r>
              <w:rPr>
                <w:rFonts w:hint="default" w:ascii="Times New Roman" w:hAnsi="Times New Roman" w:cs="Times New Roman"/>
                <w:color w:val="auto"/>
                <w:spacing w:val="-2"/>
                <w:sz w:val="24"/>
                <w:szCs w:val="24"/>
              </w:rPr>
              <w:t>。</w:t>
            </w:r>
          </w:p>
          <w:p w14:paraId="2C53A1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注塑过程中采用电加热，烘烤温度为60~80</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eastAsia="zh-CN"/>
              </w:rPr>
              <w:t>，注塑温度约为180</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eastAsia="zh-CN"/>
              </w:rPr>
              <w:t>，会产生一定量的有机废气(</w:t>
            </w:r>
            <w:r>
              <w:rPr>
                <w:rFonts w:hint="eastAsia" w:ascii="Times New Roman" w:hAnsi="Times New Roman" w:eastAsia="宋体" w:cs="Times New Roman"/>
                <w:color w:val="auto"/>
                <w:sz w:val="24"/>
                <w:lang w:eastAsia="zh-CN"/>
              </w:rPr>
              <w:t>VOCs</w:t>
            </w:r>
            <w:r>
              <w:rPr>
                <w:rFonts w:hint="default" w:ascii="Times New Roman" w:hAnsi="Times New Roman" w:eastAsia="宋体" w:cs="Times New Roman"/>
                <w:color w:val="auto"/>
                <w:sz w:val="24"/>
                <w:lang w:eastAsia="zh-CN"/>
              </w:rPr>
              <w:t>)，通过收集后经UV光解催化氧化+活性炭吸附设施处理后由</w:t>
            </w:r>
            <w:r>
              <w:rPr>
                <w:rFonts w:hint="eastAsia" w:cs="Times New Roman"/>
                <w:color w:val="auto"/>
                <w:sz w:val="24"/>
                <w:lang w:val="en-US" w:eastAsia="zh-CN"/>
              </w:rPr>
              <w:t>15</w:t>
            </w:r>
            <w:r>
              <w:rPr>
                <w:rFonts w:hint="eastAsia" w:cs="Times New Roman"/>
                <w:color w:val="auto"/>
                <w:sz w:val="24"/>
                <w:lang w:eastAsia="zh-CN"/>
              </w:rPr>
              <w:t>m</w:t>
            </w:r>
            <w:r>
              <w:rPr>
                <w:rFonts w:hint="default" w:ascii="Times New Roman" w:hAnsi="Times New Roman" w:eastAsia="宋体" w:cs="Times New Roman"/>
                <w:color w:val="auto"/>
                <w:sz w:val="24"/>
                <w:lang w:eastAsia="zh-CN"/>
              </w:rPr>
              <w:t>高排气筒排放。</w:t>
            </w:r>
          </w:p>
          <w:p w14:paraId="74AA83F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FF"/>
                <w:sz w:val="24"/>
                <w:lang w:eastAsia="zh-CN"/>
              </w:rPr>
            </w:pPr>
            <w:r>
              <w:rPr>
                <w:rFonts w:hint="default" w:ascii="Times New Roman" w:hAnsi="Times New Roman" w:eastAsia="宋体" w:cs="Times New Roman"/>
                <w:color w:val="0000FF"/>
                <w:sz w:val="24"/>
                <w:lang w:eastAsia="zh-CN"/>
              </w:rPr>
              <w:t>注塑过程中产生的少量不合格产品及可回用的塑料边角料在破碎过程中会产生少量粉尘。破碎时</w:t>
            </w:r>
            <w:r>
              <w:rPr>
                <w:rFonts w:hint="eastAsia" w:cs="Times New Roman"/>
                <w:color w:val="0000FF"/>
                <w:sz w:val="24"/>
                <w:lang w:val="en-US" w:eastAsia="zh-CN"/>
              </w:rPr>
              <w:t>需要把</w:t>
            </w:r>
            <w:r>
              <w:rPr>
                <w:rFonts w:hint="default" w:ascii="Times New Roman" w:hAnsi="Times New Roman" w:eastAsia="宋体" w:cs="Times New Roman"/>
                <w:color w:val="0000FF"/>
                <w:sz w:val="24"/>
                <w:lang w:eastAsia="zh-CN"/>
              </w:rPr>
              <w:t>不合格产品及可回用的塑料边角料粉碎成原料颗粒(粒径约3mm)，破碎机加盖密封，同时在破碎过程中保持车间空气流通。</w:t>
            </w:r>
          </w:p>
          <w:p w14:paraId="6C30F6C6">
            <w:pPr>
              <w:keepNext w:val="0"/>
              <w:keepLines w:val="0"/>
              <w:pageBreakBefore w:val="0"/>
              <w:kinsoku/>
              <w:wordWrap/>
              <w:overflowPunct/>
              <w:topLinePunct w:val="0"/>
              <w:autoSpaceDE/>
              <w:autoSpaceDN/>
              <w:bidi w:val="0"/>
              <w:spacing w:line="360" w:lineRule="auto"/>
              <w:ind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2、废气治理设施有效性及废气达标分析</w:t>
            </w:r>
          </w:p>
          <w:p w14:paraId="5EF1A84E">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0000FF"/>
                <w:sz w:val="24"/>
              </w:rPr>
            </w:pPr>
            <w:r>
              <w:rPr>
                <w:rFonts w:hint="default" w:ascii="Times New Roman" w:hAnsi="Times New Roman" w:cs="Times New Roman"/>
                <w:color w:val="0000FF"/>
                <w:sz w:val="24"/>
              </w:rPr>
              <w:t>根据达州荣利达精密塑胶有限公司竣工环保验收</w:t>
            </w:r>
            <w:r>
              <w:rPr>
                <w:rFonts w:hint="eastAsia" w:cs="Times New Roman"/>
                <w:color w:val="0000FF"/>
                <w:sz w:val="24"/>
                <w:lang w:val="en-US" w:eastAsia="zh-CN"/>
              </w:rPr>
              <w:t>资料，本项目最大VOCs排放量为0.01722t/a。</w:t>
            </w:r>
            <w:r>
              <w:rPr>
                <w:rFonts w:hint="default" w:ascii="Times New Roman" w:hAnsi="Times New Roman" w:cs="Times New Roman"/>
                <w:color w:val="0000FF"/>
                <w:sz w:val="24"/>
              </w:rPr>
              <w:t>现有</w:t>
            </w:r>
            <w:r>
              <w:rPr>
                <w:rFonts w:hint="eastAsia" w:cs="Times New Roman"/>
                <w:color w:val="0000FF"/>
                <w:sz w:val="24"/>
                <w:lang w:eastAsia="zh-CN"/>
              </w:rPr>
              <w:t>工程</w:t>
            </w:r>
            <w:r>
              <w:rPr>
                <w:rFonts w:hint="default" w:ascii="Times New Roman" w:hAnsi="Times New Roman" w:cs="Times New Roman"/>
                <w:color w:val="0000FF"/>
                <w:sz w:val="24"/>
              </w:rPr>
              <w:t>废气排放达标情况详见表2.7-6。</w:t>
            </w:r>
          </w:p>
          <w:p w14:paraId="467C7B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Cs/>
                <w:color w:val="auto"/>
                <w:sz w:val="24"/>
              </w:rPr>
            </w:pPr>
            <w:r>
              <w:rPr>
                <w:rFonts w:hint="default" w:ascii="Times New Roman" w:hAnsi="Times New Roman" w:cs="Times New Roman"/>
                <w:b/>
                <w:color w:val="auto"/>
                <w:sz w:val="24"/>
              </w:rPr>
              <w:t>表2.7-6   现有</w:t>
            </w:r>
            <w:r>
              <w:rPr>
                <w:rFonts w:hint="eastAsia" w:cs="Times New Roman"/>
                <w:b/>
                <w:color w:val="auto"/>
                <w:sz w:val="24"/>
                <w:lang w:eastAsia="zh-CN"/>
              </w:rPr>
              <w:t>工程</w:t>
            </w:r>
            <w:r>
              <w:rPr>
                <w:rFonts w:hint="default" w:ascii="Times New Roman" w:hAnsi="Times New Roman" w:cs="Times New Roman"/>
                <w:b/>
                <w:color w:val="auto"/>
                <w:sz w:val="24"/>
              </w:rPr>
              <w:t>废气监测结果达标情况一览表（2024年）</w:t>
            </w:r>
          </w:p>
          <w:tbl>
            <w:tblPr>
              <w:tblStyle w:val="35"/>
              <w:tblW w:w="492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1087"/>
              <w:gridCol w:w="1050"/>
              <w:gridCol w:w="946"/>
              <w:gridCol w:w="1154"/>
              <w:gridCol w:w="1415"/>
              <w:gridCol w:w="999"/>
              <w:gridCol w:w="900"/>
            </w:tblGrid>
            <w:tr w14:paraId="0C718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1060" w:type="dxa"/>
                  <w:noWrap w:val="0"/>
                  <w:vAlign w:val="center"/>
                </w:tcPr>
                <w:p w14:paraId="7D78B989">
                  <w:pPr>
                    <w:keepNext w:val="0"/>
                    <w:keepLines w:val="0"/>
                    <w:widowControl/>
                    <w:suppressLineNumbers w:val="0"/>
                    <w:spacing w:line="240" w:lineRule="auto"/>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监测点位</w:t>
                  </w:r>
                </w:p>
              </w:tc>
              <w:tc>
                <w:tcPr>
                  <w:tcW w:w="1087" w:type="dxa"/>
                  <w:noWrap w:val="0"/>
                  <w:vAlign w:val="center"/>
                </w:tcPr>
                <w:p w14:paraId="598075E0">
                  <w:pPr>
                    <w:keepNext w:val="0"/>
                    <w:keepLines w:val="0"/>
                    <w:widowControl/>
                    <w:suppressLineNumbers w:val="0"/>
                    <w:spacing w:line="240" w:lineRule="auto"/>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监测时间</w:t>
                  </w:r>
                </w:p>
              </w:tc>
              <w:tc>
                <w:tcPr>
                  <w:tcW w:w="1050" w:type="dxa"/>
                  <w:noWrap w:val="0"/>
                  <w:vAlign w:val="center"/>
                </w:tcPr>
                <w:p w14:paraId="1E2F3A91">
                  <w:pPr>
                    <w:keepNext w:val="0"/>
                    <w:keepLines w:val="0"/>
                    <w:widowControl/>
                    <w:suppressLineNumbers w:val="0"/>
                    <w:spacing w:line="240" w:lineRule="auto"/>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废气量平均值Nm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w:t>
                  </w:r>
                </w:p>
              </w:tc>
              <w:tc>
                <w:tcPr>
                  <w:tcW w:w="946" w:type="dxa"/>
                  <w:noWrap w:val="0"/>
                  <w:vAlign w:val="center"/>
                </w:tcPr>
                <w:p w14:paraId="6DA128FD">
                  <w:pPr>
                    <w:keepNext w:val="0"/>
                    <w:keepLines w:val="0"/>
                    <w:widowControl/>
                    <w:suppressLineNumbers w:val="0"/>
                    <w:spacing w:line="240" w:lineRule="auto"/>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污染因子</w:t>
                  </w:r>
                </w:p>
              </w:tc>
              <w:tc>
                <w:tcPr>
                  <w:tcW w:w="1154" w:type="dxa"/>
                  <w:noWrap w:val="0"/>
                  <w:vAlign w:val="center"/>
                </w:tcPr>
                <w:p w14:paraId="53138235">
                  <w:pPr>
                    <w:keepNext w:val="0"/>
                    <w:keepLines w:val="0"/>
                    <w:widowControl/>
                    <w:suppressLineNumbers w:val="0"/>
                    <w:spacing w:line="240" w:lineRule="auto"/>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排放浓度平均值</w:t>
                  </w:r>
                  <w:r>
                    <w:rPr>
                      <w:rFonts w:hint="eastAsia" w:cs="Times New Roman"/>
                      <w:i w:val="0"/>
                      <w:iCs w:val="0"/>
                      <w:color w:val="auto"/>
                      <w:kern w:val="0"/>
                      <w:sz w:val="21"/>
                      <w:szCs w:val="21"/>
                      <w:u w:val="none"/>
                      <w:lang w:val="en-US" w:eastAsia="zh-CN" w:bidi="ar"/>
                    </w:rPr>
                    <w:t>（mg/m</w:t>
                  </w:r>
                  <w:r>
                    <w:rPr>
                      <w:rFonts w:hint="eastAsia" w:cs="Times New Roman"/>
                      <w:i w:val="0"/>
                      <w:iCs w:val="0"/>
                      <w:color w:val="auto"/>
                      <w:kern w:val="0"/>
                      <w:sz w:val="21"/>
                      <w:szCs w:val="21"/>
                      <w:u w:val="none"/>
                      <w:vertAlign w:val="superscript"/>
                      <w:lang w:val="en-US" w:eastAsia="zh-CN" w:bidi="ar"/>
                    </w:rPr>
                    <w:t>3</w:t>
                  </w:r>
                  <w:r>
                    <w:rPr>
                      <w:rFonts w:hint="eastAsia" w:cs="Times New Roman"/>
                      <w:i w:val="0"/>
                      <w:iCs w:val="0"/>
                      <w:color w:val="auto"/>
                      <w:kern w:val="0"/>
                      <w:sz w:val="21"/>
                      <w:szCs w:val="21"/>
                      <w:u w:val="none"/>
                      <w:lang w:val="en-US" w:eastAsia="zh-CN" w:bidi="ar"/>
                    </w:rPr>
                    <w:t>）</w:t>
                  </w:r>
                </w:p>
              </w:tc>
              <w:tc>
                <w:tcPr>
                  <w:tcW w:w="1415" w:type="dxa"/>
                  <w:noWrap w:val="0"/>
                  <w:vAlign w:val="center"/>
                </w:tcPr>
                <w:p w14:paraId="06509BD3">
                  <w:pPr>
                    <w:keepNext w:val="0"/>
                    <w:keepLines w:val="0"/>
                    <w:widowControl/>
                    <w:suppressLineNumbers w:val="0"/>
                    <w:spacing w:line="240" w:lineRule="auto"/>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排放速率平均值（kg/h）</w:t>
                  </w:r>
                </w:p>
              </w:tc>
              <w:tc>
                <w:tcPr>
                  <w:tcW w:w="999" w:type="dxa"/>
                  <w:noWrap w:val="0"/>
                  <w:vAlign w:val="center"/>
                </w:tcPr>
                <w:p w14:paraId="0AEF472B">
                  <w:pPr>
                    <w:keepNext w:val="0"/>
                    <w:keepLines w:val="0"/>
                    <w:widowControl/>
                    <w:suppressLineNumbers w:val="0"/>
                    <w:spacing w:line="240" w:lineRule="auto"/>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标准限值mg/m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900" w:type="dxa"/>
                  <w:noWrap w:val="0"/>
                  <w:vAlign w:val="center"/>
                </w:tcPr>
                <w:p w14:paraId="5EEB552C">
                  <w:pPr>
                    <w:keepNext w:val="0"/>
                    <w:keepLines w:val="0"/>
                    <w:widowControl/>
                    <w:suppressLineNumbers w:val="0"/>
                    <w:spacing w:line="240" w:lineRule="auto"/>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达标情况</w:t>
                  </w:r>
                </w:p>
              </w:tc>
            </w:tr>
            <w:tr w14:paraId="091DC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 w:hRule="atLeast"/>
              </w:trPr>
              <w:tc>
                <w:tcPr>
                  <w:tcW w:w="1060" w:type="dxa"/>
                  <w:vMerge w:val="restart"/>
                  <w:noWrap w:val="0"/>
                  <w:vAlign w:val="center"/>
                </w:tcPr>
                <w:p w14:paraId="206160C8">
                  <w:pPr>
                    <w:keepNext w:val="0"/>
                    <w:keepLines w:val="0"/>
                    <w:widowControl/>
                    <w:suppressLineNumbers w:val="0"/>
                    <w:spacing w:line="240" w:lineRule="auto"/>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排气筒</w:t>
                  </w:r>
                </w:p>
              </w:tc>
              <w:tc>
                <w:tcPr>
                  <w:tcW w:w="1087" w:type="dxa"/>
                  <w:noWrap w:val="0"/>
                  <w:vAlign w:val="center"/>
                </w:tcPr>
                <w:p w14:paraId="12CF7323">
                  <w:pPr>
                    <w:keepNext w:val="0"/>
                    <w:keepLines w:val="0"/>
                    <w:widowControl/>
                    <w:suppressLineNumbers w:val="0"/>
                    <w:spacing w:line="240" w:lineRule="auto"/>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2022.1.21</w:t>
                  </w:r>
                </w:p>
              </w:tc>
              <w:tc>
                <w:tcPr>
                  <w:tcW w:w="1050" w:type="dxa"/>
                  <w:noWrap w:val="0"/>
                  <w:vAlign w:val="center"/>
                </w:tcPr>
                <w:p w14:paraId="560DF8DA">
                  <w:pPr>
                    <w:keepNext w:val="0"/>
                    <w:keepLines w:val="0"/>
                    <w:widowControl/>
                    <w:suppressLineNumbers w:val="0"/>
                    <w:spacing w:line="240" w:lineRule="auto"/>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15468</w:t>
                  </w:r>
                </w:p>
              </w:tc>
              <w:tc>
                <w:tcPr>
                  <w:tcW w:w="946" w:type="dxa"/>
                  <w:vMerge w:val="restart"/>
                  <w:noWrap w:val="0"/>
                  <w:vAlign w:val="center"/>
                </w:tcPr>
                <w:p w14:paraId="3EAF894E">
                  <w:pPr>
                    <w:keepNext w:val="0"/>
                    <w:keepLines w:val="0"/>
                    <w:widowControl/>
                    <w:suppressLineNumbers w:val="0"/>
                    <w:spacing w:line="240" w:lineRule="auto"/>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非甲烷总烃</w:t>
                  </w:r>
                </w:p>
              </w:tc>
              <w:tc>
                <w:tcPr>
                  <w:tcW w:w="1154" w:type="dxa"/>
                  <w:noWrap w:val="0"/>
                  <w:vAlign w:val="center"/>
                </w:tcPr>
                <w:p w14:paraId="59798A3B">
                  <w:pPr>
                    <w:keepNext w:val="0"/>
                    <w:keepLines w:val="0"/>
                    <w:widowControl/>
                    <w:suppressLineNumbers w:val="0"/>
                    <w:spacing w:line="240" w:lineRule="auto"/>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1.59</w:t>
                  </w:r>
                </w:p>
              </w:tc>
              <w:tc>
                <w:tcPr>
                  <w:tcW w:w="1415" w:type="dxa"/>
                  <w:noWrap w:val="0"/>
                  <w:vAlign w:val="center"/>
                </w:tcPr>
                <w:p w14:paraId="175D281C">
                  <w:pPr>
                    <w:keepNext w:val="0"/>
                    <w:keepLines w:val="0"/>
                    <w:widowControl/>
                    <w:suppressLineNumbers w:val="0"/>
                    <w:spacing w:line="240" w:lineRule="auto"/>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0.0246</w:t>
                  </w:r>
                </w:p>
              </w:tc>
              <w:tc>
                <w:tcPr>
                  <w:tcW w:w="999" w:type="dxa"/>
                  <w:noWrap w:val="0"/>
                  <w:vAlign w:val="center"/>
                </w:tcPr>
                <w:p w14:paraId="18E46724">
                  <w:pPr>
                    <w:keepNext w:val="0"/>
                    <w:keepLines w:val="0"/>
                    <w:widowControl/>
                    <w:suppressLineNumbers w:val="0"/>
                    <w:spacing w:line="240" w:lineRule="auto"/>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60</w:t>
                  </w:r>
                </w:p>
              </w:tc>
              <w:tc>
                <w:tcPr>
                  <w:tcW w:w="900" w:type="dxa"/>
                  <w:vMerge w:val="restart"/>
                  <w:noWrap w:val="0"/>
                  <w:vAlign w:val="center"/>
                </w:tcPr>
                <w:p w14:paraId="40694461">
                  <w:pPr>
                    <w:keepNext w:val="0"/>
                    <w:keepLines w:val="0"/>
                    <w:widowControl/>
                    <w:suppressLineNumbers w:val="0"/>
                    <w:spacing w:line="240" w:lineRule="auto"/>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0EC2C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trPr>
              <w:tc>
                <w:tcPr>
                  <w:tcW w:w="1060" w:type="dxa"/>
                  <w:vMerge w:val="continue"/>
                  <w:noWrap w:val="0"/>
                  <w:vAlign w:val="center"/>
                </w:tcPr>
                <w:p w14:paraId="00A82A3B">
                  <w:pPr>
                    <w:keepNext w:val="0"/>
                    <w:keepLines w:val="0"/>
                    <w:widowControl/>
                    <w:suppressLineNumbers w:val="0"/>
                    <w:spacing w:line="240" w:lineRule="auto"/>
                    <w:jc w:val="center"/>
                    <w:textAlignment w:val="center"/>
                    <w:rPr>
                      <w:rFonts w:hint="default" w:ascii="Times New Roman" w:hAnsi="Times New Roman" w:cs="Times New Roman"/>
                      <w:color w:val="auto"/>
                    </w:rPr>
                  </w:pPr>
                </w:p>
              </w:tc>
              <w:tc>
                <w:tcPr>
                  <w:tcW w:w="1087" w:type="dxa"/>
                  <w:noWrap w:val="0"/>
                  <w:vAlign w:val="center"/>
                </w:tcPr>
                <w:p w14:paraId="5D512741">
                  <w:pPr>
                    <w:keepNext w:val="0"/>
                    <w:keepLines w:val="0"/>
                    <w:widowControl/>
                    <w:suppressLineNumbers w:val="0"/>
                    <w:spacing w:line="240" w:lineRule="auto"/>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2022.1.22</w:t>
                  </w:r>
                </w:p>
              </w:tc>
              <w:tc>
                <w:tcPr>
                  <w:tcW w:w="1050" w:type="dxa"/>
                  <w:noWrap w:val="0"/>
                  <w:vAlign w:val="center"/>
                </w:tcPr>
                <w:p w14:paraId="2EB59E89">
                  <w:pPr>
                    <w:keepNext w:val="0"/>
                    <w:keepLines w:val="0"/>
                    <w:widowControl/>
                    <w:suppressLineNumbers w:val="0"/>
                    <w:spacing w:line="240" w:lineRule="auto"/>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2"/>
                      <w:szCs w:val="22"/>
                      <w:u w:val="none"/>
                      <w:lang w:val="en-US" w:eastAsia="zh-CN" w:bidi="ar"/>
                    </w:rPr>
                    <w:t>18339</w:t>
                  </w:r>
                </w:p>
              </w:tc>
              <w:tc>
                <w:tcPr>
                  <w:tcW w:w="946" w:type="dxa"/>
                  <w:vMerge w:val="continue"/>
                  <w:noWrap w:val="0"/>
                  <w:vAlign w:val="center"/>
                </w:tcPr>
                <w:p w14:paraId="4C7ABCF1">
                  <w:pPr>
                    <w:spacing w:line="240" w:lineRule="auto"/>
                    <w:jc w:val="center"/>
                    <w:rPr>
                      <w:rFonts w:hint="default" w:ascii="Times New Roman" w:hAnsi="Times New Roman" w:cs="Times New Roman"/>
                      <w:color w:val="auto"/>
                    </w:rPr>
                  </w:pPr>
                </w:p>
              </w:tc>
              <w:tc>
                <w:tcPr>
                  <w:tcW w:w="1154" w:type="dxa"/>
                  <w:noWrap w:val="0"/>
                  <w:vAlign w:val="center"/>
                </w:tcPr>
                <w:p w14:paraId="7E6E884A">
                  <w:pPr>
                    <w:keepNext w:val="0"/>
                    <w:keepLines w:val="0"/>
                    <w:widowControl/>
                    <w:suppressLineNumbers w:val="0"/>
                    <w:spacing w:line="240" w:lineRule="auto"/>
                    <w:jc w:val="center"/>
                    <w:textAlignment w:val="center"/>
                    <w:rPr>
                      <w:rFonts w:hint="default" w:ascii="Times New Roman" w:hAnsi="Times New Roman" w:cs="Times New Roman"/>
                      <w:color w:val="auto"/>
                    </w:rPr>
                  </w:pPr>
                  <w:r>
                    <w:rPr>
                      <w:rFonts w:hint="eastAsia" w:cs="Times New Roman"/>
                      <w:i w:val="0"/>
                      <w:iCs w:val="0"/>
                      <w:color w:val="auto"/>
                      <w:kern w:val="0"/>
                      <w:sz w:val="22"/>
                      <w:szCs w:val="22"/>
                      <w:u w:val="none"/>
                      <w:lang w:val="en-US" w:eastAsia="zh-CN" w:bidi="ar"/>
                    </w:rPr>
                    <w:t>1</w:t>
                  </w:r>
                  <w:r>
                    <w:rPr>
                      <w:rFonts w:hint="default" w:ascii="Times New Roman" w:hAnsi="Times New Roman" w:eastAsia="宋体" w:cs="Times New Roman"/>
                      <w:i w:val="0"/>
                      <w:iCs w:val="0"/>
                      <w:color w:val="auto"/>
                      <w:kern w:val="0"/>
                      <w:sz w:val="22"/>
                      <w:szCs w:val="22"/>
                      <w:u w:val="none"/>
                      <w:lang w:val="en-US" w:eastAsia="zh-CN" w:bidi="ar"/>
                    </w:rPr>
                    <w:t>.57</w:t>
                  </w:r>
                </w:p>
              </w:tc>
              <w:tc>
                <w:tcPr>
                  <w:tcW w:w="1415" w:type="dxa"/>
                  <w:noWrap w:val="0"/>
                  <w:vAlign w:val="center"/>
                </w:tcPr>
                <w:p w14:paraId="0DF2640D">
                  <w:pPr>
                    <w:keepNext w:val="0"/>
                    <w:keepLines w:val="0"/>
                    <w:widowControl/>
                    <w:suppressLineNumbers w:val="0"/>
                    <w:spacing w:line="240" w:lineRule="auto"/>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2"/>
                      <w:szCs w:val="22"/>
                      <w:u w:val="none"/>
                      <w:lang w:val="en-US" w:eastAsia="zh-CN" w:bidi="ar"/>
                    </w:rPr>
                    <w:t>0.0287</w:t>
                  </w:r>
                </w:p>
              </w:tc>
              <w:tc>
                <w:tcPr>
                  <w:tcW w:w="999" w:type="dxa"/>
                  <w:noWrap w:val="0"/>
                  <w:vAlign w:val="center"/>
                </w:tcPr>
                <w:p w14:paraId="63E913D1">
                  <w:pPr>
                    <w:keepNext w:val="0"/>
                    <w:keepLines w:val="0"/>
                    <w:widowControl/>
                    <w:suppressLineNumbers w:val="0"/>
                    <w:spacing w:line="240" w:lineRule="auto"/>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2"/>
                      <w:szCs w:val="22"/>
                      <w:u w:val="none"/>
                      <w:lang w:val="en-US" w:eastAsia="zh-CN" w:bidi="ar"/>
                    </w:rPr>
                    <w:t>60</w:t>
                  </w:r>
                </w:p>
              </w:tc>
              <w:tc>
                <w:tcPr>
                  <w:tcW w:w="900" w:type="dxa"/>
                  <w:vMerge w:val="continue"/>
                  <w:noWrap w:val="0"/>
                  <w:vAlign w:val="center"/>
                </w:tcPr>
                <w:p w14:paraId="46A7BFAC">
                  <w:pPr>
                    <w:spacing w:line="240" w:lineRule="auto"/>
                    <w:jc w:val="center"/>
                    <w:rPr>
                      <w:rFonts w:hint="default" w:ascii="Times New Roman" w:hAnsi="Times New Roman" w:cs="Times New Roman"/>
                      <w:color w:val="auto"/>
                    </w:rPr>
                  </w:pPr>
                </w:p>
              </w:tc>
            </w:tr>
          </w:tbl>
          <w:p w14:paraId="4670236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color w:val="auto"/>
                <w:kern w:val="0"/>
                <w:sz w:val="24"/>
              </w:rPr>
            </w:pPr>
            <w:r>
              <w:rPr>
                <w:rFonts w:hint="default" w:ascii="Times New Roman" w:hAnsi="Times New Roman" w:cs="Times New Roman"/>
                <w:b/>
                <w:bCs/>
                <w:color w:val="auto"/>
                <w:sz w:val="24"/>
              </w:rPr>
              <w:t>根据上表可知，现有</w:t>
            </w:r>
            <w:r>
              <w:rPr>
                <w:rFonts w:hint="eastAsia" w:cs="Times New Roman"/>
                <w:b/>
                <w:bCs/>
                <w:color w:val="auto"/>
                <w:sz w:val="24"/>
                <w:lang w:eastAsia="zh-CN"/>
              </w:rPr>
              <w:t>工程</w:t>
            </w:r>
            <w:r>
              <w:rPr>
                <w:rFonts w:hint="default" w:ascii="Times New Roman" w:hAnsi="Times New Roman" w:cs="Times New Roman"/>
                <w:b/>
                <w:bCs/>
                <w:color w:val="auto"/>
                <w:sz w:val="24"/>
              </w:rPr>
              <w:t>所有排气筒各污染物均达标排放，现有</w:t>
            </w:r>
            <w:r>
              <w:rPr>
                <w:rFonts w:hint="eastAsia" w:cs="Times New Roman"/>
                <w:b/>
                <w:bCs/>
                <w:color w:val="auto"/>
                <w:sz w:val="24"/>
                <w:lang w:eastAsia="zh-CN"/>
              </w:rPr>
              <w:t>工程</w:t>
            </w:r>
            <w:r>
              <w:rPr>
                <w:rFonts w:hint="default" w:ascii="Times New Roman" w:hAnsi="Times New Roman" w:cs="Times New Roman"/>
                <w:b/>
                <w:bCs/>
                <w:color w:val="auto"/>
                <w:sz w:val="24"/>
              </w:rPr>
              <w:t>废气治理设施有效。</w:t>
            </w:r>
          </w:p>
          <w:p w14:paraId="41ADCC3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现有</w:t>
            </w:r>
            <w:r>
              <w:rPr>
                <w:rFonts w:hint="eastAsia" w:cs="Times New Roman"/>
                <w:color w:val="auto"/>
                <w:sz w:val="24"/>
                <w:lang w:eastAsia="zh-CN"/>
              </w:rPr>
              <w:t>工程</w:t>
            </w:r>
            <w:r>
              <w:rPr>
                <w:rFonts w:hint="default" w:ascii="Times New Roman" w:hAnsi="Times New Roman" w:cs="Times New Roman"/>
                <w:color w:val="auto"/>
                <w:sz w:val="24"/>
              </w:rPr>
              <w:t>废气污染物排放总量达标情况详见表2.7-</w:t>
            </w:r>
            <w:r>
              <w:rPr>
                <w:rFonts w:hint="default" w:ascii="Times New Roman" w:hAnsi="Times New Roman" w:cs="Times New Roman"/>
                <w:color w:val="auto"/>
                <w:sz w:val="24"/>
                <w:lang w:val="en-US" w:eastAsia="zh-CN"/>
              </w:rPr>
              <w:t>7</w:t>
            </w:r>
            <w:r>
              <w:rPr>
                <w:rFonts w:hint="default" w:ascii="Times New Roman" w:hAnsi="Times New Roman" w:cs="Times New Roman"/>
                <w:color w:val="auto"/>
                <w:sz w:val="24"/>
              </w:rPr>
              <w:t>。</w:t>
            </w:r>
          </w:p>
          <w:p w14:paraId="13E424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表2.7-</w:t>
            </w:r>
            <w:r>
              <w:rPr>
                <w:rFonts w:hint="default" w:ascii="Times New Roman" w:hAnsi="Times New Roman" w:cs="Times New Roman"/>
                <w:b/>
                <w:bCs/>
                <w:color w:val="auto"/>
                <w:sz w:val="24"/>
                <w:lang w:val="en-US" w:eastAsia="zh-CN"/>
              </w:rPr>
              <w:t>7</w:t>
            </w:r>
            <w:r>
              <w:rPr>
                <w:rFonts w:hint="default" w:ascii="Times New Roman" w:hAnsi="Times New Roman" w:cs="Times New Roman"/>
                <w:b/>
                <w:bCs/>
                <w:color w:val="auto"/>
                <w:sz w:val="24"/>
              </w:rPr>
              <w:t xml:space="preserve">   现有</w:t>
            </w:r>
            <w:r>
              <w:rPr>
                <w:rFonts w:hint="eastAsia" w:cs="Times New Roman"/>
                <w:b/>
                <w:bCs/>
                <w:color w:val="auto"/>
                <w:sz w:val="24"/>
                <w:lang w:eastAsia="zh-CN"/>
              </w:rPr>
              <w:t>工程</w:t>
            </w:r>
            <w:r>
              <w:rPr>
                <w:rFonts w:hint="default" w:ascii="Times New Roman" w:hAnsi="Times New Roman" w:cs="Times New Roman"/>
                <w:b/>
                <w:bCs/>
                <w:color w:val="auto"/>
                <w:sz w:val="24"/>
              </w:rPr>
              <w:t>废气污染物排放总量达标情况一览表</w:t>
            </w:r>
          </w:p>
          <w:tbl>
            <w:tblPr>
              <w:tblStyle w:val="3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1340"/>
              <w:gridCol w:w="1432"/>
              <w:gridCol w:w="1262"/>
              <w:gridCol w:w="1183"/>
              <w:gridCol w:w="1033"/>
              <w:gridCol w:w="1033"/>
            </w:tblGrid>
            <w:tr w14:paraId="0B4F9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221" w:type="dxa"/>
                  <w:noWrap w:val="0"/>
                  <w:vAlign w:val="center"/>
                </w:tcPr>
                <w:p w14:paraId="276A90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排放口及编号</w:t>
                  </w:r>
                </w:p>
              </w:tc>
              <w:tc>
                <w:tcPr>
                  <w:tcW w:w="1340" w:type="dxa"/>
                  <w:noWrap w:val="0"/>
                  <w:vAlign w:val="center"/>
                </w:tcPr>
                <w:p w14:paraId="036B2B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污染物</w:t>
                  </w:r>
                </w:p>
              </w:tc>
              <w:tc>
                <w:tcPr>
                  <w:tcW w:w="1432" w:type="dxa"/>
                  <w:noWrap w:val="0"/>
                  <w:vAlign w:val="center"/>
                </w:tcPr>
                <w:p w14:paraId="7E6219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实际排放量t/a</w:t>
                  </w:r>
                </w:p>
              </w:tc>
              <w:tc>
                <w:tcPr>
                  <w:tcW w:w="1262" w:type="dxa"/>
                  <w:noWrap w:val="0"/>
                  <w:vAlign w:val="center"/>
                </w:tcPr>
                <w:p w14:paraId="1EB0D40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2"/>
                      <w:szCs w:val="22"/>
                      <w:highlight w:val="none"/>
                      <w:u w:val="none"/>
                      <w:lang w:val="en-US" w:eastAsia="zh-CN" w:bidi="ar"/>
                    </w:rPr>
                    <w:t>原环评排放总量</w:t>
                  </w:r>
                </w:p>
              </w:tc>
              <w:tc>
                <w:tcPr>
                  <w:tcW w:w="1183" w:type="dxa"/>
                  <w:noWrap w:val="0"/>
                  <w:vAlign w:val="center"/>
                </w:tcPr>
                <w:p w14:paraId="07C927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排污许可总量t/a</w:t>
                  </w:r>
                </w:p>
              </w:tc>
              <w:tc>
                <w:tcPr>
                  <w:tcW w:w="1033" w:type="dxa"/>
                  <w:noWrap w:val="0"/>
                  <w:vAlign w:val="center"/>
                </w:tcPr>
                <w:p w14:paraId="5CB08B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符合性</w:t>
                  </w:r>
                </w:p>
              </w:tc>
              <w:tc>
                <w:tcPr>
                  <w:tcW w:w="1033" w:type="dxa"/>
                  <w:noWrap w:val="0"/>
                  <w:vAlign w:val="center"/>
                </w:tcPr>
                <w:p w14:paraId="17235BB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数据来源</w:t>
                  </w:r>
                </w:p>
              </w:tc>
            </w:tr>
            <w:tr w14:paraId="67A34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221" w:type="dxa"/>
                  <w:vMerge w:val="restart"/>
                  <w:noWrap w:val="0"/>
                  <w:vAlign w:val="center"/>
                </w:tcPr>
                <w:p w14:paraId="2A411F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一般排放口合计</w:t>
                  </w:r>
                </w:p>
              </w:tc>
              <w:tc>
                <w:tcPr>
                  <w:tcW w:w="1340" w:type="dxa"/>
                  <w:noWrap w:val="0"/>
                  <w:vAlign w:val="center"/>
                </w:tcPr>
                <w:p w14:paraId="02DFED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颗粒物</w:t>
                  </w:r>
                </w:p>
              </w:tc>
              <w:tc>
                <w:tcPr>
                  <w:tcW w:w="1432" w:type="dxa"/>
                  <w:noWrap w:val="0"/>
                  <w:vAlign w:val="center"/>
                </w:tcPr>
                <w:p w14:paraId="1574CF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少量</w:t>
                  </w:r>
                </w:p>
              </w:tc>
              <w:tc>
                <w:tcPr>
                  <w:tcW w:w="1262" w:type="dxa"/>
                  <w:noWrap w:val="0"/>
                  <w:vAlign w:val="center"/>
                </w:tcPr>
                <w:p w14:paraId="37B2AC3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2"/>
                      <w:szCs w:val="22"/>
                      <w:highlight w:val="none"/>
                      <w:u w:val="none"/>
                      <w:lang w:val="en-US" w:eastAsia="zh-CN" w:bidi="ar"/>
                    </w:rPr>
                    <w:t>/</w:t>
                  </w:r>
                </w:p>
              </w:tc>
              <w:tc>
                <w:tcPr>
                  <w:tcW w:w="1183" w:type="dxa"/>
                  <w:noWrap w:val="0"/>
                  <w:vAlign w:val="center"/>
                </w:tcPr>
                <w:p w14:paraId="68C791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033" w:type="dxa"/>
                  <w:noWrap w:val="0"/>
                  <w:vAlign w:val="center"/>
                </w:tcPr>
                <w:p w14:paraId="70F792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符合</w:t>
                  </w:r>
                </w:p>
              </w:tc>
              <w:tc>
                <w:tcPr>
                  <w:tcW w:w="1033" w:type="dxa"/>
                  <w:vMerge w:val="restart"/>
                  <w:noWrap w:val="0"/>
                  <w:vAlign w:val="center"/>
                </w:tcPr>
                <w:p w14:paraId="03FB3D12">
                  <w:pPr>
                    <w:keepNext w:val="0"/>
                    <w:keepLines w:val="0"/>
                    <w:widowControl/>
                    <w:suppressLineNumbers w:val="0"/>
                    <w:jc w:val="center"/>
                    <w:textAlignment w:val="center"/>
                    <w:rPr>
                      <w:rFonts w:hint="default" w:ascii="Times New Roman" w:hAnsi="Times New Roman"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现有项目验收报告</w:t>
                  </w:r>
                </w:p>
              </w:tc>
            </w:tr>
            <w:tr w14:paraId="03C7B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21" w:type="dxa"/>
                  <w:vMerge w:val="continue"/>
                  <w:noWrap w:val="0"/>
                  <w:vAlign w:val="center"/>
                </w:tcPr>
                <w:p w14:paraId="5BC1E714">
                  <w:pPr>
                    <w:jc w:val="center"/>
                    <w:rPr>
                      <w:rFonts w:hint="default" w:ascii="Times New Roman" w:hAnsi="Times New Roman" w:eastAsia="宋体" w:cs="Times New Roman"/>
                      <w:i w:val="0"/>
                      <w:iCs w:val="0"/>
                      <w:color w:val="auto"/>
                      <w:sz w:val="21"/>
                      <w:szCs w:val="21"/>
                      <w:u w:val="none"/>
                    </w:rPr>
                  </w:pPr>
                </w:p>
              </w:tc>
              <w:tc>
                <w:tcPr>
                  <w:tcW w:w="1340" w:type="dxa"/>
                  <w:noWrap w:val="0"/>
                  <w:vAlign w:val="center"/>
                </w:tcPr>
                <w:p w14:paraId="1C89D33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非甲烷总烃</w:t>
                  </w:r>
                </w:p>
              </w:tc>
              <w:tc>
                <w:tcPr>
                  <w:tcW w:w="1432" w:type="dxa"/>
                  <w:noWrap w:val="0"/>
                  <w:vAlign w:val="center"/>
                </w:tcPr>
                <w:p w14:paraId="2531DA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0.01722</w:t>
                  </w:r>
                </w:p>
              </w:tc>
              <w:tc>
                <w:tcPr>
                  <w:tcW w:w="1262" w:type="dxa"/>
                  <w:noWrap w:val="0"/>
                  <w:vAlign w:val="center"/>
                </w:tcPr>
                <w:p w14:paraId="011121F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highlight w:val="none"/>
                      <w:u w:val="none"/>
                    </w:rPr>
                  </w:pPr>
                  <w:r>
                    <w:rPr>
                      <w:rFonts w:hint="default" w:ascii="Times New Roman" w:hAnsi="Times New Roman" w:eastAsia="宋体" w:cs="Times New Roman"/>
                      <w:i w:val="0"/>
                      <w:iCs w:val="0"/>
                      <w:color w:val="0000FF"/>
                      <w:kern w:val="0"/>
                      <w:sz w:val="22"/>
                      <w:szCs w:val="22"/>
                      <w:highlight w:val="none"/>
                      <w:u w:val="none"/>
                      <w:lang w:val="en-US" w:eastAsia="zh-CN" w:bidi="ar"/>
                    </w:rPr>
                    <w:t>0.0209</w:t>
                  </w:r>
                </w:p>
              </w:tc>
              <w:tc>
                <w:tcPr>
                  <w:tcW w:w="1183" w:type="dxa"/>
                  <w:noWrap w:val="0"/>
                  <w:vAlign w:val="center"/>
                </w:tcPr>
                <w:p w14:paraId="3A6BBF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033" w:type="dxa"/>
                  <w:noWrap w:val="0"/>
                  <w:vAlign w:val="center"/>
                </w:tcPr>
                <w:p w14:paraId="6E9FA8E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符合</w:t>
                  </w:r>
                </w:p>
              </w:tc>
              <w:tc>
                <w:tcPr>
                  <w:tcW w:w="1033" w:type="dxa"/>
                  <w:vMerge w:val="continue"/>
                  <w:noWrap w:val="0"/>
                  <w:vAlign w:val="center"/>
                </w:tcPr>
                <w:p w14:paraId="55234247">
                  <w:pPr>
                    <w:jc w:val="center"/>
                    <w:rPr>
                      <w:rFonts w:hint="default" w:ascii="Times New Roman" w:hAnsi="Times New Roman" w:eastAsia="宋体" w:cs="Times New Roman"/>
                      <w:i w:val="0"/>
                      <w:iCs w:val="0"/>
                      <w:color w:val="auto"/>
                      <w:sz w:val="21"/>
                      <w:szCs w:val="21"/>
                      <w:u w:val="none"/>
                    </w:rPr>
                  </w:pPr>
                </w:p>
              </w:tc>
            </w:tr>
          </w:tbl>
          <w:p w14:paraId="5057B25C">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根据上表可知，</w:t>
            </w:r>
            <w:r>
              <w:rPr>
                <w:rFonts w:hint="eastAsia" w:cs="Times New Roman"/>
                <w:color w:val="auto"/>
                <w:sz w:val="24"/>
                <w:lang w:val="en-US" w:eastAsia="zh-CN"/>
              </w:rPr>
              <w:t>排污许可</w:t>
            </w:r>
            <w:r>
              <w:rPr>
                <w:rFonts w:hint="default" w:ascii="Times New Roman" w:hAnsi="Times New Roman" w:cs="Times New Roman"/>
                <w:color w:val="auto"/>
                <w:sz w:val="24"/>
              </w:rPr>
              <w:t>未核定废气污染物排放总量，现有</w:t>
            </w:r>
            <w:r>
              <w:rPr>
                <w:rFonts w:hint="eastAsia" w:cs="Times New Roman"/>
                <w:color w:val="auto"/>
                <w:sz w:val="24"/>
                <w:lang w:eastAsia="zh-CN"/>
              </w:rPr>
              <w:t>工程</w:t>
            </w:r>
            <w:r>
              <w:rPr>
                <w:rFonts w:hint="default" w:ascii="Times New Roman" w:hAnsi="Times New Roman" w:cs="Times New Roman"/>
                <w:color w:val="auto"/>
                <w:sz w:val="24"/>
              </w:rPr>
              <w:t>非甲烷总烃、颗粒物有组织排放总量满足要求。</w:t>
            </w:r>
          </w:p>
          <w:p w14:paraId="1A331C9D">
            <w:pPr>
              <w:pStyle w:val="206"/>
              <w:keepNext w:val="0"/>
              <w:keepLines w:val="0"/>
              <w:pageBreakBefore w:val="0"/>
              <w:widowControl w:val="0"/>
              <w:kinsoku/>
              <w:wordWrap/>
              <w:overflowPunct/>
              <w:topLinePunct w:val="0"/>
              <w:bidi w:val="0"/>
              <w:spacing w:line="360" w:lineRule="auto"/>
              <w:ind w:firstLine="474" w:firstLineChars="200"/>
              <w:textAlignment w:val="auto"/>
              <w:rPr>
                <w:rFonts w:hint="default" w:ascii="Times New Roman" w:hAnsi="Times New Roman" w:cs="Times New Roman"/>
                <w:b/>
                <w:color w:val="auto"/>
                <w:spacing w:val="-2"/>
              </w:rPr>
            </w:pPr>
            <w:r>
              <w:rPr>
                <w:rFonts w:hint="default" w:ascii="Times New Roman" w:hAnsi="Times New Roman" w:cs="Times New Roman"/>
                <w:b/>
                <w:color w:val="auto"/>
                <w:spacing w:val="-2"/>
              </w:rPr>
              <w:t>存在问题：</w:t>
            </w:r>
          </w:p>
          <w:p w14:paraId="71CACA94">
            <w:pPr>
              <w:pStyle w:val="206"/>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现有</w:t>
            </w:r>
            <w:r>
              <w:rPr>
                <w:rFonts w:hint="eastAsia" w:cs="Times New Roman"/>
                <w:color w:val="auto"/>
                <w:lang w:eastAsia="zh-CN"/>
              </w:rPr>
              <w:t>工程</w:t>
            </w:r>
            <w:r>
              <w:rPr>
                <w:rFonts w:hint="default" w:ascii="Times New Roman" w:hAnsi="Times New Roman" w:cs="Times New Roman"/>
                <w:color w:val="auto"/>
              </w:rPr>
              <w:t>所有排气筒各污染物均达标排放，现有</w:t>
            </w:r>
            <w:r>
              <w:rPr>
                <w:rFonts w:hint="eastAsia" w:cs="Times New Roman"/>
                <w:color w:val="auto"/>
                <w:lang w:eastAsia="zh-CN"/>
              </w:rPr>
              <w:t>工程</w:t>
            </w:r>
            <w:r>
              <w:rPr>
                <w:rFonts w:hint="default" w:ascii="Times New Roman" w:hAnsi="Times New Roman" w:cs="Times New Roman"/>
                <w:color w:val="auto"/>
              </w:rPr>
              <w:t>废气治理设施有效，不存在问题。</w:t>
            </w:r>
          </w:p>
          <w:p w14:paraId="5076BBBD">
            <w:pPr>
              <w:pStyle w:val="206"/>
              <w:keepNext w:val="0"/>
              <w:keepLines w:val="0"/>
              <w:pageBreakBefore w:val="0"/>
              <w:widowControl w:val="0"/>
              <w:kinsoku/>
              <w:wordWrap/>
              <w:overflowPunct/>
              <w:topLinePunct w:val="0"/>
              <w:bidi w:val="0"/>
              <w:spacing w:line="360" w:lineRule="auto"/>
              <w:ind w:firstLine="474" w:firstLineChars="200"/>
              <w:textAlignment w:val="auto"/>
              <w:rPr>
                <w:rFonts w:hint="default" w:ascii="Times New Roman" w:hAnsi="Times New Roman" w:cs="Times New Roman"/>
                <w:b/>
                <w:color w:val="auto"/>
                <w:spacing w:val="-2"/>
              </w:rPr>
            </w:pPr>
            <w:r>
              <w:rPr>
                <w:rFonts w:hint="default" w:ascii="Times New Roman" w:hAnsi="Times New Roman" w:cs="Times New Roman"/>
                <w:b/>
                <w:color w:val="auto"/>
                <w:spacing w:val="-2"/>
              </w:rPr>
              <w:t>二、废水</w:t>
            </w:r>
          </w:p>
          <w:p w14:paraId="5A353529">
            <w:pPr>
              <w:pStyle w:val="206"/>
              <w:keepNext w:val="0"/>
              <w:keepLines w:val="0"/>
              <w:pageBreakBefore w:val="0"/>
              <w:widowControl w:val="0"/>
              <w:kinsoku/>
              <w:wordWrap/>
              <w:overflowPunct/>
              <w:topLinePunct w:val="0"/>
              <w:bidi w:val="0"/>
              <w:spacing w:line="360" w:lineRule="auto"/>
              <w:ind w:firstLine="474" w:firstLineChars="200"/>
              <w:textAlignment w:val="auto"/>
              <w:rPr>
                <w:rFonts w:hint="default" w:ascii="Times New Roman" w:hAnsi="Times New Roman" w:cs="Times New Roman"/>
                <w:b/>
                <w:color w:val="auto"/>
                <w:spacing w:val="-2"/>
              </w:rPr>
            </w:pPr>
            <w:r>
              <w:rPr>
                <w:rFonts w:hint="default" w:ascii="Times New Roman" w:hAnsi="Times New Roman" w:cs="Times New Roman"/>
                <w:b/>
                <w:color w:val="auto"/>
                <w:spacing w:val="-2"/>
              </w:rPr>
              <w:t>1、废水治理措施</w:t>
            </w:r>
          </w:p>
          <w:p w14:paraId="51A1FAD8">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食堂废水经油水分离器预处理后同其他生活污水一并进入预处理池处理后排入园区污水管网，再进入大竹县工业园区污水处理厂。</w:t>
            </w:r>
          </w:p>
          <w:p w14:paraId="289D146A">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0000FF"/>
                <w:sz w:val="24"/>
              </w:rPr>
            </w:pPr>
            <w:r>
              <w:rPr>
                <w:rFonts w:hint="eastAsia" w:cs="Times New Roman"/>
                <w:bCs/>
                <w:color w:val="0000FF"/>
                <w:sz w:val="24"/>
                <w:lang w:val="en-US" w:eastAsia="zh-CN"/>
              </w:rPr>
              <w:t>根据</w:t>
            </w:r>
            <w:r>
              <w:rPr>
                <w:rFonts w:hint="eastAsia" w:ascii="Times New Roman" w:hAnsi="Times New Roman" w:cs="Times New Roman"/>
                <w:color w:val="0000FF"/>
                <w:sz w:val="24"/>
                <w:lang w:val="en-US" w:eastAsia="zh-CN"/>
              </w:rPr>
              <w:t>现场调查</w:t>
            </w:r>
            <w:r>
              <w:rPr>
                <w:rFonts w:hint="eastAsia" w:ascii="Times New Roman" w:hAnsi="Times New Roman" w:cs="Times New Roman"/>
                <w:color w:val="0000FF"/>
                <w:sz w:val="24"/>
                <w:lang w:eastAsia="zh-CN"/>
              </w:rPr>
              <w:t>，</w:t>
            </w:r>
            <w:r>
              <w:rPr>
                <w:rFonts w:hint="eastAsia" w:ascii="Times New Roman" w:hAnsi="Times New Roman" w:cs="Times New Roman"/>
                <w:color w:val="0000FF"/>
                <w:sz w:val="24"/>
                <w:lang w:val="en-US" w:eastAsia="zh-CN"/>
              </w:rPr>
              <w:t>企业废水排放量为1836m</w:t>
            </w:r>
            <w:r>
              <w:rPr>
                <w:rFonts w:hint="eastAsia" w:ascii="Times New Roman" w:hAnsi="Times New Roman" w:cs="Times New Roman"/>
                <w:color w:val="0000FF"/>
                <w:sz w:val="24"/>
                <w:vertAlign w:val="superscript"/>
                <w:lang w:val="en-US" w:eastAsia="zh-CN"/>
              </w:rPr>
              <w:t>3</w:t>
            </w:r>
            <w:r>
              <w:rPr>
                <w:rFonts w:hint="eastAsia" w:ascii="Times New Roman" w:hAnsi="Times New Roman" w:cs="Times New Roman"/>
                <w:color w:val="0000FF"/>
                <w:sz w:val="24"/>
                <w:lang w:val="en-US" w:eastAsia="zh-CN"/>
              </w:rPr>
              <w:t>/a。废水</w:t>
            </w:r>
            <w:r>
              <w:rPr>
                <w:rFonts w:hint="default" w:ascii="Times New Roman" w:hAnsi="Times New Roman" w:cs="Times New Roman"/>
                <w:bCs/>
                <w:color w:val="0000FF"/>
                <w:sz w:val="24"/>
              </w:rPr>
              <w:t>进入预处理池处理后排入园区污水管网，再进入大竹县工业园区污水处理厂。</w:t>
            </w:r>
          </w:p>
          <w:p w14:paraId="1AF7ECBC">
            <w:pPr>
              <w:keepNext w:val="0"/>
              <w:keepLines w:val="0"/>
              <w:pageBreakBefore w:val="0"/>
              <w:widowControl w:val="0"/>
              <w:kinsoku/>
              <w:wordWrap/>
              <w:overflowPunct/>
              <w:topLinePunct w:val="0"/>
              <w:bidi w:val="0"/>
              <w:spacing w:line="360" w:lineRule="auto"/>
              <w:ind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2、废水达标分析</w:t>
            </w:r>
          </w:p>
          <w:p w14:paraId="56431FE1">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根据企业现有</w:t>
            </w:r>
            <w:r>
              <w:rPr>
                <w:rFonts w:hint="eastAsia" w:cs="Times New Roman"/>
                <w:color w:val="auto"/>
                <w:sz w:val="24"/>
                <w:lang w:eastAsia="zh-CN"/>
              </w:rPr>
              <w:t>工程</w:t>
            </w:r>
            <w:r>
              <w:rPr>
                <w:rFonts w:hint="default" w:ascii="Times New Roman" w:hAnsi="Times New Roman" w:cs="Times New Roman"/>
                <w:color w:val="auto"/>
                <w:sz w:val="24"/>
              </w:rPr>
              <w:t>竣工验收检测报告，现有</w:t>
            </w:r>
            <w:r>
              <w:rPr>
                <w:rFonts w:hint="eastAsia" w:cs="Times New Roman"/>
                <w:color w:val="auto"/>
                <w:sz w:val="24"/>
                <w:lang w:eastAsia="zh-CN"/>
              </w:rPr>
              <w:t>工程</w:t>
            </w:r>
            <w:r>
              <w:rPr>
                <w:rFonts w:hint="default" w:ascii="Times New Roman" w:hAnsi="Times New Roman" w:cs="Times New Roman"/>
                <w:color w:val="auto"/>
                <w:sz w:val="24"/>
              </w:rPr>
              <w:t>废水排放达标情况详见表2.7-</w:t>
            </w:r>
            <w:r>
              <w:rPr>
                <w:rFonts w:hint="default" w:ascii="Times New Roman" w:hAnsi="Times New Roman" w:cs="Times New Roman"/>
                <w:color w:val="auto"/>
                <w:sz w:val="24"/>
                <w:lang w:val="en-US" w:eastAsia="zh-CN"/>
              </w:rPr>
              <w:t>8</w:t>
            </w:r>
            <w:r>
              <w:rPr>
                <w:rFonts w:hint="default" w:ascii="Times New Roman" w:hAnsi="Times New Roman" w:cs="Times New Roman"/>
                <w:color w:val="auto"/>
                <w:sz w:val="24"/>
              </w:rPr>
              <w:t>。</w:t>
            </w:r>
          </w:p>
          <w:p w14:paraId="0F0213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表2.7-</w:t>
            </w:r>
            <w:r>
              <w:rPr>
                <w:rFonts w:hint="default" w:ascii="Times New Roman" w:hAnsi="Times New Roman" w:cs="Times New Roman"/>
                <w:b/>
                <w:bCs/>
                <w:color w:val="auto"/>
                <w:sz w:val="24"/>
                <w:lang w:val="en-US" w:eastAsia="zh-CN"/>
              </w:rPr>
              <w:t>8</w:t>
            </w:r>
            <w:r>
              <w:rPr>
                <w:rFonts w:hint="default" w:ascii="Times New Roman" w:hAnsi="Times New Roman" w:cs="Times New Roman"/>
                <w:b/>
                <w:bCs/>
                <w:color w:val="auto"/>
                <w:sz w:val="24"/>
              </w:rPr>
              <w:t xml:space="preserve">   废水排放口监测结果达标情况一览表（单位：mg/L）</w:t>
            </w:r>
          </w:p>
          <w:tbl>
            <w:tblPr>
              <w:tblStyle w:val="35"/>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
              <w:gridCol w:w="900"/>
              <w:gridCol w:w="1378"/>
              <w:gridCol w:w="840"/>
              <w:gridCol w:w="705"/>
              <w:gridCol w:w="735"/>
              <w:gridCol w:w="735"/>
              <w:gridCol w:w="1033"/>
              <w:gridCol w:w="867"/>
              <w:gridCol w:w="888"/>
            </w:tblGrid>
            <w:tr w14:paraId="6F402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55" w:type="dxa"/>
                  <w:gridSpan w:val="2"/>
                  <w:noWrap w:val="0"/>
                  <w:vAlign w:val="center"/>
                </w:tcPr>
                <w:p w14:paraId="417091C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检测时间及点位</w:t>
                  </w:r>
                </w:p>
              </w:tc>
              <w:tc>
                <w:tcPr>
                  <w:tcW w:w="1379" w:type="dxa"/>
                  <w:noWrap w:val="0"/>
                  <w:vAlign w:val="center"/>
                </w:tcPr>
                <w:p w14:paraId="5513585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项目</w:t>
                  </w:r>
                </w:p>
              </w:tc>
              <w:tc>
                <w:tcPr>
                  <w:tcW w:w="840" w:type="dxa"/>
                  <w:noWrap w:val="0"/>
                  <w:vAlign w:val="center"/>
                </w:tcPr>
                <w:p w14:paraId="75CAE02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第一次</w:t>
                  </w:r>
                </w:p>
              </w:tc>
              <w:tc>
                <w:tcPr>
                  <w:tcW w:w="705" w:type="dxa"/>
                  <w:noWrap w:val="0"/>
                  <w:vAlign w:val="center"/>
                </w:tcPr>
                <w:p w14:paraId="50AF497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第二次</w:t>
                  </w:r>
                </w:p>
              </w:tc>
              <w:tc>
                <w:tcPr>
                  <w:tcW w:w="735" w:type="dxa"/>
                  <w:noWrap w:val="0"/>
                  <w:vAlign w:val="center"/>
                </w:tcPr>
                <w:p w14:paraId="07DE9F5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第三次</w:t>
                  </w:r>
                </w:p>
              </w:tc>
              <w:tc>
                <w:tcPr>
                  <w:tcW w:w="735" w:type="dxa"/>
                  <w:noWrap w:val="0"/>
                  <w:vAlign w:val="center"/>
                </w:tcPr>
                <w:p w14:paraId="4967778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第四次</w:t>
                  </w:r>
                </w:p>
              </w:tc>
              <w:tc>
                <w:tcPr>
                  <w:tcW w:w="1033" w:type="dxa"/>
                  <w:noWrap w:val="0"/>
                  <w:vAlign w:val="center"/>
                </w:tcPr>
                <w:p w14:paraId="6FFD3C9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平均值</w:t>
                  </w:r>
                </w:p>
              </w:tc>
              <w:tc>
                <w:tcPr>
                  <w:tcW w:w="867" w:type="dxa"/>
                  <w:noWrap w:val="0"/>
                  <w:vAlign w:val="center"/>
                </w:tcPr>
                <w:p w14:paraId="0A62D94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评价标准</w:t>
                  </w:r>
                </w:p>
              </w:tc>
              <w:tc>
                <w:tcPr>
                  <w:tcW w:w="888" w:type="dxa"/>
                  <w:noWrap w:val="0"/>
                  <w:vAlign w:val="center"/>
                </w:tcPr>
                <w:p w14:paraId="374FA66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达标情况</w:t>
                  </w:r>
                </w:p>
              </w:tc>
            </w:tr>
            <w:tr w14:paraId="6D408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5" w:type="dxa"/>
                  <w:vMerge w:val="restart"/>
                  <w:noWrap w:val="0"/>
                  <w:vAlign w:val="center"/>
                </w:tcPr>
                <w:p w14:paraId="20863DC3">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2022.1.21</w:t>
                  </w:r>
                </w:p>
              </w:tc>
              <w:tc>
                <w:tcPr>
                  <w:tcW w:w="900" w:type="dxa"/>
                  <w:vMerge w:val="restart"/>
                  <w:noWrap w:val="0"/>
                  <w:vAlign w:val="center"/>
                </w:tcPr>
                <w:p w14:paraId="562ADBC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1#废水总排口（经化粪池预处理后，进园区管网前）</w:t>
                  </w:r>
                </w:p>
              </w:tc>
              <w:tc>
                <w:tcPr>
                  <w:tcW w:w="1379" w:type="dxa"/>
                  <w:noWrap w:val="0"/>
                  <w:vAlign w:val="center"/>
                </w:tcPr>
                <w:p w14:paraId="5D8E8A3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pH（无量纲）</w:t>
                  </w:r>
                </w:p>
              </w:tc>
              <w:tc>
                <w:tcPr>
                  <w:tcW w:w="840" w:type="dxa"/>
                  <w:noWrap w:val="0"/>
                  <w:vAlign w:val="center"/>
                </w:tcPr>
                <w:p w14:paraId="03B40CC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7.71</w:t>
                  </w:r>
                </w:p>
              </w:tc>
              <w:tc>
                <w:tcPr>
                  <w:tcW w:w="705" w:type="dxa"/>
                  <w:noWrap w:val="0"/>
                  <w:vAlign w:val="center"/>
                </w:tcPr>
                <w:p w14:paraId="3C947C1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7.58</w:t>
                  </w:r>
                </w:p>
              </w:tc>
              <w:tc>
                <w:tcPr>
                  <w:tcW w:w="735" w:type="dxa"/>
                  <w:noWrap w:val="0"/>
                  <w:vAlign w:val="center"/>
                </w:tcPr>
                <w:p w14:paraId="3D933C7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7.63</w:t>
                  </w:r>
                </w:p>
              </w:tc>
              <w:tc>
                <w:tcPr>
                  <w:tcW w:w="735" w:type="dxa"/>
                  <w:noWrap w:val="0"/>
                  <w:vAlign w:val="center"/>
                </w:tcPr>
                <w:p w14:paraId="1108433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7.7</w:t>
                  </w:r>
                </w:p>
              </w:tc>
              <w:tc>
                <w:tcPr>
                  <w:tcW w:w="1033" w:type="dxa"/>
                  <w:noWrap w:val="0"/>
                  <w:vAlign w:val="center"/>
                </w:tcPr>
                <w:p w14:paraId="359AF8A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7.58-7.71</w:t>
                  </w:r>
                </w:p>
              </w:tc>
              <w:tc>
                <w:tcPr>
                  <w:tcW w:w="867" w:type="dxa"/>
                  <w:noWrap w:val="0"/>
                  <w:vAlign w:val="center"/>
                </w:tcPr>
                <w:p w14:paraId="569E877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6~9</w:t>
                  </w:r>
                </w:p>
              </w:tc>
              <w:tc>
                <w:tcPr>
                  <w:tcW w:w="888" w:type="dxa"/>
                  <w:noWrap w:val="0"/>
                  <w:vAlign w:val="center"/>
                </w:tcPr>
                <w:p w14:paraId="5CFC560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1BF3D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5" w:type="dxa"/>
                  <w:vMerge w:val="continue"/>
                  <w:noWrap w:val="0"/>
                  <w:vAlign w:val="center"/>
                </w:tcPr>
                <w:p w14:paraId="1C6DC906">
                  <w:pPr>
                    <w:keepNext w:val="0"/>
                    <w:keepLines w:val="0"/>
                    <w:pageBreakBefore w:val="0"/>
                    <w:kinsoku/>
                    <w:wordWrap/>
                    <w:overflowPunct/>
                    <w:topLinePunct w:val="0"/>
                    <w:autoSpaceDE/>
                    <w:autoSpaceDN/>
                    <w:bidi w:val="0"/>
                    <w:adjustRightInd/>
                    <w:snapToGrid/>
                    <w:jc w:val="both"/>
                    <w:rPr>
                      <w:rFonts w:hint="default" w:ascii="Times New Roman" w:hAnsi="Times New Roman" w:cs="Times New Roman"/>
                      <w:color w:val="auto"/>
                      <w:szCs w:val="21"/>
                    </w:rPr>
                  </w:pPr>
                </w:p>
              </w:tc>
              <w:tc>
                <w:tcPr>
                  <w:tcW w:w="900" w:type="dxa"/>
                  <w:vMerge w:val="continue"/>
                  <w:noWrap w:val="0"/>
                  <w:vAlign w:val="center"/>
                </w:tcPr>
                <w:p w14:paraId="522EB106">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szCs w:val="21"/>
                    </w:rPr>
                  </w:pPr>
                </w:p>
              </w:tc>
              <w:tc>
                <w:tcPr>
                  <w:tcW w:w="1379" w:type="dxa"/>
                  <w:noWrap w:val="0"/>
                  <w:vAlign w:val="center"/>
                </w:tcPr>
                <w:p w14:paraId="5D031E1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840" w:type="dxa"/>
                  <w:noWrap w:val="0"/>
                  <w:vAlign w:val="center"/>
                </w:tcPr>
                <w:p w14:paraId="4B64EC4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77</w:t>
                  </w:r>
                </w:p>
              </w:tc>
              <w:tc>
                <w:tcPr>
                  <w:tcW w:w="705" w:type="dxa"/>
                  <w:noWrap w:val="0"/>
                  <w:vAlign w:val="center"/>
                </w:tcPr>
                <w:p w14:paraId="26734D7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70</w:t>
                  </w:r>
                </w:p>
              </w:tc>
              <w:tc>
                <w:tcPr>
                  <w:tcW w:w="735" w:type="dxa"/>
                  <w:noWrap w:val="0"/>
                  <w:vAlign w:val="center"/>
                </w:tcPr>
                <w:p w14:paraId="56EE169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65</w:t>
                  </w:r>
                </w:p>
              </w:tc>
              <w:tc>
                <w:tcPr>
                  <w:tcW w:w="735" w:type="dxa"/>
                  <w:noWrap w:val="0"/>
                  <w:vAlign w:val="center"/>
                </w:tcPr>
                <w:p w14:paraId="43B291F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79</w:t>
                  </w:r>
                </w:p>
              </w:tc>
              <w:tc>
                <w:tcPr>
                  <w:tcW w:w="1033" w:type="dxa"/>
                  <w:noWrap w:val="0"/>
                  <w:vAlign w:val="center"/>
                </w:tcPr>
                <w:p w14:paraId="3B4E4E8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73</w:t>
                  </w:r>
                </w:p>
              </w:tc>
              <w:tc>
                <w:tcPr>
                  <w:tcW w:w="867" w:type="dxa"/>
                  <w:noWrap w:val="0"/>
                  <w:vAlign w:val="center"/>
                </w:tcPr>
                <w:p w14:paraId="7147F7E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888" w:type="dxa"/>
                  <w:noWrap w:val="0"/>
                  <w:vAlign w:val="center"/>
                </w:tcPr>
                <w:p w14:paraId="2023726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19E0E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5" w:type="dxa"/>
                  <w:vMerge w:val="continue"/>
                  <w:noWrap w:val="0"/>
                  <w:vAlign w:val="center"/>
                </w:tcPr>
                <w:p w14:paraId="3C0CA9BE">
                  <w:pPr>
                    <w:keepNext w:val="0"/>
                    <w:keepLines w:val="0"/>
                    <w:pageBreakBefore w:val="0"/>
                    <w:kinsoku/>
                    <w:wordWrap/>
                    <w:overflowPunct/>
                    <w:topLinePunct w:val="0"/>
                    <w:autoSpaceDE/>
                    <w:autoSpaceDN/>
                    <w:bidi w:val="0"/>
                    <w:adjustRightInd/>
                    <w:snapToGrid/>
                    <w:jc w:val="both"/>
                    <w:rPr>
                      <w:rFonts w:hint="default" w:ascii="Times New Roman" w:hAnsi="Times New Roman" w:cs="Times New Roman"/>
                      <w:color w:val="auto"/>
                      <w:szCs w:val="21"/>
                    </w:rPr>
                  </w:pPr>
                </w:p>
              </w:tc>
              <w:tc>
                <w:tcPr>
                  <w:tcW w:w="900" w:type="dxa"/>
                  <w:vMerge w:val="continue"/>
                  <w:noWrap w:val="0"/>
                  <w:vAlign w:val="center"/>
                </w:tcPr>
                <w:p w14:paraId="4C5BA59D">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szCs w:val="21"/>
                    </w:rPr>
                  </w:pPr>
                </w:p>
              </w:tc>
              <w:tc>
                <w:tcPr>
                  <w:tcW w:w="1379" w:type="dxa"/>
                  <w:noWrap w:val="0"/>
                  <w:vAlign w:val="center"/>
                </w:tcPr>
                <w:p w14:paraId="0247F1F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840" w:type="dxa"/>
                  <w:noWrap w:val="0"/>
                  <w:vAlign w:val="center"/>
                </w:tcPr>
                <w:p w14:paraId="265B41D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27.4</w:t>
                  </w:r>
                </w:p>
              </w:tc>
              <w:tc>
                <w:tcPr>
                  <w:tcW w:w="705" w:type="dxa"/>
                  <w:noWrap w:val="0"/>
                  <w:vAlign w:val="center"/>
                </w:tcPr>
                <w:p w14:paraId="66FAFC3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24.3</w:t>
                  </w:r>
                </w:p>
              </w:tc>
              <w:tc>
                <w:tcPr>
                  <w:tcW w:w="735" w:type="dxa"/>
                  <w:noWrap w:val="0"/>
                  <w:vAlign w:val="center"/>
                </w:tcPr>
                <w:p w14:paraId="584645A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24.2</w:t>
                  </w:r>
                </w:p>
              </w:tc>
              <w:tc>
                <w:tcPr>
                  <w:tcW w:w="735" w:type="dxa"/>
                  <w:noWrap w:val="0"/>
                  <w:vAlign w:val="center"/>
                </w:tcPr>
                <w:p w14:paraId="71C2745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27.8</w:t>
                  </w:r>
                </w:p>
              </w:tc>
              <w:tc>
                <w:tcPr>
                  <w:tcW w:w="1033" w:type="dxa"/>
                  <w:noWrap w:val="0"/>
                  <w:vAlign w:val="center"/>
                </w:tcPr>
                <w:p w14:paraId="301AB6F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25.9</w:t>
                  </w:r>
                </w:p>
              </w:tc>
              <w:tc>
                <w:tcPr>
                  <w:tcW w:w="867" w:type="dxa"/>
                  <w:noWrap w:val="0"/>
                  <w:vAlign w:val="center"/>
                </w:tcPr>
                <w:p w14:paraId="791B1A6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888" w:type="dxa"/>
                  <w:noWrap w:val="0"/>
                  <w:vAlign w:val="center"/>
                </w:tcPr>
                <w:p w14:paraId="78C2251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3C85B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5" w:type="dxa"/>
                  <w:vMerge w:val="continue"/>
                  <w:noWrap w:val="0"/>
                  <w:vAlign w:val="center"/>
                </w:tcPr>
                <w:p w14:paraId="7B5657F8">
                  <w:pPr>
                    <w:keepNext w:val="0"/>
                    <w:keepLines w:val="0"/>
                    <w:pageBreakBefore w:val="0"/>
                    <w:kinsoku/>
                    <w:wordWrap/>
                    <w:overflowPunct/>
                    <w:topLinePunct w:val="0"/>
                    <w:autoSpaceDE/>
                    <w:autoSpaceDN/>
                    <w:bidi w:val="0"/>
                    <w:adjustRightInd/>
                    <w:snapToGrid/>
                    <w:jc w:val="both"/>
                    <w:rPr>
                      <w:rFonts w:hint="default" w:ascii="Times New Roman" w:hAnsi="Times New Roman" w:cs="Times New Roman"/>
                      <w:color w:val="auto"/>
                      <w:szCs w:val="21"/>
                    </w:rPr>
                  </w:pPr>
                </w:p>
              </w:tc>
              <w:tc>
                <w:tcPr>
                  <w:tcW w:w="900" w:type="dxa"/>
                  <w:vMerge w:val="continue"/>
                  <w:noWrap w:val="0"/>
                  <w:vAlign w:val="center"/>
                </w:tcPr>
                <w:p w14:paraId="17E2ABF0">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szCs w:val="21"/>
                    </w:rPr>
                  </w:pPr>
                </w:p>
              </w:tc>
              <w:tc>
                <w:tcPr>
                  <w:tcW w:w="1379" w:type="dxa"/>
                  <w:noWrap w:val="0"/>
                  <w:vAlign w:val="center"/>
                </w:tcPr>
                <w:p w14:paraId="06669B5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SS</w:t>
                  </w:r>
                </w:p>
              </w:tc>
              <w:tc>
                <w:tcPr>
                  <w:tcW w:w="840" w:type="dxa"/>
                  <w:noWrap w:val="0"/>
                  <w:vAlign w:val="center"/>
                </w:tcPr>
                <w:p w14:paraId="77FC77A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384</w:t>
                  </w:r>
                </w:p>
              </w:tc>
              <w:tc>
                <w:tcPr>
                  <w:tcW w:w="705" w:type="dxa"/>
                  <w:noWrap w:val="0"/>
                  <w:vAlign w:val="center"/>
                </w:tcPr>
                <w:p w14:paraId="1DC0944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376</w:t>
                  </w:r>
                </w:p>
              </w:tc>
              <w:tc>
                <w:tcPr>
                  <w:tcW w:w="735" w:type="dxa"/>
                  <w:noWrap w:val="0"/>
                  <w:vAlign w:val="center"/>
                </w:tcPr>
                <w:p w14:paraId="66BB575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382</w:t>
                  </w:r>
                </w:p>
              </w:tc>
              <w:tc>
                <w:tcPr>
                  <w:tcW w:w="735" w:type="dxa"/>
                  <w:noWrap w:val="0"/>
                  <w:vAlign w:val="center"/>
                </w:tcPr>
                <w:p w14:paraId="3626653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385</w:t>
                  </w:r>
                </w:p>
              </w:tc>
              <w:tc>
                <w:tcPr>
                  <w:tcW w:w="1033" w:type="dxa"/>
                  <w:noWrap w:val="0"/>
                  <w:vAlign w:val="center"/>
                </w:tcPr>
                <w:p w14:paraId="73A043D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382</w:t>
                  </w:r>
                </w:p>
              </w:tc>
              <w:tc>
                <w:tcPr>
                  <w:tcW w:w="867" w:type="dxa"/>
                  <w:noWrap w:val="0"/>
                  <w:vAlign w:val="center"/>
                </w:tcPr>
                <w:p w14:paraId="1A21324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888" w:type="dxa"/>
                  <w:noWrap w:val="0"/>
                  <w:vAlign w:val="center"/>
                </w:tcPr>
                <w:p w14:paraId="4F800A3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3ECC1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5" w:type="dxa"/>
                  <w:vMerge w:val="continue"/>
                  <w:noWrap w:val="0"/>
                  <w:vAlign w:val="center"/>
                </w:tcPr>
                <w:p w14:paraId="59B348E1">
                  <w:pPr>
                    <w:keepNext w:val="0"/>
                    <w:keepLines w:val="0"/>
                    <w:pageBreakBefore w:val="0"/>
                    <w:kinsoku/>
                    <w:wordWrap/>
                    <w:overflowPunct/>
                    <w:topLinePunct w:val="0"/>
                    <w:autoSpaceDE/>
                    <w:autoSpaceDN/>
                    <w:bidi w:val="0"/>
                    <w:adjustRightInd/>
                    <w:snapToGrid/>
                    <w:jc w:val="both"/>
                    <w:rPr>
                      <w:rFonts w:hint="default" w:ascii="Times New Roman" w:hAnsi="Times New Roman" w:cs="Times New Roman"/>
                      <w:color w:val="auto"/>
                      <w:szCs w:val="21"/>
                    </w:rPr>
                  </w:pPr>
                </w:p>
              </w:tc>
              <w:tc>
                <w:tcPr>
                  <w:tcW w:w="900" w:type="dxa"/>
                  <w:vMerge w:val="continue"/>
                  <w:noWrap w:val="0"/>
                  <w:vAlign w:val="center"/>
                </w:tcPr>
                <w:p w14:paraId="3093B55E">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szCs w:val="21"/>
                    </w:rPr>
                  </w:pPr>
                </w:p>
              </w:tc>
              <w:tc>
                <w:tcPr>
                  <w:tcW w:w="1379" w:type="dxa"/>
                  <w:noWrap w:val="0"/>
                  <w:vAlign w:val="center"/>
                </w:tcPr>
                <w:p w14:paraId="2D880B4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动植物油</w:t>
                  </w:r>
                </w:p>
              </w:tc>
              <w:tc>
                <w:tcPr>
                  <w:tcW w:w="840" w:type="dxa"/>
                  <w:noWrap w:val="0"/>
                  <w:vAlign w:val="center"/>
                </w:tcPr>
                <w:p w14:paraId="3A4F157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89.2</w:t>
                  </w:r>
                </w:p>
              </w:tc>
              <w:tc>
                <w:tcPr>
                  <w:tcW w:w="705" w:type="dxa"/>
                  <w:noWrap w:val="0"/>
                  <w:vAlign w:val="center"/>
                </w:tcPr>
                <w:p w14:paraId="221B11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93.3</w:t>
                  </w:r>
                </w:p>
              </w:tc>
              <w:tc>
                <w:tcPr>
                  <w:tcW w:w="735" w:type="dxa"/>
                  <w:noWrap w:val="0"/>
                  <w:vAlign w:val="center"/>
                </w:tcPr>
                <w:p w14:paraId="1327178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93.1</w:t>
                  </w:r>
                </w:p>
              </w:tc>
              <w:tc>
                <w:tcPr>
                  <w:tcW w:w="735" w:type="dxa"/>
                  <w:noWrap w:val="0"/>
                  <w:vAlign w:val="center"/>
                </w:tcPr>
                <w:p w14:paraId="52D32F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91.9</w:t>
                  </w:r>
                </w:p>
              </w:tc>
              <w:tc>
                <w:tcPr>
                  <w:tcW w:w="1033" w:type="dxa"/>
                  <w:noWrap w:val="0"/>
                  <w:vAlign w:val="center"/>
                </w:tcPr>
                <w:p w14:paraId="3E15B43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91.9</w:t>
                  </w:r>
                </w:p>
              </w:tc>
              <w:tc>
                <w:tcPr>
                  <w:tcW w:w="867" w:type="dxa"/>
                  <w:noWrap w:val="0"/>
                  <w:vAlign w:val="center"/>
                </w:tcPr>
                <w:p w14:paraId="45D1DC0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888" w:type="dxa"/>
                  <w:noWrap w:val="0"/>
                  <w:vAlign w:val="center"/>
                </w:tcPr>
                <w:p w14:paraId="383732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11319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5" w:type="dxa"/>
                  <w:vMerge w:val="continue"/>
                  <w:noWrap w:val="0"/>
                  <w:vAlign w:val="center"/>
                </w:tcPr>
                <w:p w14:paraId="53230B0F">
                  <w:pPr>
                    <w:keepNext w:val="0"/>
                    <w:keepLines w:val="0"/>
                    <w:pageBreakBefore w:val="0"/>
                    <w:kinsoku/>
                    <w:wordWrap/>
                    <w:overflowPunct/>
                    <w:topLinePunct w:val="0"/>
                    <w:autoSpaceDE/>
                    <w:autoSpaceDN/>
                    <w:bidi w:val="0"/>
                    <w:adjustRightInd/>
                    <w:snapToGrid/>
                    <w:jc w:val="both"/>
                    <w:rPr>
                      <w:rFonts w:hint="default" w:ascii="Times New Roman" w:hAnsi="Times New Roman" w:cs="Times New Roman"/>
                      <w:color w:val="auto"/>
                      <w:szCs w:val="21"/>
                    </w:rPr>
                  </w:pPr>
                </w:p>
              </w:tc>
              <w:tc>
                <w:tcPr>
                  <w:tcW w:w="900" w:type="dxa"/>
                  <w:vMerge w:val="continue"/>
                  <w:noWrap w:val="0"/>
                  <w:vAlign w:val="center"/>
                </w:tcPr>
                <w:p w14:paraId="36C58EF7">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szCs w:val="21"/>
                    </w:rPr>
                  </w:pPr>
                </w:p>
              </w:tc>
              <w:tc>
                <w:tcPr>
                  <w:tcW w:w="1379" w:type="dxa"/>
                  <w:noWrap w:val="0"/>
                  <w:vAlign w:val="center"/>
                </w:tcPr>
                <w:p w14:paraId="6E67C0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840" w:type="dxa"/>
                  <w:noWrap w:val="0"/>
                  <w:vAlign w:val="center"/>
                </w:tcPr>
                <w:p w14:paraId="504DB6C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7.08</w:t>
                  </w:r>
                </w:p>
              </w:tc>
              <w:tc>
                <w:tcPr>
                  <w:tcW w:w="705" w:type="dxa"/>
                  <w:noWrap w:val="0"/>
                  <w:vAlign w:val="center"/>
                </w:tcPr>
                <w:p w14:paraId="4ED3BEB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5.90 </w:t>
                  </w:r>
                </w:p>
              </w:tc>
              <w:tc>
                <w:tcPr>
                  <w:tcW w:w="735" w:type="dxa"/>
                  <w:noWrap w:val="0"/>
                  <w:vAlign w:val="center"/>
                </w:tcPr>
                <w:p w14:paraId="650EA90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6.12</w:t>
                  </w:r>
                </w:p>
              </w:tc>
              <w:tc>
                <w:tcPr>
                  <w:tcW w:w="735" w:type="dxa"/>
                  <w:noWrap w:val="0"/>
                  <w:vAlign w:val="center"/>
                </w:tcPr>
                <w:p w14:paraId="1C771F0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6.29</w:t>
                  </w:r>
                </w:p>
              </w:tc>
              <w:tc>
                <w:tcPr>
                  <w:tcW w:w="1033" w:type="dxa"/>
                  <w:noWrap w:val="0"/>
                  <w:vAlign w:val="center"/>
                </w:tcPr>
                <w:p w14:paraId="0DB5B06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6.35</w:t>
                  </w:r>
                </w:p>
              </w:tc>
              <w:tc>
                <w:tcPr>
                  <w:tcW w:w="867" w:type="dxa"/>
                  <w:noWrap w:val="0"/>
                  <w:vAlign w:val="center"/>
                </w:tcPr>
                <w:p w14:paraId="2334650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45</w:t>
                  </w:r>
                </w:p>
              </w:tc>
              <w:tc>
                <w:tcPr>
                  <w:tcW w:w="888" w:type="dxa"/>
                  <w:noWrap w:val="0"/>
                  <w:vAlign w:val="center"/>
                </w:tcPr>
                <w:p w14:paraId="3F42B65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1AB21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5" w:type="dxa"/>
                  <w:vMerge w:val="restart"/>
                  <w:noWrap w:val="0"/>
                  <w:vAlign w:val="center"/>
                </w:tcPr>
                <w:p w14:paraId="0FA7798E">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2022.1.22</w:t>
                  </w:r>
                </w:p>
              </w:tc>
              <w:tc>
                <w:tcPr>
                  <w:tcW w:w="900" w:type="dxa"/>
                  <w:vMerge w:val="continue"/>
                  <w:noWrap w:val="0"/>
                  <w:vAlign w:val="center"/>
                </w:tcPr>
                <w:p w14:paraId="2BD112F1">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szCs w:val="21"/>
                    </w:rPr>
                  </w:pPr>
                </w:p>
              </w:tc>
              <w:tc>
                <w:tcPr>
                  <w:tcW w:w="1379" w:type="dxa"/>
                  <w:noWrap w:val="0"/>
                  <w:vAlign w:val="center"/>
                </w:tcPr>
                <w:p w14:paraId="5AD9E38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pH</w:t>
                  </w:r>
                </w:p>
              </w:tc>
              <w:tc>
                <w:tcPr>
                  <w:tcW w:w="840" w:type="dxa"/>
                  <w:noWrap w:val="0"/>
                  <w:vAlign w:val="center"/>
                </w:tcPr>
                <w:p w14:paraId="3142902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7.73</w:t>
                  </w:r>
                </w:p>
              </w:tc>
              <w:tc>
                <w:tcPr>
                  <w:tcW w:w="705" w:type="dxa"/>
                  <w:noWrap w:val="0"/>
                  <w:vAlign w:val="center"/>
                </w:tcPr>
                <w:p w14:paraId="443B2D2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7.69</w:t>
                  </w:r>
                </w:p>
              </w:tc>
              <w:tc>
                <w:tcPr>
                  <w:tcW w:w="735" w:type="dxa"/>
                  <w:noWrap w:val="0"/>
                  <w:vAlign w:val="center"/>
                </w:tcPr>
                <w:p w14:paraId="2673A81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7.63</w:t>
                  </w:r>
                </w:p>
              </w:tc>
              <w:tc>
                <w:tcPr>
                  <w:tcW w:w="735" w:type="dxa"/>
                  <w:noWrap w:val="0"/>
                  <w:vAlign w:val="center"/>
                </w:tcPr>
                <w:p w14:paraId="23E46F9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7.65</w:t>
                  </w:r>
                </w:p>
              </w:tc>
              <w:tc>
                <w:tcPr>
                  <w:tcW w:w="1033" w:type="dxa"/>
                  <w:noWrap w:val="0"/>
                  <w:vAlign w:val="center"/>
                </w:tcPr>
                <w:p w14:paraId="625C4F4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7.63-7.73</w:t>
                  </w:r>
                </w:p>
              </w:tc>
              <w:tc>
                <w:tcPr>
                  <w:tcW w:w="867" w:type="dxa"/>
                  <w:noWrap w:val="0"/>
                  <w:vAlign w:val="center"/>
                </w:tcPr>
                <w:p w14:paraId="4DE0B0C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6~9</w:t>
                  </w:r>
                </w:p>
              </w:tc>
              <w:tc>
                <w:tcPr>
                  <w:tcW w:w="888" w:type="dxa"/>
                  <w:noWrap w:val="0"/>
                  <w:vAlign w:val="center"/>
                </w:tcPr>
                <w:p w14:paraId="436A553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57EF0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5" w:type="dxa"/>
                  <w:vMerge w:val="continue"/>
                  <w:noWrap w:val="0"/>
                  <w:vAlign w:val="center"/>
                </w:tcPr>
                <w:p w14:paraId="4E2E03F3">
                  <w:pPr>
                    <w:keepNext w:val="0"/>
                    <w:keepLines w:val="0"/>
                    <w:pageBreakBefore w:val="0"/>
                    <w:kinsoku/>
                    <w:wordWrap/>
                    <w:overflowPunct/>
                    <w:topLinePunct w:val="0"/>
                    <w:autoSpaceDE/>
                    <w:autoSpaceDN/>
                    <w:bidi w:val="0"/>
                    <w:adjustRightInd/>
                    <w:snapToGrid/>
                    <w:jc w:val="both"/>
                    <w:rPr>
                      <w:rFonts w:hint="default" w:ascii="Times New Roman" w:hAnsi="Times New Roman" w:cs="Times New Roman"/>
                      <w:color w:val="auto"/>
                      <w:szCs w:val="21"/>
                    </w:rPr>
                  </w:pPr>
                </w:p>
              </w:tc>
              <w:tc>
                <w:tcPr>
                  <w:tcW w:w="900" w:type="dxa"/>
                  <w:vMerge w:val="continue"/>
                  <w:noWrap w:val="0"/>
                  <w:vAlign w:val="center"/>
                </w:tcPr>
                <w:p w14:paraId="522905F0">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szCs w:val="21"/>
                    </w:rPr>
                  </w:pPr>
                </w:p>
              </w:tc>
              <w:tc>
                <w:tcPr>
                  <w:tcW w:w="1379" w:type="dxa"/>
                  <w:noWrap w:val="0"/>
                  <w:vAlign w:val="center"/>
                </w:tcPr>
                <w:p w14:paraId="07A3235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840" w:type="dxa"/>
                  <w:noWrap w:val="0"/>
                  <w:vAlign w:val="center"/>
                </w:tcPr>
                <w:p w14:paraId="5188E38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66</w:t>
                  </w:r>
                </w:p>
              </w:tc>
              <w:tc>
                <w:tcPr>
                  <w:tcW w:w="705" w:type="dxa"/>
                  <w:noWrap w:val="0"/>
                  <w:vAlign w:val="center"/>
                </w:tcPr>
                <w:p w14:paraId="54BB7BF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78</w:t>
                  </w:r>
                </w:p>
              </w:tc>
              <w:tc>
                <w:tcPr>
                  <w:tcW w:w="735" w:type="dxa"/>
                  <w:noWrap w:val="0"/>
                  <w:vAlign w:val="center"/>
                </w:tcPr>
                <w:p w14:paraId="661F059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73</w:t>
                  </w:r>
                </w:p>
              </w:tc>
              <w:tc>
                <w:tcPr>
                  <w:tcW w:w="735" w:type="dxa"/>
                  <w:noWrap w:val="0"/>
                  <w:vAlign w:val="center"/>
                </w:tcPr>
                <w:p w14:paraId="679FFBE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76</w:t>
                  </w:r>
                </w:p>
              </w:tc>
              <w:tc>
                <w:tcPr>
                  <w:tcW w:w="1033" w:type="dxa"/>
                  <w:noWrap w:val="0"/>
                  <w:vAlign w:val="center"/>
                </w:tcPr>
                <w:p w14:paraId="4DC4930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73</w:t>
                  </w:r>
                </w:p>
              </w:tc>
              <w:tc>
                <w:tcPr>
                  <w:tcW w:w="867" w:type="dxa"/>
                  <w:noWrap w:val="0"/>
                  <w:vAlign w:val="center"/>
                </w:tcPr>
                <w:p w14:paraId="226D679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500</w:t>
                  </w:r>
                </w:p>
              </w:tc>
              <w:tc>
                <w:tcPr>
                  <w:tcW w:w="888" w:type="dxa"/>
                  <w:noWrap w:val="0"/>
                  <w:vAlign w:val="center"/>
                </w:tcPr>
                <w:p w14:paraId="758ABB4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65FFF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5" w:type="dxa"/>
                  <w:vMerge w:val="continue"/>
                  <w:noWrap w:val="0"/>
                  <w:vAlign w:val="center"/>
                </w:tcPr>
                <w:p w14:paraId="5E76DF5C">
                  <w:pPr>
                    <w:keepNext w:val="0"/>
                    <w:keepLines w:val="0"/>
                    <w:pageBreakBefore w:val="0"/>
                    <w:kinsoku/>
                    <w:wordWrap/>
                    <w:overflowPunct/>
                    <w:topLinePunct w:val="0"/>
                    <w:autoSpaceDE/>
                    <w:autoSpaceDN/>
                    <w:bidi w:val="0"/>
                    <w:adjustRightInd/>
                    <w:snapToGrid/>
                    <w:jc w:val="both"/>
                    <w:rPr>
                      <w:rFonts w:hint="default" w:ascii="Times New Roman" w:hAnsi="Times New Roman" w:cs="Times New Roman"/>
                      <w:color w:val="auto"/>
                      <w:szCs w:val="21"/>
                    </w:rPr>
                  </w:pPr>
                </w:p>
              </w:tc>
              <w:tc>
                <w:tcPr>
                  <w:tcW w:w="900" w:type="dxa"/>
                  <w:vMerge w:val="continue"/>
                  <w:noWrap w:val="0"/>
                  <w:vAlign w:val="center"/>
                </w:tcPr>
                <w:p w14:paraId="1F83FAE7">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szCs w:val="21"/>
                    </w:rPr>
                  </w:pPr>
                </w:p>
              </w:tc>
              <w:tc>
                <w:tcPr>
                  <w:tcW w:w="1379" w:type="dxa"/>
                  <w:noWrap w:val="0"/>
                  <w:vAlign w:val="center"/>
                </w:tcPr>
                <w:p w14:paraId="133EDE6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840" w:type="dxa"/>
                  <w:noWrap w:val="0"/>
                  <w:vAlign w:val="center"/>
                </w:tcPr>
                <w:p w14:paraId="17CF40C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23.0 </w:t>
                  </w:r>
                </w:p>
              </w:tc>
              <w:tc>
                <w:tcPr>
                  <w:tcW w:w="705" w:type="dxa"/>
                  <w:noWrap w:val="0"/>
                  <w:vAlign w:val="center"/>
                </w:tcPr>
                <w:p w14:paraId="7A35814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27.3</w:t>
                  </w:r>
                </w:p>
              </w:tc>
              <w:tc>
                <w:tcPr>
                  <w:tcW w:w="735" w:type="dxa"/>
                  <w:noWrap w:val="0"/>
                  <w:vAlign w:val="center"/>
                </w:tcPr>
                <w:p w14:paraId="4D881FF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27.0 </w:t>
                  </w:r>
                </w:p>
              </w:tc>
              <w:tc>
                <w:tcPr>
                  <w:tcW w:w="735" w:type="dxa"/>
                  <w:noWrap w:val="0"/>
                  <w:vAlign w:val="center"/>
                </w:tcPr>
                <w:p w14:paraId="5A0F72D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27.0 </w:t>
                  </w:r>
                </w:p>
              </w:tc>
              <w:tc>
                <w:tcPr>
                  <w:tcW w:w="1033" w:type="dxa"/>
                  <w:noWrap w:val="0"/>
                  <w:vAlign w:val="center"/>
                </w:tcPr>
                <w:p w14:paraId="087FA5C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26.1</w:t>
                  </w:r>
                </w:p>
              </w:tc>
              <w:tc>
                <w:tcPr>
                  <w:tcW w:w="867" w:type="dxa"/>
                  <w:noWrap w:val="0"/>
                  <w:vAlign w:val="center"/>
                </w:tcPr>
                <w:p w14:paraId="74B159A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888" w:type="dxa"/>
                  <w:noWrap w:val="0"/>
                  <w:vAlign w:val="center"/>
                </w:tcPr>
                <w:p w14:paraId="5467543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7C8B5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5" w:type="dxa"/>
                  <w:vMerge w:val="continue"/>
                  <w:noWrap w:val="0"/>
                  <w:vAlign w:val="center"/>
                </w:tcPr>
                <w:p w14:paraId="1422E1D4">
                  <w:pPr>
                    <w:keepNext w:val="0"/>
                    <w:keepLines w:val="0"/>
                    <w:pageBreakBefore w:val="0"/>
                    <w:kinsoku/>
                    <w:wordWrap/>
                    <w:overflowPunct/>
                    <w:topLinePunct w:val="0"/>
                    <w:autoSpaceDE/>
                    <w:autoSpaceDN/>
                    <w:bidi w:val="0"/>
                    <w:adjustRightInd/>
                    <w:snapToGrid/>
                    <w:jc w:val="both"/>
                    <w:rPr>
                      <w:rFonts w:hint="default" w:ascii="Times New Roman" w:hAnsi="Times New Roman" w:cs="Times New Roman"/>
                      <w:color w:val="auto"/>
                      <w:szCs w:val="21"/>
                    </w:rPr>
                  </w:pPr>
                </w:p>
              </w:tc>
              <w:tc>
                <w:tcPr>
                  <w:tcW w:w="900" w:type="dxa"/>
                  <w:vMerge w:val="continue"/>
                  <w:noWrap w:val="0"/>
                  <w:vAlign w:val="center"/>
                </w:tcPr>
                <w:p w14:paraId="01441FD7">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szCs w:val="21"/>
                    </w:rPr>
                  </w:pPr>
                </w:p>
              </w:tc>
              <w:tc>
                <w:tcPr>
                  <w:tcW w:w="1379" w:type="dxa"/>
                  <w:noWrap w:val="0"/>
                  <w:vAlign w:val="center"/>
                </w:tcPr>
                <w:p w14:paraId="537EB27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SS</w:t>
                  </w:r>
                </w:p>
              </w:tc>
              <w:tc>
                <w:tcPr>
                  <w:tcW w:w="840" w:type="dxa"/>
                  <w:noWrap w:val="0"/>
                  <w:vAlign w:val="center"/>
                </w:tcPr>
                <w:p w14:paraId="657C98B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379</w:t>
                  </w:r>
                </w:p>
              </w:tc>
              <w:tc>
                <w:tcPr>
                  <w:tcW w:w="705" w:type="dxa"/>
                  <w:noWrap w:val="0"/>
                  <w:vAlign w:val="center"/>
                </w:tcPr>
                <w:p w14:paraId="3ADE72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385</w:t>
                  </w:r>
                </w:p>
              </w:tc>
              <w:tc>
                <w:tcPr>
                  <w:tcW w:w="735" w:type="dxa"/>
                  <w:noWrap w:val="0"/>
                  <w:vAlign w:val="center"/>
                </w:tcPr>
                <w:p w14:paraId="420FCEB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385</w:t>
                  </w:r>
                </w:p>
              </w:tc>
              <w:tc>
                <w:tcPr>
                  <w:tcW w:w="735" w:type="dxa"/>
                  <w:noWrap w:val="0"/>
                  <w:vAlign w:val="center"/>
                </w:tcPr>
                <w:p w14:paraId="6A3CE36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381</w:t>
                  </w:r>
                </w:p>
              </w:tc>
              <w:tc>
                <w:tcPr>
                  <w:tcW w:w="1033" w:type="dxa"/>
                  <w:noWrap w:val="0"/>
                  <w:vAlign w:val="center"/>
                </w:tcPr>
                <w:p w14:paraId="3807173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382</w:t>
                  </w:r>
                </w:p>
              </w:tc>
              <w:tc>
                <w:tcPr>
                  <w:tcW w:w="867" w:type="dxa"/>
                  <w:noWrap w:val="0"/>
                  <w:vAlign w:val="center"/>
                </w:tcPr>
                <w:p w14:paraId="1DC1260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888" w:type="dxa"/>
                  <w:noWrap w:val="0"/>
                  <w:vAlign w:val="center"/>
                </w:tcPr>
                <w:p w14:paraId="5A617E4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25D2F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5" w:type="dxa"/>
                  <w:vMerge w:val="continue"/>
                  <w:noWrap w:val="0"/>
                  <w:vAlign w:val="center"/>
                </w:tcPr>
                <w:p w14:paraId="6849F01D">
                  <w:pPr>
                    <w:keepNext w:val="0"/>
                    <w:keepLines w:val="0"/>
                    <w:pageBreakBefore w:val="0"/>
                    <w:kinsoku/>
                    <w:wordWrap/>
                    <w:overflowPunct/>
                    <w:topLinePunct w:val="0"/>
                    <w:autoSpaceDE/>
                    <w:autoSpaceDN/>
                    <w:bidi w:val="0"/>
                    <w:adjustRightInd/>
                    <w:snapToGrid/>
                    <w:jc w:val="both"/>
                    <w:rPr>
                      <w:rFonts w:hint="default" w:ascii="Times New Roman" w:hAnsi="Times New Roman" w:cs="Times New Roman"/>
                      <w:color w:val="auto"/>
                      <w:szCs w:val="21"/>
                    </w:rPr>
                  </w:pPr>
                </w:p>
              </w:tc>
              <w:tc>
                <w:tcPr>
                  <w:tcW w:w="900" w:type="dxa"/>
                  <w:vMerge w:val="continue"/>
                  <w:noWrap w:val="0"/>
                  <w:vAlign w:val="center"/>
                </w:tcPr>
                <w:p w14:paraId="63D7D6E7">
                  <w:pPr>
                    <w:keepNext w:val="0"/>
                    <w:keepLines w:val="0"/>
                    <w:pageBreakBefore w:val="0"/>
                    <w:kinsoku/>
                    <w:wordWrap/>
                    <w:overflowPunct/>
                    <w:topLinePunct w:val="0"/>
                    <w:autoSpaceDE/>
                    <w:autoSpaceDN/>
                    <w:bidi w:val="0"/>
                    <w:adjustRightInd/>
                    <w:snapToGrid/>
                    <w:jc w:val="center"/>
                    <w:rPr>
                      <w:rFonts w:hint="default" w:ascii="Times New Roman" w:hAnsi="Times New Roman" w:cs="Times New Roman"/>
                      <w:color w:val="auto"/>
                      <w:szCs w:val="21"/>
                    </w:rPr>
                  </w:pPr>
                </w:p>
              </w:tc>
              <w:tc>
                <w:tcPr>
                  <w:tcW w:w="1379" w:type="dxa"/>
                  <w:noWrap w:val="0"/>
                  <w:vAlign w:val="center"/>
                </w:tcPr>
                <w:p w14:paraId="26384DF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动植物油</w:t>
                  </w:r>
                </w:p>
              </w:tc>
              <w:tc>
                <w:tcPr>
                  <w:tcW w:w="840" w:type="dxa"/>
                  <w:noWrap w:val="0"/>
                  <w:vAlign w:val="center"/>
                </w:tcPr>
                <w:p w14:paraId="34687E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93.7</w:t>
                  </w:r>
                </w:p>
              </w:tc>
              <w:tc>
                <w:tcPr>
                  <w:tcW w:w="705" w:type="dxa"/>
                  <w:noWrap w:val="0"/>
                  <w:vAlign w:val="center"/>
                </w:tcPr>
                <w:p w14:paraId="7EE56D8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93.0 </w:t>
                  </w:r>
                </w:p>
              </w:tc>
              <w:tc>
                <w:tcPr>
                  <w:tcW w:w="735" w:type="dxa"/>
                  <w:noWrap w:val="0"/>
                  <w:vAlign w:val="center"/>
                </w:tcPr>
                <w:p w14:paraId="603D7F6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90.7</w:t>
                  </w:r>
                </w:p>
              </w:tc>
              <w:tc>
                <w:tcPr>
                  <w:tcW w:w="735" w:type="dxa"/>
                  <w:noWrap w:val="0"/>
                  <w:vAlign w:val="center"/>
                </w:tcPr>
                <w:p w14:paraId="04C2C42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93.4</w:t>
                  </w:r>
                </w:p>
              </w:tc>
              <w:tc>
                <w:tcPr>
                  <w:tcW w:w="1033" w:type="dxa"/>
                  <w:noWrap w:val="0"/>
                  <w:vAlign w:val="center"/>
                </w:tcPr>
                <w:p w14:paraId="42D3AC8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92.7</w:t>
                  </w:r>
                </w:p>
              </w:tc>
              <w:tc>
                <w:tcPr>
                  <w:tcW w:w="867" w:type="dxa"/>
                  <w:noWrap w:val="0"/>
                  <w:vAlign w:val="center"/>
                </w:tcPr>
                <w:p w14:paraId="2C2E596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888" w:type="dxa"/>
                  <w:noWrap w:val="0"/>
                  <w:vAlign w:val="center"/>
                </w:tcPr>
                <w:p w14:paraId="0FF7165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达标</w:t>
                  </w:r>
                </w:p>
              </w:tc>
            </w:tr>
          </w:tbl>
          <w:p w14:paraId="7F7583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根据企业</w:t>
            </w:r>
            <w:r>
              <w:rPr>
                <w:rFonts w:hint="eastAsia" w:cs="Times New Roman"/>
                <w:color w:val="auto"/>
                <w:sz w:val="24"/>
                <w:lang w:val="en-US" w:eastAsia="zh-CN"/>
              </w:rPr>
              <w:t>2022年验收监测报告</w:t>
            </w:r>
            <w:r>
              <w:rPr>
                <w:rFonts w:hint="default" w:ascii="Times New Roman" w:hAnsi="Times New Roman" w:cs="Times New Roman"/>
                <w:color w:val="auto"/>
                <w:sz w:val="24"/>
              </w:rPr>
              <w:t>，现有</w:t>
            </w:r>
            <w:r>
              <w:rPr>
                <w:rFonts w:hint="eastAsia" w:cs="Times New Roman"/>
                <w:color w:val="auto"/>
                <w:sz w:val="24"/>
                <w:lang w:eastAsia="zh-CN"/>
              </w:rPr>
              <w:t>工程</w:t>
            </w:r>
            <w:r>
              <w:rPr>
                <w:rFonts w:hint="default" w:ascii="Times New Roman" w:hAnsi="Times New Roman" w:cs="Times New Roman"/>
                <w:color w:val="auto"/>
                <w:sz w:val="24"/>
              </w:rPr>
              <w:t>废水排口pH、COD、SS、</w:t>
            </w:r>
            <w:r>
              <w:rPr>
                <w:rFonts w:hint="default" w:ascii="Times New Roman" w:hAnsi="Times New Roman" w:cs="Times New Roman"/>
                <w:color w:val="auto"/>
                <w:sz w:val="24"/>
                <w:lang w:val="en-US" w:eastAsia="zh-CN"/>
              </w:rPr>
              <w:t>动植物油</w:t>
            </w:r>
            <w:r>
              <w:rPr>
                <w:rFonts w:hint="default" w:ascii="Times New Roman" w:hAnsi="Times New Roman" w:cs="Times New Roman"/>
                <w:color w:val="auto"/>
                <w:sz w:val="24"/>
              </w:rPr>
              <w:t>、BOD</w:t>
            </w:r>
            <w:r>
              <w:rPr>
                <w:rFonts w:hint="default" w:ascii="Times New Roman" w:hAnsi="Times New Roman" w:cs="Times New Roman"/>
                <w:color w:val="auto"/>
                <w:sz w:val="24"/>
                <w:vertAlign w:val="subscript"/>
              </w:rPr>
              <w:t>5</w:t>
            </w:r>
            <w:r>
              <w:rPr>
                <w:rFonts w:hint="default" w:ascii="Times New Roman" w:hAnsi="Times New Roman" w:cs="Times New Roman"/>
                <w:color w:val="auto"/>
                <w:sz w:val="24"/>
              </w:rPr>
              <w:t>排放浓度均满足《污水综合排放标准》（GB 8978-1996）标准限值，氨氮满足《污水排入城镇下水道水质标准》（GB/T31962-2015）表1中B级标准限值。</w:t>
            </w:r>
          </w:p>
          <w:p w14:paraId="4E5B094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综上，现有</w:t>
            </w:r>
            <w:r>
              <w:rPr>
                <w:rFonts w:hint="eastAsia" w:cs="Times New Roman"/>
                <w:color w:val="auto"/>
                <w:sz w:val="24"/>
                <w:lang w:eastAsia="zh-CN"/>
              </w:rPr>
              <w:t>工程</w:t>
            </w:r>
            <w:r>
              <w:rPr>
                <w:rFonts w:hint="default" w:ascii="Times New Roman" w:hAnsi="Times New Roman" w:cs="Times New Roman"/>
                <w:color w:val="auto"/>
                <w:sz w:val="24"/>
              </w:rPr>
              <w:t>废水治理设施有效。</w:t>
            </w:r>
          </w:p>
          <w:p w14:paraId="6C18C98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3、废水排放量</w:t>
            </w:r>
          </w:p>
          <w:p w14:paraId="510A36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eastAsia" w:cs="Times New Roman"/>
                <w:color w:val="auto"/>
                <w:sz w:val="24"/>
                <w:lang w:val="en-US" w:eastAsia="zh-CN"/>
              </w:rPr>
              <w:t>根据企业现有</w:t>
            </w:r>
            <w:r>
              <w:rPr>
                <w:rFonts w:hint="default" w:ascii="Times New Roman" w:hAnsi="Times New Roman" w:cs="Times New Roman"/>
                <w:color w:val="auto"/>
                <w:sz w:val="24"/>
              </w:rPr>
              <w:t>现有</w:t>
            </w:r>
            <w:r>
              <w:rPr>
                <w:rFonts w:hint="eastAsia" w:cs="Times New Roman"/>
                <w:color w:val="auto"/>
                <w:sz w:val="24"/>
                <w:lang w:eastAsia="zh-CN"/>
              </w:rPr>
              <w:t>工程</w:t>
            </w:r>
            <w:r>
              <w:rPr>
                <w:rFonts w:hint="default" w:ascii="Times New Roman" w:hAnsi="Times New Roman" w:cs="Times New Roman"/>
                <w:color w:val="auto"/>
                <w:sz w:val="24"/>
              </w:rPr>
              <w:t>竣工验收检测报告</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结合实地调查，</w:t>
            </w:r>
            <w:r>
              <w:rPr>
                <w:rFonts w:hint="default" w:ascii="Times New Roman" w:hAnsi="Times New Roman" w:cs="Times New Roman"/>
                <w:color w:val="auto"/>
                <w:sz w:val="24"/>
              </w:rPr>
              <w:t>现有</w:t>
            </w:r>
            <w:r>
              <w:rPr>
                <w:rFonts w:hint="eastAsia" w:cs="Times New Roman"/>
                <w:color w:val="auto"/>
                <w:sz w:val="24"/>
                <w:lang w:eastAsia="zh-CN"/>
              </w:rPr>
              <w:t>工程</w:t>
            </w:r>
            <w:r>
              <w:rPr>
                <w:rFonts w:hint="default" w:ascii="Times New Roman" w:hAnsi="Times New Roman" w:cs="Times New Roman"/>
                <w:color w:val="auto"/>
                <w:sz w:val="24"/>
              </w:rPr>
              <w:t>废水污染物排放总量达标情况详见表2.7-</w:t>
            </w:r>
            <w:r>
              <w:rPr>
                <w:rFonts w:hint="default" w:ascii="Times New Roman" w:hAnsi="Times New Roman" w:cs="Times New Roman"/>
                <w:color w:val="auto"/>
                <w:sz w:val="24"/>
                <w:lang w:val="en-US" w:eastAsia="zh-CN"/>
              </w:rPr>
              <w:t>9</w:t>
            </w:r>
            <w:r>
              <w:rPr>
                <w:rFonts w:hint="default" w:ascii="Times New Roman" w:hAnsi="Times New Roman" w:cs="Times New Roman"/>
                <w:color w:val="auto"/>
                <w:sz w:val="24"/>
              </w:rPr>
              <w:t>。</w:t>
            </w:r>
          </w:p>
          <w:p w14:paraId="5FC2CA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表2.7-</w:t>
            </w:r>
            <w:r>
              <w:rPr>
                <w:rFonts w:hint="default" w:ascii="Times New Roman" w:hAnsi="Times New Roman" w:cs="Times New Roman"/>
                <w:b/>
                <w:bCs/>
                <w:color w:val="auto"/>
                <w:sz w:val="24"/>
                <w:lang w:val="en-US" w:eastAsia="zh-CN"/>
              </w:rPr>
              <w:t>9</w:t>
            </w:r>
            <w:r>
              <w:rPr>
                <w:rFonts w:hint="default" w:ascii="Times New Roman" w:hAnsi="Times New Roman" w:cs="Times New Roman"/>
                <w:b/>
                <w:bCs/>
                <w:color w:val="auto"/>
                <w:sz w:val="24"/>
              </w:rPr>
              <w:t xml:space="preserve">   现有</w:t>
            </w:r>
            <w:r>
              <w:rPr>
                <w:rFonts w:hint="eastAsia" w:cs="Times New Roman"/>
                <w:b/>
                <w:bCs/>
                <w:color w:val="auto"/>
                <w:sz w:val="24"/>
                <w:lang w:eastAsia="zh-CN"/>
              </w:rPr>
              <w:t>工程</w:t>
            </w:r>
            <w:r>
              <w:rPr>
                <w:rFonts w:hint="default" w:ascii="Times New Roman" w:hAnsi="Times New Roman" w:cs="Times New Roman"/>
                <w:b/>
                <w:bCs/>
                <w:color w:val="auto"/>
                <w:sz w:val="24"/>
              </w:rPr>
              <w:t>废水污染物排放总量达标情况一览表</w:t>
            </w:r>
          </w:p>
          <w:tbl>
            <w:tblPr>
              <w:tblStyle w:val="35"/>
              <w:tblW w:w="850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26"/>
              <w:gridCol w:w="1326"/>
              <w:gridCol w:w="1463"/>
              <w:gridCol w:w="1463"/>
              <w:gridCol w:w="1463"/>
              <w:gridCol w:w="1463"/>
            </w:tblGrid>
            <w:tr w14:paraId="741CF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102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892025C">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排放口</w:t>
                  </w:r>
                </w:p>
              </w:tc>
              <w:tc>
                <w:tcPr>
                  <w:tcW w:w="1020"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B72812C">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污染物</w:t>
                  </w:r>
                </w:p>
              </w:tc>
              <w:tc>
                <w:tcPr>
                  <w:tcW w:w="112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5C8BF3">
                  <w:pPr>
                    <w:keepNext w:val="0"/>
                    <w:keepLines w:val="0"/>
                    <w:widowControl/>
                    <w:suppressLineNumbers w:val="0"/>
                    <w:jc w:val="both"/>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实际排放量（</w:t>
                  </w:r>
                  <w:r>
                    <w:rPr>
                      <w:rFonts w:hint="default" w:ascii="Times New Roman" w:hAnsi="Times New Roman" w:eastAsia="宋体" w:cs="Times New Roman"/>
                      <w:i w:val="0"/>
                      <w:iCs w:val="0"/>
                      <w:color w:val="0000FF"/>
                      <w:kern w:val="0"/>
                      <w:sz w:val="21"/>
                      <w:szCs w:val="21"/>
                      <w:u w:val="none"/>
                      <w:lang w:val="en-US" w:eastAsia="zh-CN" w:bidi="ar"/>
                    </w:rPr>
                    <w:t>t/a</w:t>
                  </w:r>
                  <w:r>
                    <w:rPr>
                      <w:rFonts w:hint="eastAsia" w:ascii="宋体" w:hAnsi="宋体" w:eastAsia="宋体" w:cs="宋体"/>
                      <w:i w:val="0"/>
                      <w:iCs w:val="0"/>
                      <w:color w:val="0000FF"/>
                      <w:kern w:val="0"/>
                      <w:sz w:val="21"/>
                      <w:szCs w:val="21"/>
                      <w:u w:val="none"/>
                      <w:lang w:val="en-US" w:eastAsia="zh-CN" w:bidi="ar"/>
                    </w:rPr>
                    <w:t>）</w:t>
                  </w:r>
                </w:p>
              </w:tc>
              <w:tc>
                <w:tcPr>
                  <w:tcW w:w="112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4F11542">
                  <w:pPr>
                    <w:keepNext w:val="0"/>
                    <w:keepLines w:val="0"/>
                    <w:widowControl/>
                    <w:suppressLineNumbers w:val="0"/>
                    <w:jc w:val="both"/>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排污许可总量（</w:t>
                  </w:r>
                  <w:r>
                    <w:rPr>
                      <w:rFonts w:hint="default" w:ascii="Times New Roman" w:hAnsi="Times New Roman" w:eastAsia="宋体" w:cs="Times New Roman"/>
                      <w:i w:val="0"/>
                      <w:iCs w:val="0"/>
                      <w:color w:val="0000FF"/>
                      <w:kern w:val="0"/>
                      <w:sz w:val="21"/>
                      <w:szCs w:val="21"/>
                      <w:u w:val="none"/>
                      <w:lang w:val="en-US" w:eastAsia="zh-CN" w:bidi="ar"/>
                    </w:rPr>
                    <w:t>t/a</w:t>
                  </w:r>
                  <w:r>
                    <w:rPr>
                      <w:rFonts w:hint="eastAsia" w:ascii="宋体" w:hAnsi="宋体" w:eastAsia="宋体" w:cs="宋体"/>
                      <w:i w:val="0"/>
                      <w:iCs w:val="0"/>
                      <w:color w:val="0000FF"/>
                      <w:kern w:val="0"/>
                      <w:sz w:val="21"/>
                      <w:szCs w:val="21"/>
                      <w:u w:val="none"/>
                      <w:lang w:val="en-US" w:eastAsia="zh-CN" w:bidi="ar"/>
                    </w:rPr>
                    <w:t>）</w:t>
                  </w:r>
                </w:p>
              </w:tc>
              <w:tc>
                <w:tcPr>
                  <w:tcW w:w="112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6E7D8AD">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符合性</w:t>
                  </w:r>
                </w:p>
              </w:tc>
              <w:tc>
                <w:tcPr>
                  <w:tcW w:w="112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13D92F">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数据来源</w:t>
                  </w:r>
                </w:p>
              </w:tc>
            </w:tr>
            <w:tr w14:paraId="1A910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020" w:type="dxa"/>
                  <w:vMerge w:val="restart"/>
                  <w:tcBorders>
                    <w:top w:val="nil"/>
                    <w:left w:val="single" w:color="000000" w:sz="8" w:space="0"/>
                    <w:bottom w:val="single" w:color="000000" w:sz="8" w:space="0"/>
                    <w:right w:val="single" w:color="000000" w:sz="8" w:space="0"/>
                  </w:tcBorders>
                  <w:shd w:val="clear" w:color="auto" w:fill="auto"/>
                  <w:vAlign w:val="center"/>
                </w:tcPr>
                <w:p w14:paraId="22FF4FDE">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废水总排口</w:t>
                  </w:r>
                </w:p>
              </w:tc>
              <w:tc>
                <w:tcPr>
                  <w:tcW w:w="1020" w:type="dxa"/>
                  <w:tcBorders>
                    <w:top w:val="nil"/>
                    <w:left w:val="single" w:color="000000" w:sz="8" w:space="0"/>
                    <w:bottom w:val="single" w:color="000000" w:sz="8" w:space="0"/>
                    <w:right w:val="single" w:color="000000" w:sz="8" w:space="0"/>
                  </w:tcBorders>
                  <w:shd w:val="clear" w:color="auto" w:fill="auto"/>
                  <w:vAlign w:val="center"/>
                </w:tcPr>
                <w:p w14:paraId="09497EA1">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SS</w:t>
                  </w:r>
                </w:p>
              </w:tc>
              <w:tc>
                <w:tcPr>
                  <w:tcW w:w="1126" w:type="dxa"/>
                  <w:tcBorders>
                    <w:top w:val="nil"/>
                    <w:left w:val="single" w:color="000000" w:sz="8" w:space="0"/>
                    <w:bottom w:val="single" w:color="000000" w:sz="8" w:space="0"/>
                    <w:right w:val="single" w:color="000000" w:sz="8" w:space="0"/>
                  </w:tcBorders>
                  <w:shd w:val="clear" w:color="auto" w:fill="auto"/>
                  <w:vAlign w:val="center"/>
                </w:tcPr>
                <w:p w14:paraId="1ADE7CC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2"/>
                      <w:szCs w:val="22"/>
                      <w:u w:val="none"/>
                      <w:lang w:val="en-US" w:eastAsia="zh-CN" w:bidi="ar"/>
                    </w:rPr>
                    <w:t>0.7014</w:t>
                  </w:r>
                </w:p>
              </w:tc>
              <w:tc>
                <w:tcPr>
                  <w:tcW w:w="1126" w:type="dxa"/>
                  <w:tcBorders>
                    <w:top w:val="nil"/>
                    <w:left w:val="single" w:color="000000" w:sz="8" w:space="0"/>
                    <w:bottom w:val="single" w:color="000000" w:sz="8" w:space="0"/>
                    <w:right w:val="single" w:color="000000" w:sz="8" w:space="0"/>
                  </w:tcBorders>
                  <w:shd w:val="clear" w:color="auto" w:fill="auto"/>
                  <w:vAlign w:val="center"/>
                </w:tcPr>
                <w:p w14:paraId="54D72E4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126" w:type="dxa"/>
                  <w:tcBorders>
                    <w:top w:val="nil"/>
                    <w:left w:val="single" w:color="000000" w:sz="8" w:space="0"/>
                    <w:bottom w:val="single" w:color="000000" w:sz="8" w:space="0"/>
                    <w:right w:val="single" w:color="000000" w:sz="8" w:space="0"/>
                  </w:tcBorders>
                  <w:shd w:val="clear" w:color="auto" w:fill="auto"/>
                  <w:vAlign w:val="center"/>
                </w:tcPr>
                <w:p w14:paraId="535FF5C4">
                  <w:pPr>
                    <w:keepNext w:val="0"/>
                    <w:keepLines w:val="0"/>
                    <w:widowControl/>
                    <w:suppressLineNumbers w:val="0"/>
                    <w:jc w:val="center"/>
                    <w:textAlignment w:val="center"/>
                    <w:rPr>
                      <w:rFonts w:hint="default" w:ascii="Times New Roman" w:hAnsi="Times New Roman" w:eastAsia="宋体" w:cs="Times New Roman"/>
                      <w:i w:val="0"/>
                      <w:iCs w:val="0"/>
                      <w:color w:val="0000FF"/>
                      <w:sz w:val="22"/>
                      <w:szCs w:val="22"/>
                      <w:u w:val="none"/>
                    </w:rPr>
                  </w:pPr>
                  <w:r>
                    <w:rPr>
                      <w:rFonts w:hint="eastAsia" w:ascii="宋体" w:hAnsi="宋体" w:eastAsia="宋体" w:cs="宋体"/>
                      <w:i w:val="0"/>
                      <w:iCs w:val="0"/>
                      <w:color w:val="0000FF"/>
                      <w:kern w:val="0"/>
                      <w:sz w:val="21"/>
                      <w:szCs w:val="21"/>
                      <w:u w:val="none"/>
                      <w:lang w:val="en-US" w:eastAsia="zh-CN" w:bidi="ar"/>
                    </w:rPr>
                    <w:t>符合</w:t>
                  </w:r>
                </w:p>
              </w:tc>
              <w:tc>
                <w:tcPr>
                  <w:tcW w:w="1126" w:type="dxa"/>
                  <w:vMerge w:val="restart"/>
                  <w:tcBorders>
                    <w:top w:val="nil"/>
                    <w:left w:val="single" w:color="000000" w:sz="8" w:space="0"/>
                    <w:bottom w:val="single" w:color="000000" w:sz="8" w:space="0"/>
                    <w:right w:val="single" w:color="000000" w:sz="8" w:space="0"/>
                  </w:tcBorders>
                  <w:shd w:val="clear" w:color="auto" w:fill="auto"/>
                  <w:vAlign w:val="center"/>
                </w:tcPr>
                <w:p w14:paraId="4B70385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现有项目验收报告</w:t>
                  </w:r>
                </w:p>
              </w:tc>
            </w:tr>
            <w:tr w14:paraId="2DD282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020" w:type="dxa"/>
                  <w:vMerge w:val="continue"/>
                  <w:tcBorders>
                    <w:top w:val="nil"/>
                    <w:left w:val="single" w:color="000000" w:sz="8" w:space="0"/>
                    <w:bottom w:val="single" w:color="000000" w:sz="8" w:space="0"/>
                    <w:right w:val="single" w:color="000000" w:sz="8" w:space="0"/>
                  </w:tcBorders>
                  <w:shd w:val="clear" w:color="auto" w:fill="auto"/>
                  <w:vAlign w:val="center"/>
                </w:tcPr>
                <w:p w14:paraId="5761E60C">
                  <w:pPr>
                    <w:jc w:val="center"/>
                    <w:rPr>
                      <w:rFonts w:hint="eastAsia" w:ascii="宋体" w:hAnsi="宋体" w:eastAsia="宋体" w:cs="宋体"/>
                      <w:i w:val="0"/>
                      <w:iCs w:val="0"/>
                      <w:color w:val="0000FF"/>
                      <w:sz w:val="21"/>
                      <w:szCs w:val="21"/>
                      <w:u w:val="none"/>
                    </w:rPr>
                  </w:pPr>
                </w:p>
              </w:tc>
              <w:tc>
                <w:tcPr>
                  <w:tcW w:w="1020" w:type="dxa"/>
                  <w:tcBorders>
                    <w:top w:val="nil"/>
                    <w:left w:val="single" w:color="000000" w:sz="8" w:space="0"/>
                    <w:bottom w:val="single" w:color="000000" w:sz="8" w:space="0"/>
                    <w:right w:val="single" w:color="000000" w:sz="8" w:space="0"/>
                  </w:tcBorders>
                  <w:shd w:val="clear" w:color="auto" w:fill="auto"/>
                  <w:vAlign w:val="center"/>
                </w:tcPr>
                <w:p w14:paraId="017D4E09">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COD</w:t>
                  </w:r>
                </w:p>
              </w:tc>
              <w:tc>
                <w:tcPr>
                  <w:tcW w:w="1126" w:type="dxa"/>
                  <w:tcBorders>
                    <w:top w:val="nil"/>
                    <w:left w:val="single" w:color="000000" w:sz="8" w:space="0"/>
                    <w:bottom w:val="single" w:color="000000" w:sz="8" w:space="0"/>
                    <w:right w:val="single" w:color="000000" w:sz="8" w:space="0"/>
                  </w:tcBorders>
                  <w:shd w:val="clear" w:color="auto" w:fill="auto"/>
                  <w:vAlign w:val="center"/>
                </w:tcPr>
                <w:p w14:paraId="685CB9E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2"/>
                      <w:szCs w:val="22"/>
                      <w:u w:val="none"/>
                      <w:lang w:val="en-US" w:eastAsia="zh-CN" w:bidi="ar"/>
                    </w:rPr>
                    <w:t>0.134</w:t>
                  </w:r>
                </w:p>
              </w:tc>
              <w:tc>
                <w:tcPr>
                  <w:tcW w:w="1126" w:type="dxa"/>
                  <w:tcBorders>
                    <w:top w:val="nil"/>
                    <w:left w:val="single" w:color="000000" w:sz="8" w:space="0"/>
                    <w:bottom w:val="single" w:color="000000" w:sz="8" w:space="0"/>
                    <w:right w:val="single" w:color="000000" w:sz="8" w:space="0"/>
                  </w:tcBorders>
                  <w:shd w:val="clear" w:color="auto" w:fill="auto"/>
                  <w:vAlign w:val="center"/>
                </w:tcPr>
                <w:p w14:paraId="28BDC89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126" w:type="dxa"/>
                  <w:tcBorders>
                    <w:top w:val="nil"/>
                    <w:left w:val="single" w:color="000000" w:sz="8" w:space="0"/>
                    <w:bottom w:val="single" w:color="000000" w:sz="8" w:space="0"/>
                    <w:right w:val="single" w:color="000000" w:sz="8" w:space="0"/>
                  </w:tcBorders>
                  <w:shd w:val="clear" w:color="auto" w:fill="auto"/>
                  <w:vAlign w:val="center"/>
                </w:tcPr>
                <w:p w14:paraId="36C95456">
                  <w:pPr>
                    <w:keepNext w:val="0"/>
                    <w:keepLines w:val="0"/>
                    <w:widowControl/>
                    <w:suppressLineNumbers w:val="0"/>
                    <w:jc w:val="center"/>
                    <w:textAlignment w:val="center"/>
                    <w:rPr>
                      <w:rFonts w:hint="default" w:ascii="Times New Roman" w:hAnsi="Times New Roman" w:eastAsia="宋体" w:cs="Times New Roman"/>
                      <w:i w:val="0"/>
                      <w:iCs w:val="0"/>
                      <w:color w:val="0000FF"/>
                      <w:sz w:val="22"/>
                      <w:szCs w:val="22"/>
                      <w:u w:val="none"/>
                    </w:rPr>
                  </w:pPr>
                  <w:r>
                    <w:rPr>
                      <w:rFonts w:hint="eastAsia" w:ascii="宋体" w:hAnsi="宋体" w:eastAsia="宋体" w:cs="宋体"/>
                      <w:i w:val="0"/>
                      <w:iCs w:val="0"/>
                      <w:color w:val="0000FF"/>
                      <w:kern w:val="0"/>
                      <w:sz w:val="21"/>
                      <w:szCs w:val="21"/>
                      <w:u w:val="none"/>
                      <w:lang w:val="en-US" w:eastAsia="zh-CN" w:bidi="ar"/>
                    </w:rPr>
                    <w:t>符合</w:t>
                  </w:r>
                </w:p>
              </w:tc>
              <w:tc>
                <w:tcPr>
                  <w:tcW w:w="1126" w:type="dxa"/>
                  <w:vMerge w:val="continue"/>
                  <w:tcBorders>
                    <w:top w:val="nil"/>
                    <w:left w:val="single" w:color="000000" w:sz="8" w:space="0"/>
                    <w:bottom w:val="single" w:color="000000" w:sz="8" w:space="0"/>
                    <w:right w:val="single" w:color="000000" w:sz="8" w:space="0"/>
                  </w:tcBorders>
                  <w:shd w:val="clear" w:color="auto" w:fill="auto"/>
                  <w:vAlign w:val="center"/>
                </w:tcPr>
                <w:p w14:paraId="3FE2855A">
                  <w:pPr>
                    <w:jc w:val="center"/>
                    <w:rPr>
                      <w:rFonts w:hint="default" w:ascii="Times New Roman" w:hAnsi="Times New Roman" w:eastAsia="宋体" w:cs="Times New Roman"/>
                      <w:i w:val="0"/>
                      <w:iCs w:val="0"/>
                      <w:color w:val="0000FF"/>
                      <w:sz w:val="21"/>
                      <w:szCs w:val="21"/>
                      <w:u w:val="none"/>
                    </w:rPr>
                  </w:pPr>
                </w:p>
              </w:tc>
            </w:tr>
            <w:tr w14:paraId="5E130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020" w:type="dxa"/>
                  <w:vMerge w:val="continue"/>
                  <w:tcBorders>
                    <w:top w:val="nil"/>
                    <w:left w:val="single" w:color="000000" w:sz="8" w:space="0"/>
                    <w:bottom w:val="single" w:color="000000" w:sz="8" w:space="0"/>
                    <w:right w:val="single" w:color="000000" w:sz="8" w:space="0"/>
                  </w:tcBorders>
                  <w:shd w:val="clear" w:color="auto" w:fill="auto"/>
                  <w:vAlign w:val="center"/>
                </w:tcPr>
                <w:p w14:paraId="1AC3A8E6">
                  <w:pPr>
                    <w:jc w:val="center"/>
                    <w:rPr>
                      <w:rFonts w:hint="eastAsia" w:ascii="宋体" w:hAnsi="宋体" w:eastAsia="宋体" w:cs="宋体"/>
                      <w:i w:val="0"/>
                      <w:iCs w:val="0"/>
                      <w:color w:val="0000FF"/>
                      <w:sz w:val="21"/>
                      <w:szCs w:val="21"/>
                      <w:u w:val="none"/>
                    </w:rPr>
                  </w:pPr>
                </w:p>
              </w:tc>
              <w:tc>
                <w:tcPr>
                  <w:tcW w:w="1020" w:type="dxa"/>
                  <w:tcBorders>
                    <w:top w:val="nil"/>
                    <w:left w:val="single" w:color="000000" w:sz="8" w:space="0"/>
                    <w:bottom w:val="single" w:color="000000" w:sz="8" w:space="0"/>
                    <w:right w:val="single" w:color="000000" w:sz="8" w:space="0"/>
                  </w:tcBorders>
                  <w:shd w:val="clear" w:color="auto" w:fill="auto"/>
                  <w:vAlign w:val="center"/>
                </w:tcPr>
                <w:p w14:paraId="3873E215">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BOD</w:t>
                  </w:r>
                  <w:r>
                    <w:rPr>
                      <w:rFonts w:hint="default" w:ascii="Times New Roman" w:hAnsi="Times New Roman" w:eastAsia="宋体" w:cs="Times New Roman"/>
                      <w:i w:val="0"/>
                      <w:iCs w:val="0"/>
                      <w:color w:val="0000FF"/>
                      <w:kern w:val="0"/>
                      <w:sz w:val="21"/>
                      <w:szCs w:val="21"/>
                      <w:u w:val="none"/>
                      <w:vertAlign w:val="subscript"/>
                      <w:lang w:val="en-US" w:eastAsia="zh-CN" w:bidi="ar"/>
                    </w:rPr>
                    <w:t>5</w:t>
                  </w:r>
                </w:p>
              </w:tc>
              <w:tc>
                <w:tcPr>
                  <w:tcW w:w="1126" w:type="dxa"/>
                  <w:tcBorders>
                    <w:top w:val="nil"/>
                    <w:left w:val="single" w:color="000000" w:sz="8" w:space="0"/>
                    <w:bottom w:val="single" w:color="000000" w:sz="8" w:space="0"/>
                    <w:right w:val="single" w:color="000000" w:sz="8" w:space="0"/>
                  </w:tcBorders>
                  <w:shd w:val="clear" w:color="auto" w:fill="auto"/>
                  <w:vAlign w:val="center"/>
                </w:tcPr>
                <w:p w14:paraId="1A9742A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2"/>
                      <w:szCs w:val="22"/>
                      <w:u w:val="none"/>
                      <w:lang w:val="en-US" w:eastAsia="zh-CN" w:bidi="ar"/>
                    </w:rPr>
                    <w:t>0.0479</w:t>
                  </w:r>
                </w:p>
              </w:tc>
              <w:tc>
                <w:tcPr>
                  <w:tcW w:w="1126" w:type="dxa"/>
                  <w:tcBorders>
                    <w:top w:val="nil"/>
                    <w:left w:val="single" w:color="000000" w:sz="8" w:space="0"/>
                    <w:bottom w:val="single" w:color="000000" w:sz="8" w:space="0"/>
                    <w:right w:val="single" w:color="000000" w:sz="8" w:space="0"/>
                  </w:tcBorders>
                  <w:shd w:val="clear" w:color="auto" w:fill="auto"/>
                  <w:vAlign w:val="center"/>
                </w:tcPr>
                <w:p w14:paraId="338A5C9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126" w:type="dxa"/>
                  <w:tcBorders>
                    <w:top w:val="nil"/>
                    <w:left w:val="single" w:color="000000" w:sz="8" w:space="0"/>
                    <w:bottom w:val="single" w:color="000000" w:sz="8" w:space="0"/>
                    <w:right w:val="single" w:color="000000" w:sz="8" w:space="0"/>
                  </w:tcBorders>
                  <w:shd w:val="clear" w:color="auto" w:fill="auto"/>
                  <w:vAlign w:val="center"/>
                </w:tcPr>
                <w:p w14:paraId="4C6E979E">
                  <w:pPr>
                    <w:keepNext w:val="0"/>
                    <w:keepLines w:val="0"/>
                    <w:widowControl/>
                    <w:suppressLineNumbers w:val="0"/>
                    <w:jc w:val="center"/>
                    <w:textAlignment w:val="center"/>
                    <w:rPr>
                      <w:rFonts w:hint="default" w:ascii="Times New Roman" w:hAnsi="Times New Roman" w:eastAsia="宋体" w:cs="Times New Roman"/>
                      <w:i w:val="0"/>
                      <w:iCs w:val="0"/>
                      <w:color w:val="0000FF"/>
                      <w:sz w:val="22"/>
                      <w:szCs w:val="22"/>
                      <w:u w:val="none"/>
                    </w:rPr>
                  </w:pPr>
                  <w:r>
                    <w:rPr>
                      <w:rFonts w:hint="eastAsia" w:ascii="宋体" w:hAnsi="宋体" w:eastAsia="宋体" w:cs="宋体"/>
                      <w:i w:val="0"/>
                      <w:iCs w:val="0"/>
                      <w:color w:val="0000FF"/>
                      <w:kern w:val="0"/>
                      <w:sz w:val="21"/>
                      <w:szCs w:val="21"/>
                      <w:u w:val="none"/>
                      <w:lang w:val="en-US" w:eastAsia="zh-CN" w:bidi="ar"/>
                    </w:rPr>
                    <w:t>符合</w:t>
                  </w:r>
                </w:p>
              </w:tc>
              <w:tc>
                <w:tcPr>
                  <w:tcW w:w="1126" w:type="dxa"/>
                  <w:vMerge w:val="continue"/>
                  <w:tcBorders>
                    <w:top w:val="nil"/>
                    <w:left w:val="single" w:color="000000" w:sz="8" w:space="0"/>
                    <w:bottom w:val="single" w:color="000000" w:sz="8" w:space="0"/>
                    <w:right w:val="single" w:color="000000" w:sz="8" w:space="0"/>
                  </w:tcBorders>
                  <w:shd w:val="clear" w:color="auto" w:fill="auto"/>
                  <w:vAlign w:val="center"/>
                </w:tcPr>
                <w:p w14:paraId="0AD0D340">
                  <w:pPr>
                    <w:jc w:val="center"/>
                    <w:rPr>
                      <w:rFonts w:hint="default" w:ascii="Times New Roman" w:hAnsi="Times New Roman" w:eastAsia="宋体" w:cs="Times New Roman"/>
                      <w:i w:val="0"/>
                      <w:iCs w:val="0"/>
                      <w:color w:val="0000FF"/>
                      <w:sz w:val="21"/>
                      <w:szCs w:val="21"/>
                      <w:u w:val="none"/>
                    </w:rPr>
                  </w:pPr>
                </w:p>
              </w:tc>
            </w:tr>
            <w:tr w14:paraId="0C3FD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020" w:type="dxa"/>
                  <w:vMerge w:val="continue"/>
                  <w:tcBorders>
                    <w:top w:val="nil"/>
                    <w:left w:val="single" w:color="000000" w:sz="8" w:space="0"/>
                    <w:bottom w:val="single" w:color="000000" w:sz="8" w:space="0"/>
                    <w:right w:val="single" w:color="000000" w:sz="8" w:space="0"/>
                  </w:tcBorders>
                  <w:shd w:val="clear" w:color="auto" w:fill="auto"/>
                  <w:vAlign w:val="center"/>
                </w:tcPr>
                <w:p w14:paraId="735CA061">
                  <w:pPr>
                    <w:jc w:val="center"/>
                    <w:rPr>
                      <w:rFonts w:hint="eastAsia" w:ascii="宋体" w:hAnsi="宋体" w:eastAsia="宋体" w:cs="宋体"/>
                      <w:i w:val="0"/>
                      <w:iCs w:val="0"/>
                      <w:color w:val="0000FF"/>
                      <w:sz w:val="21"/>
                      <w:szCs w:val="21"/>
                      <w:u w:val="none"/>
                    </w:rPr>
                  </w:pPr>
                </w:p>
              </w:tc>
              <w:tc>
                <w:tcPr>
                  <w:tcW w:w="1020" w:type="dxa"/>
                  <w:tcBorders>
                    <w:top w:val="nil"/>
                    <w:left w:val="single" w:color="000000" w:sz="8" w:space="0"/>
                    <w:bottom w:val="single" w:color="000000" w:sz="8" w:space="0"/>
                    <w:right w:val="single" w:color="000000" w:sz="8" w:space="0"/>
                  </w:tcBorders>
                  <w:shd w:val="clear" w:color="auto" w:fill="auto"/>
                  <w:vAlign w:val="center"/>
                </w:tcPr>
                <w:p w14:paraId="76469BF9">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NH</w:t>
                  </w:r>
                  <w:r>
                    <w:rPr>
                      <w:rFonts w:hint="default" w:ascii="Times New Roman" w:hAnsi="Times New Roman" w:eastAsia="宋体" w:cs="Times New Roman"/>
                      <w:i w:val="0"/>
                      <w:iCs w:val="0"/>
                      <w:color w:val="0000FF"/>
                      <w:kern w:val="0"/>
                      <w:sz w:val="21"/>
                      <w:szCs w:val="21"/>
                      <w:u w:val="none"/>
                      <w:vertAlign w:val="subscript"/>
                      <w:lang w:val="en-US" w:eastAsia="zh-CN" w:bidi="ar"/>
                    </w:rPr>
                    <w:t>3</w:t>
                  </w:r>
                  <w:r>
                    <w:rPr>
                      <w:rFonts w:hint="default" w:ascii="Times New Roman" w:hAnsi="Times New Roman" w:eastAsia="宋体" w:cs="Times New Roman"/>
                      <w:i w:val="0"/>
                      <w:iCs w:val="0"/>
                      <w:color w:val="0000FF"/>
                      <w:kern w:val="0"/>
                      <w:sz w:val="21"/>
                      <w:szCs w:val="21"/>
                      <w:u w:val="none"/>
                      <w:lang w:val="en-US" w:eastAsia="zh-CN" w:bidi="ar"/>
                    </w:rPr>
                    <w:t>-N</w:t>
                  </w:r>
                </w:p>
              </w:tc>
              <w:tc>
                <w:tcPr>
                  <w:tcW w:w="1126" w:type="dxa"/>
                  <w:tcBorders>
                    <w:top w:val="nil"/>
                    <w:left w:val="single" w:color="000000" w:sz="8" w:space="0"/>
                    <w:bottom w:val="single" w:color="000000" w:sz="8" w:space="0"/>
                    <w:right w:val="single" w:color="000000" w:sz="8" w:space="0"/>
                  </w:tcBorders>
                  <w:shd w:val="clear" w:color="auto" w:fill="auto"/>
                  <w:vAlign w:val="center"/>
                </w:tcPr>
                <w:p w14:paraId="7350F53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2"/>
                      <w:szCs w:val="22"/>
                      <w:u w:val="none"/>
                      <w:lang w:val="en-US" w:eastAsia="zh-CN" w:bidi="ar"/>
                    </w:rPr>
                    <w:t>0.0117</w:t>
                  </w:r>
                </w:p>
              </w:tc>
              <w:tc>
                <w:tcPr>
                  <w:tcW w:w="1126" w:type="dxa"/>
                  <w:tcBorders>
                    <w:top w:val="nil"/>
                    <w:left w:val="single" w:color="000000" w:sz="8" w:space="0"/>
                    <w:bottom w:val="single" w:color="000000" w:sz="8" w:space="0"/>
                    <w:right w:val="single" w:color="000000" w:sz="8" w:space="0"/>
                  </w:tcBorders>
                  <w:shd w:val="clear" w:color="auto" w:fill="auto"/>
                  <w:vAlign w:val="center"/>
                </w:tcPr>
                <w:p w14:paraId="4C9EE0A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126" w:type="dxa"/>
                  <w:tcBorders>
                    <w:top w:val="nil"/>
                    <w:left w:val="single" w:color="000000" w:sz="8" w:space="0"/>
                    <w:bottom w:val="single" w:color="000000" w:sz="8" w:space="0"/>
                    <w:right w:val="single" w:color="000000" w:sz="8" w:space="0"/>
                  </w:tcBorders>
                  <w:shd w:val="clear" w:color="auto" w:fill="auto"/>
                  <w:vAlign w:val="center"/>
                </w:tcPr>
                <w:p w14:paraId="68A52EB3">
                  <w:pPr>
                    <w:keepNext w:val="0"/>
                    <w:keepLines w:val="0"/>
                    <w:widowControl/>
                    <w:suppressLineNumbers w:val="0"/>
                    <w:jc w:val="center"/>
                    <w:textAlignment w:val="center"/>
                    <w:rPr>
                      <w:rFonts w:hint="default" w:ascii="Times New Roman" w:hAnsi="Times New Roman" w:eastAsia="宋体" w:cs="Times New Roman"/>
                      <w:i w:val="0"/>
                      <w:iCs w:val="0"/>
                      <w:color w:val="0000FF"/>
                      <w:sz w:val="22"/>
                      <w:szCs w:val="22"/>
                      <w:u w:val="none"/>
                    </w:rPr>
                  </w:pPr>
                  <w:r>
                    <w:rPr>
                      <w:rFonts w:hint="eastAsia" w:ascii="宋体" w:hAnsi="宋体" w:eastAsia="宋体" w:cs="宋体"/>
                      <w:i w:val="0"/>
                      <w:iCs w:val="0"/>
                      <w:color w:val="0000FF"/>
                      <w:kern w:val="0"/>
                      <w:sz w:val="21"/>
                      <w:szCs w:val="21"/>
                      <w:u w:val="none"/>
                      <w:lang w:val="en-US" w:eastAsia="zh-CN" w:bidi="ar"/>
                    </w:rPr>
                    <w:t>符合</w:t>
                  </w:r>
                </w:p>
              </w:tc>
              <w:tc>
                <w:tcPr>
                  <w:tcW w:w="1126" w:type="dxa"/>
                  <w:vMerge w:val="continue"/>
                  <w:tcBorders>
                    <w:top w:val="nil"/>
                    <w:left w:val="single" w:color="000000" w:sz="8" w:space="0"/>
                    <w:bottom w:val="single" w:color="000000" w:sz="8" w:space="0"/>
                    <w:right w:val="single" w:color="000000" w:sz="8" w:space="0"/>
                  </w:tcBorders>
                  <w:shd w:val="clear" w:color="auto" w:fill="auto"/>
                  <w:vAlign w:val="center"/>
                </w:tcPr>
                <w:p w14:paraId="754A7E58">
                  <w:pPr>
                    <w:jc w:val="center"/>
                    <w:rPr>
                      <w:rFonts w:hint="default" w:ascii="Times New Roman" w:hAnsi="Times New Roman" w:eastAsia="宋体" w:cs="Times New Roman"/>
                      <w:i w:val="0"/>
                      <w:iCs w:val="0"/>
                      <w:color w:val="0000FF"/>
                      <w:sz w:val="21"/>
                      <w:szCs w:val="21"/>
                      <w:u w:val="none"/>
                    </w:rPr>
                  </w:pPr>
                </w:p>
              </w:tc>
            </w:tr>
            <w:tr w14:paraId="6F0676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020" w:type="dxa"/>
                  <w:vMerge w:val="continue"/>
                  <w:tcBorders>
                    <w:top w:val="nil"/>
                    <w:left w:val="single" w:color="000000" w:sz="8" w:space="0"/>
                    <w:bottom w:val="single" w:color="000000" w:sz="8" w:space="0"/>
                    <w:right w:val="single" w:color="000000" w:sz="8" w:space="0"/>
                  </w:tcBorders>
                  <w:shd w:val="clear" w:color="auto" w:fill="auto"/>
                  <w:vAlign w:val="center"/>
                </w:tcPr>
                <w:p w14:paraId="5D7AA40A">
                  <w:pPr>
                    <w:jc w:val="center"/>
                    <w:rPr>
                      <w:rFonts w:hint="eastAsia" w:ascii="宋体" w:hAnsi="宋体" w:eastAsia="宋体" w:cs="宋体"/>
                      <w:i w:val="0"/>
                      <w:iCs w:val="0"/>
                      <w:color w:val="0000FF"/>
                      <w:sz w:val="21"/>
                      <w:szCs w:val="21"/>
                      <w:u w:val="none"/>
                    </w:rPr>
                  </w:pPr>
                </w:p>
              </w:tc>
              <w:tc>
                <w:tcPr>
                  <w:tcW w:w="1020" w:type="dxa"/>
                  <w:tcBorders>
                    <w:top w:val="nil"/>
                    <w:left w:val="single" w:color="000000" w:sz="8" w:space="0"/>
                    <w:bottom w:val="single" w:color="000000" w:sz="8" w:space="0"/>
                    <w:right w:val="single" w:color="000000" w:sz="8" w:space="0"/>
                  </w:tcBorders>
                  <w:shd w:val="clear" w:color="auto" w:fill="auto"/>
                  <w:vAlign w:val="center"/>
                </w:tcPr>
                <w:p w14:paraId="00DA41EA">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动植物油</w:t>
                  </w:r>
                </w:p>
              </w:tc>
              <w:tc>
                <w:tcPr>
                  <w:tcW w:w="1126" w:type="dxa"/>
                  <w:tcBorders>
                    <w:top w:val="nil"/>
                    <w:left w:val="single" w:color="000000" w:sz="8" w:space="0"/>
                    <w:bottom w:val="single" w:color="000000" w:sz="8" w:space="0"/>
                    <w:right w:val="single" w:color="000000" w:sz="8" w:space="0"/>
                  </w:tcBorders>
                  <w:shd w:val="clear" w:color="auto" w:fill="auto"/>
                  <w:vAlign w:val="center"/>
                </w:tcPr>
                <w:p w14:paraId="669207D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2"/>
                      <w:szCs w:val="22"/>
                      <w:u w:val="none"/>
                      <w:lang w:val="en-US" w:eastAsia="zh-CN" w:bidi="ar"/>
                    </w:rPr>
                    <w:t>0.1702</w:t>
                  </w:r>
                </w:p>
              </w:tc>
              <w:tc>
                <w:tcPr>
                  <w:tcW w:w="1126" w:type="dxa"/>
                  <w:tcBorders>
                    <w:top w:val="nil"/>
                    <w:left w:val="single" w:color="000000" w:sz="8" w:space="0"/>
                    <w:bottom w:val="single" w:color="000000" w:sz="8" w:space="0"/>
                    <w:right w:val="single" w:color="000000" w:sz="8" w:space="0"/>
                  </w:tcBorders>
                  <w:shd w:val="clear" w:color="auto" w:fill="auto"/>
                  <w:vAlign w:val="center"/>
                </w:tcPr>
                <w:p w14:paraId="2823A33E">
                  <w:pPr>
                    <w:keepNext w:val="0"/>
                    <w:keepLines w:val="0"/>
                    <w:widowControl/>
                    <w:suppressLineNumbers w:val="0"/>
                    <w:jc w:val="center"/>
                    <w:textAlignment w:val="center"/>
                    <w:rPr>
                      <w:rFonts w:hint="eastAsia" w:ascii="宋体" w:hAnsi="宋体" w:eastAsia="宋体" w:cs="宋体"/>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126" w:type="dxa"/>
                  <w:tcBorders>
                    <w:top w:val="nil"/>
                    <w:left w:val="single" w:color="000000" w:sz="8" w:space="0"/>
                    <w:bottom w:val="single" w:color="000000" w:sz="8" w:space="0"/>
                    <w:right w:val="single" w:color="000000" w:sz="8" w:space="0"/>
                  </w:tcBorders>
                  <w:shd w:val="clear" w:color="auto" w:fill="auto"/>
                  <w:vAlign w:val="center"/>
                </w:tcPr>
                <w:p w14:paraId="4D339A17">
                  <w:pPr>
                    <w:keepNext w:val="0"/>
                    <w:keepLines w:val="0"/>
                    <w:widowControl/>
                    <w:suppressLineNumbers w:val="0"/>
                    <w:jc w:val="center"/>
                    <w:textAlignment w:val="center"/>
                    <w:rPr>
                      <w:rFonts w:hint="default" w:ascii="Times New Roman" w:hAnsi="Times New Roman" w:eastAsia="宋体" w:cs="Times New Roman"/>
                      <w:i w:val="0"/>
                      <w:iCs w:val="0"/>
                      <w:color w:val="0000FF"/>
                      <w:sz w:val="22"/>
                      <w:szCs w:val="22"/>
                      <w:u w:val="none"/>
                    </w:rPr>
                  </w:pPr>
                  <w:r>
                    <w:rPr>
                      <w:rFonts w:hint="eastAsia" w:ascii="宋体" w:hAnsi="宋体" w:eastAsia="宋体" w:cs="宋体"/>
                      <w:i w:val="0"/>
                      <w:iCs w:val="0"/>
                      <w:color w:val="0000FF"/>
                      <w:kern w:val="0"/>
                      <w:sz w:val="21"/>
                      <w:szCs w:val="21"/>
                      <w:u w:val="none"/>
                      <w:lang w:val="en-US" w:eastAsia="zh-CN" w:bidi="ar"/>
                    </w:rPr>
                    <w:t>符合</w:t>
                  </w:r>
                </w:p>
              </w:tc>
              <w:tc>
                <w:tcPr>
                  <w:tcW w:w="1126" w:type="dxa"/>
                  <w:vMerge w:val="continue"/>
                  <w:tcBorders>
                    <w:top w:val="nil"/>
                    <w:left w:val="single" w:color="000000" w:sz="8" w:space="0"/>
                    <w:bottom w:val="single" w:color="000000" w:sz="8" w:space="0"/>
                    <w:right w:val="single" w:color="000000" w:sz="8" w:space="0"/>
                  </w:tcBorders>
                  <w:shd w:val="clear" w:color="auto" w:fill="auto"/>
                  <w:vAlign w:val="center"/>
                </w:tcPr>
                <w:p w14:paraId="43D3BA71">
                  <w:pPr>
                    <w:jc w:val="center"/>
                    <w:rPr>
                      <w:rFonts w:hint="default" w:ascii="Times New Roman" w:hAnsi="Times New Roman" w:eastAsia="宋体" w:cs="Times New Roman"/>
                      <w:i w:val="0"/>
                      <w:iCs w:val="0"/>
                      <w:color w:val="0000FF"/>
                      <w:sz w:val="21"/>
                      <w:szCs w:val="21"/>
                      <w:u w:val="none"/>
                    </w:rPr>
                  </w:pPr>
                </w:p>
              </w:tc>
            </w:tr>
          </w:tbl>
          <w:p w14:paraId="11937640">
            <w:pPr>
              <w:pStyle w:val="206"/>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现有</w:t>
            </w:r>
            <w:r>
              <w:rPr>
                <w:rFonts w:hint="eastAsia" w:cs="Times New Roman"/>
                <w:color w:val="auto"/>
                <w:lang w:eastAsia="zh-CN"/>
              </w:rPr>
              <w:t>工程</w:t>
            </w:r>
            <w:r>
              <w:rPr>
                <w:rFonts w:hint="default" w:ascii="Times New Roman" w:hAnsi="Times New Roman" w:cs="Times New Roman"/>
                <w:color w:val="auto"/>
              </w:rPr>
              <w:t>废水污染物COD、氨氮排放总量未超过竹环函</w:t>
            </w:r>
            <w:r>
              <w:rPr>
                <w:rFonts w:hint="eastAsia" w:cs="Times New Roman"/>
                <w:color w:val="auto"/>
                <w:lang w:eastAsia="zh-CN"/>
              </w:rPr>
              <w:t>〔2021〕48号</w:t>
            </w:r>
            <w:r>
              <w:rPr>
                <w:rFonts w:hint="default" w:ascii="Times New Roman" w:hAnsi="Times New Roman" w:cs="Times New Roman"/>
                <w:color w:val="auto"/>
              </w:rPr>
              <w:t>文核定排放总量。</w:t>
            </w:r>
          </w:p>
          <w:p w14:paraId="416CFEBE">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三、噪声</w:t>
            </w:r>
          </w:p>
          <w:p w14:paraId="6941284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FF"/>
                <w:sz w:val="24"/>
                <w:lang w:val="en-US" w:eastAsia="zh-CN"/>
              </w:rPr>
            </w:pPr>
            <w:r>
              <w:rPr>
                <w:rFonts w:hint="default" w:ascii="Times New Roman" w:hAnsi="Times New Roman" w:cs="Times New Roman"/>
                <w:color w:val="0000FF"/>
                <w:sz w:val="24"/>
              </w:rPr>
              <w:t>根据企业</w:t>
            </w:r>
            <w:r>
              <w:rPr>
                <w:rFonts w:hint="eastAsia" w:cs="Times New Roman"/>
                <w:color w:val="0000FF"/>
                <w:sz w:val="24"/>
                <w:lang w:val="en-US" w:eastAsia="zh-CN"/>
              </w:rPr>
              <w:t>2022年验收监测报告</w:t>
            </w:r>
            <w:r>
              <w:rPr>
                <w:rFonts w:hint="default" w:ascii="Times New Roman" w:hAnsi="Times New Roman" w:cs="Times New Roman"/>
                <w:color w:val="0000FF"/>
                <w:sz w:val="24"/>
              </w:rPr>
              <w:t>，现有</w:t>
            </w:r>
            <w:r>
              <w:rPr>
                <w:rFonts w:hint="eastAsia" w:cs="Times New Roman"/>
                <w:color w:val="0000FF"/>
                <w:sz w:val="24"/>
                <w:lang w:eastAsia="zh-CN"/>
              </w:rPr>
              <w:t>工程</w:t>
            </w:r>
            <w:r>
              <w:rPr>
                <w:rFonts w:hint="eastAsia" w:ascii="Times New Roman" w:hAnsi="Times New Roman" w:cs="Times New Roman"/>
                <w:color w:val="0000FF"/>
                <w:sz w:val="24"/>
                <w:lang w:val="en-US" w:eastAsia="zh-CN"/>
              </w:rPr>
              <w:t>噪声</w:t>
            </w:r>
            <w:r>
              <w:rPr>
                <w:rFonts w:hint="default" w:ascii="Times New Roman" w:hAnsi="Times New Roman" w:cs="Times New Roman"/>
                <w:color w:val="0000FF"/>
                <w:sz w:val="24"/>
              </w:rPr>
              <w:t>排放满足《工业企业厂界环境噪声排放标准》（GB12348-2008）中表1的3类功能区标准限值，企业噪声实现达标排放。</w:t>
            </w:r>
            <w:r>
              <w:rPr>
                <w:rFonts w:hint="eastAsia" w:ascii="Times New Roman" w:hAnsi="Times New Roman" w:cs="Times New Roman"/>
                <w:color w:val="0000FF"/>
                <w:sz w:val="24"/>
                <w:lang w:val="en-US" w:eastAsia="zh-CN"/>
              </w:rPr>
              <w:t>详情见附件5-2 2022</w:t>
            </w:r>
            <w:r>
              <w:rPr>
                <w:rFonts w:hint="eastAsia" w:cs="Times New Roman"/>
                <w:color w:val="0000FF"/>
                <w:sz w:val="24"/>
                <w:lang w:val="en-US" w:eastAsia="zh-CN"/>
              </w:rPr>
              <w:t>验收</w:t>
            </w:r>
            <w:r>
              <w:rPr>
                <w:rFonts w:hint="eastAsia" w:ascii="Times New Roman" w:hAnsi="Times New Roman" w:cs="Times New Roman"/>
                <w:color w:val="0000FF"/>
                <w:sz w:val="24"/>
                <w:lang w:val="en-US" w:eastAsia="zh-CN"/>
              </w:rPr>
              <w:t>监测报告。</w:t>
            </w:r>
          </w:p>
          <w:p w14:paraId="711C0B72">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四、固体废物</w:t>
            </w:r>
          </w:p>
          <w:p w14:paraId="0D0E8BC7">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sz w:val="24"/>
              </w:rPr>
              <w:t>根据企业提供的</w:t>
            </w:r>
            <w:r>
              <w:rPr>
                <w:rFonts w:hint="eastAsia" w:cs="Times New Roman"/>
                <w:color w:val="auto"/>
                <w:sz w:val="24"/>
                <w:lang w:val="en-US" w:eastAsia="zh-CN"/>
              </w:rPr>
              <w:t>验收报告</w:t>
            </w:r>
            <w:r>
              <w:rPr>
                <w:rFonts w:hint="default" w:ascii="Times New Roman" w:hAnsi="Times New Roman" w:cs="Times New Roman"/>
                <w:color w:val="auto"/>
                <w:sz w:val="24"/>
              </w:rPr>
              <w:t>，现有</w:t>
            </w:r>
            <w:r>
              <w:rPr>
                <w:rFonts w:hint="eastAsia" w:cs="Times New Roman"/>
                <w:color w:val="auto"/>
                <w:sz w:val="24"/>
                <w:lang w:eastAsia="zh-CN"/>
              </w:rPr>
              <w:t>工程</w:t>
            </w:r>
            <w:r>
              <w:rPr>
                <w:rFonts w:hint="default" w:ascii="Times New Roman" w:hAnsi="Times New Roman" w:cs="Times New Roman"/>
                <w:color w:val="auto"/>
                <w:sz w:val="24"/>
              </w:rPr>
              <w:t>固体废物产生及处置情况详见表2.7-1</w:t>
            </w:r>
            <w:r>
              <w:rPr>
                <w:rFonts w:hint="default" w:ascii="Times New Roman" w:hAnsi="Times New Roman" w:cs="Times New Roman"/>
                <w:color w:val="auto"/>
                <w:sz w:val="24"/>
                <w:lang w:val="en-US" w:eastAsia="zh-CN"/>
              </w:rPr>
              <w:t>1</w:t>
            </w:r>
            <w:r>
              <w:rPr>
                <w:rFonts w:hint="default" w:ascii="Times New Roman" w:hAnsi="Times New Roman" w:cs="Times New Roman"/>
                <w:color w:val="auto"/>
              </w:rPr>
              <w:t>。</w:t>
            </w:r>
          </w:p>
          <w:p w14:paraId="2F092F30">
            <w:pPr>
              <w:spacing w:line="240" w:lineRule="auto"/>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表2.7-1</w:t>
            </w:r>
            <w:r>
              <w:rPr>
                <w:rFonts w:hint="eastAsia" w:cs="Times New Roman"/>
                <w:b/>
                <w:bCs/>
                <w:color w:val="auto"/>
                <w:sz w:val="24"/>
                <w:lang w:val="en-US" w:eastAsia="zh-CN"/>
              </w:rPr>
              <w:t>0</w:t>
            </w:r>
            <w:r>
              <w:rPr>
                <w:rFonts w:hint="default" w:ascii="Times New Roman" w:hAnsi="Times New Roman" w:cs="Times New Roman"/>
                <w:b/>
                <w:bCs/>
                <w:color w:val="auto"/>
                <w:sz w:val="24"/>
              </w:rPr>
              <w:t xml:space="preserve">   现有</w:t>
            </w:r>
            <w:r>
              <w:rPr>
                <w:rFonts w:hint="eastAsia" w:cs="Times New Roman"/>
                <w:b/>
                <w:bCs/>
                <w:color w:val="auto"/>
                <w:sz w:val="24"/>
                <w:lang w:eastAsia="zh-CN"/>
              </w:rPr>
              <w:t>工程</w:t>
            </w:r>
            <w:r>
              <w:rPr>
                <w:rFonts w:hint="default" w:ascii="Times New Roman" w:hAnsi="Times New Roman" w:cs="Times New Roman"/>
                <w:b/>
                <w:bCs/>
                <w:color w:val="auto"/>
                <w:sz w:val="24"/>
              </w:rPr>
              <w:t>固体废物处置及利用情况一览表（单位：t/a）</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2"/>
              <w:gridCol w:w="1556"/>
              <w:gridCol w:w="863"/>
              <w:gridCol w:w="1294"/>
              <w:gridCol w:w="881"/>
              <w:gridCol w:w="919"/>
              <w:gridCol w:w="900"/>
            </w:tblGrid>
            <w:tr w14:paraId="18756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2332" w:type="dxa"/>
                  <w:noWrap w:val="0"/>
                  <w:vAlign w:val="center"/>
                </w:tcPr>
                <w:p w14:paraId="365EFF17">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固体废物名称</w:t>
                  </w:r>
                </w:p>
              </w:tc>
              <w:tc>
                <w:tcPr>
                  <w:tcW w:w="1556" w:type="dxa"/>
                  <w:noWrap w:val="0"/>
                  <w:vAlign w:val="center"/>
                </w:tcPr>
                <w:p w14:paraId="5580A44F">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固体废物类别</w:t>
                  </w:r>
                </w:p>
              </w:tc>
              <w:tc>
                <w:tcPr>
                  <w:tcW w:w="863" w:type="dxa"/>
                  <w:noWrap w:val="0"/>
                  <w:vAlign w:val="center"/>
                </w:tcPr>
                <w:p w14:paraId="09F093BF">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产生量</w:t>
                  </w:r>
                </w:p>
              </w:tc>
              <w:tc>
                <w:tcPr>
                  <w:tcW w:w="1294" w:type="dxa"/>
                  <w:noWrap w:val="0"/>
                  <w:vAlign w:val="center"/>
                </w:tcPr>
                <w:p w14:paraId="412BEABC">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综合利用量</w:t>
                  </w:r>
                </w:p>
              </w:tc>
              <w:tc>
                <w:tcPr>
                  <w:tcW w:w="881" w:type="dxa"/>
                  <w:noWrap w:val="0"/>
                  <w:vAlign w:val="center"/>
                </w:tcPr>
                <w:p w14:paraId="236506CE">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处置量</w:t>
                  </w:r>
                </w:p>
              </w:tc>
              <w:tc>
                <w:tcPr>
                  <w:tcW w:w="919" w:type="dxa"/>
                  <w:noWrap w:val="0"/>
                  <w:vAlign w:val="center"/>
                </w:tcPr>
                <w:p w14:paraId="7684DAF4">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贮存量</w:t>
                  </w:r>
                </w:p>
              </w:tc>
              <w:tc>
                <w:tcPr>
                  <w:tcW w:w="900" w:type="dxa"/>
                  <w:noWrap w:val="0"/>
                  <w:vAlign w:val="center"/>
                </w:tcPr>
                <w:p w14:paraId="68F79B3B">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排放量</w:t>
                  </w:r>
                </w:p>
              </w:tc>
            </w:tr>
            <w:tr w14:paraId="10BA5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2332" w:type="dxa"/>
                  <w:noWrap w:val="0"/>
                  <w:vAlign w:val="center"/>
                </w:tcPr>
                <w:p w14:paraId="20767506">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塑胶边角料、不合格品</w:t>
                  </w:r>
                </w:p>
              </w:tc>
              <w:tc>
                <w:tcPr>
                  <w:tcW w:w="1556" w:type="dxa"/>
                  <w:vMerge w:val="restart"/>
                  <w:noWrap w:val="0"/>
                  <w:vAlign w:val="center"/>
                </w:tcPr>
                <w:p w14:paraId="70F62D51">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一般工业固废</w:t>
                  </w:r>
                </w:p>
              </w:tc>
              <w:tc>
                <w:tcPr>
                  <w:tcW w:w="863" w:type="dxa"/>
                  <w:noWrap w:val="0"/>
                  <w:vAlign w:val="center"/>
                </w:tcPr>
                <w:p w14:paraId="7B9AAF81">
                  <w:pPr>
                    <w:keepNext w:val="0"/>
                    <w:keepLines w:val="0"/>
                    <w:widowControl/>
                    <w:suppressLineNumbers w:val="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0.003</w:t>
                  </w:r>
                </w:p>
              </w:tc>
              <w:tc>
                <w:tcPr>
                  <w:tcW w:w="1294" w:type="dxa"/>
                  <w:noWrap w:val="0"/>
                  <w:vAlign w:val="center"/>
                </w:tcPr>
                <w:p w14:paraId="69BAEBC1">
                  <w:pPr>
                    <w:keepNext w:val="0"/>
                    <w:keepLines w:val="0"/>
                    <w:widowControl/>
                    <w:suppressLineNumbers w:val="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0.003</w:t>
                  </w:r>
                </w:p>
              </w:tc>
              <w:tc>
                <w:tcPr>
                  <w:tcW w:w="881" w:type="dxa"/>
                  <w:noWrap w:val="0"/>
                  <w:vAlign w:val="center"/>
                </w:tcPr>
                <w:p w14:paraId="14323181">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c>
                <w:tcPr>
                  <w:tcW w:w="919" w:type="dxa"/>
                  <w:noWrap w:val="0"/>
                  <w:vAlign w:val="center"/>
                </w:tcPr>
                <w:p w14:paraId="5F0DE3D8">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c>
                <w:tcPr>
                  <w:tcW w:w="900" w:type="dxa"/>
                  <w:noWrap w:val="0"/>
                  <w:vAlign w:val="center"/>
                </w:tcPr>
                <w:p w14:paraId="565E07A5">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r>
            <w:tr w14:paraId="7F440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2" w:type="dxa"/>
                  <w:noWrap w:val="0"/>
                  <w:vAlign w:val="center"/>
                </w:tcPr>
                <w:p w14:paraId="6BF70AA7">
                  <w:pPr>
                    <w:keepNext w:val="0"/>
                    <w:keepLines w:val="0"/>
                    <w:widowControl/>
                    <w:suppressLineNumbers w:val="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废包装材料</w:t>
                  </w:r>
                </w:p>
              </w:tc>
              <w:tc>
                <w:tcPr>
                  <w:tcW w:w="1556" w:type="dxa"/>
                  <w:vMerge w:val="continue"/>
                  <w:noWrap w:val="0"/>
                  <w:vAlign w:val="center"/>
                </w:tcPr>
                <w:p w14:paraId="68EE37FC">
                  <w:pPr>
                    <w:jc w:val="center"/>
                    <w:rPr>
                      <w:rFonts w:hint="default" w:ascii="Times New Roman" w:hAnsi="Times New Roman" w:cs="Times New Roman"/>
                      <w:color w:val="auto"/>
                      <w:sz w:val="21"/>
                      <w:szCs w:val="21"/>
                    </w:rPr>
                  </w:pPr>
                </w:p>
              </w:tc>
              <w:tc>
                <w:tcPr>
                  <w:tcW w:w="863" w:type="dxa"/>
                  <w:noWrap w:val="0"/>
                  <w:vAlign w:val="center"/>
                </w:tcPr>
                <w:p w14:paraId="3136BDA7">
                  <w:pPr>
                    <w:keepNext w:val="0"/>
                    <w:keepLines w:val="0"/>
                    <w:widowControl/>
                    <w:suppressLineNumbers w:val="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0.0003</w:t>
                  </w:r>
                </w:p>
              </w:tc>
              <w:tc>
                <w:tcPr>
                  <w:tcW w:w="1294" w:type="dxa"/>
                  <w:noWrap w:val="0"/>
                  <w:vAlign w:val="center"/>
                </w:tcPr>
                <w:p w14:paraId="45252ED4">
                  <w:pPr>
                    <w:keepNext w:val="0"/>
                    <w:keepLines w:val="0"/>
                    <w:widowControl/>
                    <w:suppressLineNumbers w:val="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w:t>
                  </w:r>
                </w:p>
              </w:tc>
              <w:tc>
                <w:tcPr>
                  <w:tcW w:w="881" w:type="dxa"/>
                  <w:noWrap w:val="0"/>
                  <w:vAlign w:val="center"/>
                </w:tcPr>
                <w:p w14:paraId="26177629">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0.0003</w:t>
                  </w:r>
                </w:p>
              </w:tc>
              <w:tc>
                <w:tcPr>
                  <w:tcW w:w="919" w:type="dxa"/>
                  <w:noWrap w:val="0"/>
                  <w:vAlign w:val="center"/>
                </w:tcPr>
                <w:p w14:paraId="2119F034">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c>
                <w:tcPr>
                  <w:tcW w:w="900" w:type="dxa"/>
                  <w:noWrap w:val="0"/>
                  <w:vAlign w:val="center"/>
                </w:tcPr>
                <w:p w14:paraId="788DE164">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r>
            <w:tr w14:paraId="1B34E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32" w:type="dxa"/>
                  <w:noWrap w:val="0"/>
                  <w:vAlign w:val="center"/>
                </w:tcPr>
                <w:p w14:paraId="7BF3AD12">
                  <w:pPr>
                    <w:keepNext w:val="0"/>
                    <w:keepLines w:val="0"/>
                    <w:widowControl/>
                    <w:suppressLineNumbers w:val="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生活垃圾</w:t>
                  </w:r>
                </w:p>
              </w:tc>
              <w:tc>
                <w:tcPr>
                  <w:tcW w:w="1556" w:type="dxa"/>
                  <w:vMerge w:val="continue"/>
                  <w:noWrap w:val="0"/>
                  <w:vAlign w:val="center"/>
                </w:tcPr>
                <w:p w14:paraId="6541CB00">
                  <w:pPr>
                    <w:jc w:val="center"/>
                    <w:rPr>
                      <w:rFonts w:hint="default" w:ascii="Times New Roman" w:hAnsi="Times New Roman" w:cs="Times New Roman"/>
                      <w:color w:val="auto"/>
                      <w:sz w:val="21"/>
                      <w:szCs w:val="21"/>
                    </w:rPr>
                  </w:pPr>
                </w:p>
              </w:tc>
              <w:tc>
                <w:tcPr>
                  <w:tcW w:w="863" w:type="dxa"/>
                  <w:noWrap w:val="0"/>
                  <w:vAlign w:val="center"/>
                </w:tcPr>
                <w:p w14:paraId="0AA8443E">
                  <w:pPr>
                    <w:keepNext w:val="0"/>
                    <w:keepLines w:val="0"/>
                    <w:widowControl/>
                    <w:suppressLineNumbers w:val="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0.04</w:t>
                  </w:r>
                </w:p>
              </w:tc>
              <w:tc>
                <w:tcPr>
                  <w:tcW w:w="1294" w:type="dxa"/>
                  <w:noWrap w:val="0"/>
                  <w:vAlign w:val="center"/>
                </w:tcPr>
                <w:p w14:paraId="0310E714">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c>
                <w:tcPr>
                  <w:tcW w:w="881" w:type="dxa"/>
                  <w:noWrap w:val="0"/>
                  <w:vAlign w:val="center"/>
                </w:tcPr>
                <w:p w14:paraId="2599FCBF">
                  <w:pPr>
                    <w:keepNext w:val="0"/>
                    <w:keepLines w:val="0"/>
                    <w:widowControl/>
                    <w:suppressLineNumbers w:val="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0.04</w:t>
                  </w:r>
                </w:p>
              </w:tc>
              <w:tc>
                <w:tcPr>
                  <w:tcW w:w="919" w:type="dxa"/>
                  <w:noWrap w:val="0"/>
                  <w:vAlign w:val="center"/>
                </w:tcPr>
                <w:p w14:paraId="13107F4E">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c>
                <w:tcPr>
                  <w:tcW w:w="900" w:type="dxa"/>
                  <w:noWrap w:val="0"/>
                  <w:vAlign w:val="center"/>
                </w:tcPr>
                <w:p w14:paraId="39D44A3D">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r>
            <w:tr w14:paraId="4555C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2" w:type="dxa"/>
                  <w:noWrap w:val="0"/>
                  <w:vAlign w:val="center"/>
                </w:tcPr>
                <w:p w14:paraId="132FE324">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废活性炭</w:t>
                  </w:r>
                </w:p>
              </w:tc>
              <w:tc>
                <w:tcPr>
                  <w:tcW w:w="1556" w:type="dxa"/>
                  <w:noWrap w:val="0"/>
                  <w:vAlign w:val="center"/>
                </w:tcPr>
                <w:p w14:paraId="44222CE4">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危险固废</w:t>
                  </w:r>
                </w:p>
              </w:tc>
              <w:tc>
                <w:tcPr>
                  <w:tcW w:w="863" w:type="dxa"/>
                  <w:noWrap w:val="0"/>
                  <w:vAlign w:val="center"/>
                </w:tcPr>
                <w:p w14:paraId="134E948F">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1294" w:type="dxa"/>
                  <w:noWrap w:val="0"/>
                  <w:vAlign w:val="center"/>
                </w:tcPr>
                <w:p w14:paraId="344A303F">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c>
                <w:tcPr>
                  <w:tcW w:w="881" w:type="dxa"/>
                  <w:noWrap w:val="0"/>
                  <w:vAlign w:val="center"/>
                </w:tcPr>
                <w:p w14:paraId="418E03AA">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c>
                <w:tcPr>
                  <w:tcW w:w="919" w:type="dxa"/>
                  <w:noWrap w:val="0"/>
                  <w:vAlign w:val="center"/>
                </w:tcPr>
                <w:p w14:paraId="00D165A8">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c>
                <w:tcPr>
                  <w:tcW w:w="900" w:type="dxa"/>
                  <w:noWrap w:val="0"/>
                  <w:vAlign w:val="center"/>
                </w:tcPr>
                <w:p w14:paraId="5B952EE9">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r>
          </w:tbl>
          <w:p w14:paraId="50D4D2AE">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一般固废：产生的一般工业固废主要为</w:t>
            </w:r>
            <w:r>
              <w:rPr>
                <w:rFonts w:hint="default" w:ascii="Times New Roman" w:hAnsi="Times New Roman" w:cs="Times New Roman"/>
                <w:color w:val="auto"/>
                <w:sz w:val="24"/>
                <w:lang w:val="en-US" w:eastAsia="zh-CN"/>
              </w:rPr>
              <w:t>塑胶边角料、不合格品、废包装材料、生活垃圾</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塑胶</w:t>
            </w:r>
            <w:r>
              <w:rPr>
                <w:rFonts w:hint="default" w:ascii="Times New Roman" w:hAnsi="Times New Roman" w:cs="Times New Roman"/>
                <w:color w:val="auto"/>
                <w:sz w:val="24"/>
              </w:rPr>
              <w:t>边角料、不合格品</w:t>
            </w:r>
            <w:r>
              <w:rPr>
                <w:rFonts w:hint="default" w:ascii="Times New Roman" w:hAnsi="Times New Roman" w:cs="Times New Roman"/>
                <w:color w:val="auto"/>
                <w:sz w:val="24"/>
                <w:lang w:val="en-US" w:eastAsia="zh-CN"/>
              </w:rPr>
              <w:t>经破碎机</w:t>
            </w:r>
            <w:r>
              <w:rPr>
                <w:rFonts w:hint="default" w:ascii="Times New Roman" w:hAnsi="Times New Roman" w:cs="Times New Roman"/>
                <w:color w:val="auto"/>
                <w:sz w:val="24"/>
              </w:rPr>
              <w:t>破碎后回用于生产；废包装袋定期收集后由</w:t>
            </w:r>
            <w:r>
              <w:rPr>
                <w:rFonts w:hint="default" w:ascii="Times New Roman" w:hAnsi="Times New Roman" w:cs="Times New Roman"/>
                <w:color w:val="auto"/>
                <w:sz w:val="24"/>
                <w:lang w:val="en-US" w:eastAsia="zh-CN"/>
              </w:rPr>
              <w:t>废品回收单位</w:t>
            </w:r>
            <w:r>
              <w:rPr>
                <w:rFonts w:hint="default" w:ascii="Times New Roman" w:hAnsi="Times New Roman" w:cs="Times New Roman"/>
                <w:color w:val="auto"/>
                <w:sz w:val="24"/>
              </w:rPr>
              <w:t>回收。一般固废暂存间位于</w:t>
            </w:r>
            <w:r>
              <w:rPr>
                <w:rFonts w:hint="default" w:ascii="Times New Roman" w:hAnsi="Times New Roman" w:cs="Times New Roman"/>
                <w:color w:val="auto"/>
                <w:sz w:val="24"/>
                <w:lang w:val="en-US" w:eastAsia="zh-CN"/>
              </w:rPr>
              <w:t>D5车间二层北侧</w:t>
            </w:r>
            <w:r>
              <w:rPr>
                <w:rFonts w:hint="default" w:ascii="Times New Roman" w:hAnsi="Times New Roman" w:cs="Times New Roman"/>
                <w:color w:val="auto"/>
                <w:sz w:val="24"/>
              </w:rPr>
              <w:t>，面积约</w:t>
            </w:r>
            <w:r>
              <w:rPr>
                <w:rFonts w:hint="eastAsia" w:cs="Times New Roman"/>
                <w:color w:val="auto"/>
                <w:sz w:val="24"/>
                <w:lang w:val="en-US" w:eastAsia="zh-CN"/>
              </w:rPr>
              <w:t>1</w:t>
            </w:r>
            <w:r>
              <w:rPr>
                <w:rFonts w:hint="default" w:ascii="Times New Roman" w:hAnsi="Times New Roman" w:cs="Times New Roman"/>
                <w:color w:val="auto"/>
                <w:sz w:val="24"/>
                <w:lang w:val="en-US" w:eastAsia="zh-CN"/>
              </w:rPr>
              <w:t>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，已</w:t>
            </w:r>
            <w:r>
              <w:rPr>
                <w:rFonts w:hint="default" w:ascii="Times New Roman" w:hAnsi="Times New Roman" w:cs="Times New Roman"/>
                <w:bCs/>
                <w:color w:val="auto"/>
                <w:sz w:val="24"/>
              </w:rPr>
              <w:t>采取“防渗漏、防雨淋、防扬尘”措施，设置有标识标牌。</w:t>
            </w:r>
          </w:p>
          <w:p w14:paraId="3E20059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危险废物：</w:t>
            </w:r>
            <w:r>
              <w:rPr>
                <w:rFonts w:hint="eastAsia" w:cs="Times New Roman"/>
                <w:color w:val="auto"/>
                <w:sz w:val="24"/>
                <w:lang w:eastAsia="zh-CN"/>
              </w:rPr>
              <w:t>工程</w:t>
            </w:r>
            <w:r>
              <w:rPr>
                <w:rFonts w:hint="default" w:ascii="Times New Roman" w:hAnsi="Times New Roman" w:cs="Times New Roman"/>
                <w:color w:val="auto"/>
                <w:sz w:val="24"/>
              </w:rPr>
              <w:t>产生的危险废物主要为</w:t>
            </w:r>
            <w:r>
              <w:rPr>
                <w:rFonts w:hint="default" w:ascii="Times New Roman" w:hAnsi="Times New Roman" w:cs="Times New Roman"/>
                <w:color w:val="auto"/>
                <w:sz w:val="24"/>
                <w:lang w:val="en-US" w:eastAsia="zh-CN"/>
              </w:rPr>
              <w:t>废活性炭，废活性炭定期更换并及时由</w:t>
            </w:r>
            <w:r>
              <w:rPr>
                <w:rFonts w:hint="eastAsia" w:cs="Times New Roman"/>
                <w:color w:val="auto"/>
                <w:sz w:val="24"/>
                <w:lang w:val="en-US" w:eastAsia="zh-CN"/>
              </w:rPr>
              <w:t>成都兴蓉环保科技股份有限公司</w:t>
            </w:r>
            <w:r>
              <w:rPr>
                <w:rFonts w:hint="default" w:ascii="Times New Roman" w:hAnsi="Times New Roman" w:cs="Times New Roman"/>
                <w:color w:val="auto"/>
                <w:sz w:val="24"/>
                <w:lang w:val="en-US" w:eastAsia="zh-CN"/>
              </w:rPr>
              <w:t>运走，厂区内不暂存，因此未设置危废暂存间。</w:t>
            </w:r>
          </w:p>
          <w:p w14:paraId="4550010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现有</w:t>
            </w:r>
            <w:r>
              <w:rPr>
                <w:rFonts w:hint="eastAsia" w:cs="Times New Roman"/>
                <w:color w:val="auto"/>
                <w:sz w:val="24"/>
                <w:lang w:eastAsia="zh-CN"/>
              </w:rPr>
              <w:t>工程</w:t>
            </w:r>
            <w:r>
              <w:rPr>
                <w:rFonts w:hint="default" w:ascii="Times New Roman" w:hAnsi="Times New Roman" w:cs="Times New Roman"/>
                <w:color w:val="auto"/>
                <w:sz w:val="24"/>
              </w:rPr>
              <w:t>固体废物处置措施有效，固体废物经处置后未造成二次污染。</w:t>
            </w:r>
          </w:p>
          <w:p w14:paraId="4186DE74">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color w:val="auto"/>
                <w:sz w:val="24"/>
              </w:rPr>
            </w:pPr>
            <w:r>
              <w:rPr>
                <w:rFonts w:hint="default" w:ascii="Times New Roman" w:hAnsi="Times New Roman" w:cs="Times New Roman"/>
                <w:b/>
                <w:bCs/>
                <w:color w:val="auto"/>
                <w:sz w:val="24"/>
              </w:rPr>
              <w:t>五、现有</w:t>
            </w:r>
            <w:r>
              <w:rPr>
                <w:rFonts w:hint="eastAsia" w:cs="Times New Roman"/>
                <w:b/>
                <w:bCs/>
                <w:color w:val="auto"/>
                <w:sz w:val="24"/>
                <w:lang w:eastAsia="zh-CN"/>
              </w:rPr>
              <w:t>工程</w:t>
            </w:r>
            <w:r>
              <w:rPr>
                <w:rFonts w:hint="default" w:ascii="Times New Roman" w:hAnsi="Times New Roman" w:cs="Times New Roman"/>
                <w:b/>
                <w:bCs/>
                <w:color w:val="auto"/>
                <w:sz w:val="24"/>
              </w:rPr>
              <w:t>污染物排放量</w:t>
            </w:r>
          </w:p>
          <w:p w14:paraId="56F35565">
            <w:pPr>
              <w:pStyle w:val="20"/>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现有</w:t>
            </w:r>
            <w:r>
              <w:rPr>
                <w:rFonts w:hint="eastAsia" w:cs="Times New Roman"/>
                <w:bCs/>
                <w:color w:val="auto"/>
                <w:sz w:val="24"/>
                <w:lang w:eastAsia="zh-CN"/>
              </w:rPr>
              <w:t>工程</w:t>
            </w:r>
            <w:r>
              <w:rPr>
                <w:rFonts w:hint="default" w:ascii="Times New Roman" w:hAnsi="Times New Roman" w:cs="Times New Roman"/>
                <w:bCs/>
                <w:color w:val="auto"/>
                <w:sz w:val="24"/>
              </w:rPr>
              <w:t>污染物总量详见下表。</w:t>
            </w:r>
          </w:p>
          <w:p w14:paraId="033EAF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表2.7-1</w:t>
            </w:r>
            <w:r>
              <w:rPr>
                <w:rFonts w:hint="eastAsia" w:cs="Times New Roman"/>
                <w:b/>
                <w:bCs/>
                <w:color w:val="auto"/>
                <w:sz w:val="24"/>
                <w:lang w:val="en-US" w:eastAsia="zh-CN"/>
              </w:rPr>
              <w:t>1</w:t>
            </w:r>
            <w:r>
              <w:rPr>
                <w:rFonts w:hint="default" w:ascii="Times New Roman" w:hAnsi="Times New Roman" w:cs="Times New Roman"/>
                <w:b/>
                <w:bCs/>
                <w:color w:val="auto"/>
                <w:sz w:val="24"/>
              </w:rPr>
              <w:t xml:space="preserve">   现有</w:t>
            </w:r>
            <w:r>
              <w:rPr>
                <w:rFonts w:hint="eastAsia" w:cs="Times New Roman"/>
                <w:b/>
                <w:bCs/>
                <w:color w:val="auto"/>
                <w:sz w:val="24"/>
                <w:lang w:eastAsia="zh-CN"/>
              </w:rPr>
              <w:t>工程</w:t>
            </w:r>
            <w:r>
              <w:rPr>
                <w:rFonts w:hint="default" w:ascii="Times New Roman" w:hAnsi="Times New Roman" w:cs="Times New Roman"/>
                <w:b/>
                <w:bCs/>
                <w:color w:val="auto"/>
                <w:sz w:val="24"/>
              </w:rPr>
              <w:t>废气污染物排放总量排放情况一览表</w:t>
            </w:r>
          </w:p>
          <w:tbl>
            <w:tblPr>
              <w:tblStyle w:val="35"/>
              <w:tblpPr w:leftFromText="180" w:rightFromText="180" w:vertAnchor="text" w:tblpY="1"/>
              <w:tblOverlap w:val="never"/>
              <w:tblW w:w="501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426"/>
              <w:gridCol w:w="2718"/>
              <w:gridCol w:w="4628"/>
            </w:tblGrid>
            <w:tr w14:paraId="666B0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813" w:type="pct"/>
                  <w:noWrap w:val="0"/>
                  <w:vAlign w:val="center"/>
                </w:tcPr>
                <w:p w14:paraId="68EE166E">
                  <w:pPr>
                    <w:spacing w:line="240" w:lineRule="auto"/>
                    <w:jc w:val="center"/>
                    <w:rPr>
                      <w:rFonts w:hint="default" w:ascii="Times New Roman" w:hAnsi="Times New Roman" w:cs="Times New Roman"/>
                      <w:color w:val="auto"/>
                    </w:rPr>
                  </w:pPr>
                  <w:r>
                    <w:rPr>
                      <w:rFonts w:hint="default" w:ascii="Times New Roman" w:hAnsi="Times New Roman" w:cs="Times New Roman"/>
                      <w:color w:val="auto"/>
                    </w:rPr>
                    <w:t>类别</w:t>
                  </w:r>
                </w:p>
              </w:tc>
              <w:tc>
                <w:tcPr>
                  <w:tcW w:w="1548" w:type="pct"/>
                  <w:noWrap w:val="0"/>
                  <w:vAlign w:val="center"/>
                </w:tcPr>
                <w:p w14:paraId="715640B5">
                  <w:pPr>
                    <w:spacing w:line="240" w:lineRule="auto"/>
                    <w:jc w:val="center"/>
                    <w:rPr>
                      <w:rFonts w:hint="default" w:ascii="Times New Roman" w:hAnsi="Times New Roman" w:cs="Times New Roman"/>
                      <w:color w:val="auto"/>
                    </w:rPr>
                  </w:pPr>
                  <w:r>
                    <w:rPr>
                      <w:rFonts w:hint="default" w:ascii="Times New Roman" w:hAnsi="Times New Roman" w:cs="Times New Roman"/>
                      <w:color w:val="auto"/>
                    </w:rPr>
                    <w:t>污染物</w:t>
                  </w:r>
                </w:p>
              </w:tc>
              <w:tc>
                <w:tcPr>
                  <w:tcW w:w="2637" w:type="pct"/>
                  <w:noWrap w:val="0"/>
                  <w:vAlign w:val="center"/>
                </w:tcPr>
                <w:p w14:paraId="098CC8D8">
                  <w:pPr>
                    <w:spacing w:line="240" w:lineRule="auto"/>
                    <w:jc w:val="center"/>
                    <w:rPr>
                      <w:rFonts w:hint="default" w:ascii="Times New Roman" w:hAnsi="Times New Roman" w:cs="Times New Roman"/>
                      <w:color w:val="auto"/>
                    </w:rPr>
                  </w:pPr>
                  <w:r>
                    <w:rPr>
                      <w:rFonts w:hint="default" w:ascii="Times New Roman" w:hAnsi="Times New Roman" w:cs="Times New Roman"/>
                      <w:color w:val="auto"/>
                    </w:rPr>
                    <w:t>排放量（t/a）</w:t>
                  </w:r>
                </w:p>
              </w:tc>
            </w:tr>
            <w:tr w14:paraId="6B112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813" w:type="pct"/>
                  <w:vMerge w:val="restart"/>
                  <w:noWrap w:val="0"/>
                  <w:vAlign w:val="center"/>
                </w:tcPr>
                <w:p w14:paraId="31A9E06C">
                  <w:pPr>
                    <w:spacing w:line="240" w:lineRule="auto"/>
                    <w:jc w:val="center"/>
                    <w:rPr>
                      <w:rFonts w:hint="default" w:ascii="Times New Roman" w:hAnsi="Times New Roman" w:cs="Times New Roman"/>
                      <w:color w:val="auto"/>
                    </w:rPr>
                  </w:pPr>
                  <w:r>
                    <w:rPr>
                      <w:rFonts w:hint="default" w:ascii="Times New Roman" w:hAnsi="Times New Roman" w:cs="Times New Roman"/>
                      <w:color w:val="auto"/>
                    </w:rPr>
                    <w:t>废气</w:t>
                  </w:r>
                </w:p>
              </w:tc>
              <w:tc>
                <w:tcPr>
                  <w:tcW w:w="1548" w:type="pct"/>
                  <w:noWrap w:val="0"/>
                  <w:vAlign w:val="center"/>
                </w:tcPr>
                <w:p w14:paraId="4979E466">
                  <w:pPr>
                    <w:spacing w:line="240" w:lineRule="auto"/>
                    <w:jc w:val="center"/>
                    <w:rPr>
                      <w:rFonts w:hint="default" w:ascii="Times New Roman" w:hAnsi="Times New Roman" w:cs="Times New Roman"/>
                      <w:color w:val="auto"/>
                    </w:rPr>
                  </w:pPr>
                  <w:r>
                    <w:rPr>
                      <w:rFonts w:hint="default" w:ascii="Times New Roman" w:hAnsi="Times New Roman" w:cs="Times New Roman"/>
                      <w:color w:val="auto"/>
                    </w:rPr>
                    <w:t>颗粒物</w:t>
                  </w:r>
                </w:p>
              </w:tc>
              <w:tc>
                <w:tcPr>
                  <w:tcW w:w="2637" w:type="pct"/>
                  <w:noWrap w:val="0"/>
                  <w:vAlign w:val="center"/>
                </w:tcPr>
                <w:p w14:paraId="454B8DF9">
                  <w:pPr>
                    <w:spacing w:line="240" w:lineRule="auto"/>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少量</w:t>
                  </w:r>
                </w:p>
              </w:tc>
            </w:tr>
            <w:tr w14:paraId="41FEC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813" w:type="pct"/>
                  <w:vMerge w:val="continue"/>
                  <w:noWrap w:val="0"/>
                  <w:vAlign w:val="center"/>
                </w:tcPr>
                <w:p w14:paraId="1DDF93D2">
                  <w:pPr>
                    <w:spacing w:line="240" w:lineRule="auto"/>
                    <w:rPr>
                      <w:rFonts w:hint="default" w:ascii="Times New Roman" w:hAnsi="Times New Roman" w:cs="Times New Roman"/>
                      <w:color w:val="auto"/>
                    </w:rPr>
                  </w:pPr>
                </w:p>
              </w:tc>
              <w:tc>
                <w:tcPr>
                  <w:tcW w:w="1548" w:type="pct"/>
                  <w:noWrap w:val="0"/>
                  <w:vAlign w:val="center"/>
                </w:tcPr>
                <w:p w14:paraId="40803287">
                  <w:pPr>
                    <w:spacing w:line="240" w:lineRule="auto"/>
                    <w:jc w:val="center"/>
                    <w:rPr>
                      <w:rFonts w:hint="default" w:ascii="Times New Roman" w:hAnsi="Times New Roman" w:cs="Times New Roman"/>
                      <w:color w:val="auto"/>
                    </w:rPr>
                  </w:pPr>
                  <w:r>
                    <w:rPr>
                      <w:rFonts w:hint="default" w:ascii="Times New Roman" w:hAnsi="Times New Roman" w:cs="Times New Roman"/>
                      <w:color w:val="auto"/>
                    </w:rPr>
                    <w:t>非甲烷总烃</w:t>
                  </w:r>
                </w:p>
              </w:tc>
              <w:tc>
                <w:tcPr>
                  <w:tcW w:w="2637" w:type="pct"/>
                  <w:noWrap w:val="0"/>
                  <w:vAlign w:val="center"/>
                </w:tcPr>
                <w:p w14:paraId="77FEFE48">
                  <w:pPr>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0.01722</w:t>
                  </w:r>
                </w:p>
              </w:tc>
            </w:tr>
          </w:tbl>
          <w:p w14:paraId="093CE597">
            <w:pPr>
              <w:pStyle w:val="20"/>
              <w:keepNext w:val="0"/>
              <w:keepLines w:val="0"/>
              <w:pageBreakBefore w:val="0"/>
              <w:widowControl w:val="0"/>
              <w:kinsoku/>
              <w:wordWrap/>
              <w:overflowPunct/>
              <w:topLinePunct w:val="0"/>
              <w:autoSpaceDE/>
              <w:autoSpaceDN/>
              <w:bidi w:val="0"/>
              <w:adjustRightInd/>
              <w:snapToGrid/>
              <w:spacing w:after="0" w:line="240" w:lineRule="auto"/>
              <w:ind w:left="0" w:leftChars="0"/>
              <w:jc w:val="center"/>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表2.7-1</w:t>
            </w:r>
            <w:r>
              <w:rPr>
                <w:rFonts w:hint="eastAsia" w:cs="Times New Roman"/>
                <w:b/>
                <w:color w:val="auto"/>
                <w:sz w:val="24"/>
                <w:lang w:val="en-US" w:eastAsia="zh-CN"/>
              </w:rPr>
              <w:t>2</w:t>
            </w:r>
            <w:r>
              <w:rPr>
                <w:rFonts w:hint="default" w:ascii="Times New Roman" w:hAnsi="Times New Roman" w:cs="Times New Roman"/>
                <w:b/>
                <w:color w:val="auto"/>
                <w:sz w:val="24"/>
              </w:rPr>
              <w:t xml:space="preserve">   现有</w:t>
            </w:r>
            <w:r>
              <w:rPr>
                <w:rFonts w:hint="eastAsia" w:cs="Times New Roman"/>
                <w:b/>
                <w:color w:val="auto"/>
                <w:sz w:val="24"/>
                <w:lang w:eastAsia="zh-CN"/>
              </w:rPr>
              <w:t>工程</w:t>
            </w:r>
            <w:r>
              <w:rPr>
                <w:rFonts w:hint="default" w:ascii="Times New Roman" w:hAnsi="Times New Roman" w:cs="Times New Roman"/>
                <w:b/>
                <w:color w:val="auto"/>
                <w:sz w:val="24"/>
              </w:rPr>
              <w:t>废水污染物排放总量一览表</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2"/>
              <w:gridCol w:w="2782"/>
              <w:gridCol w:w="4564"/>
            </w:tblGrid>
            <w:tr w14:paraId="034E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2" w:type="dxa"/>
                  <w:noWrap w:val="0"/>
                  <w:vAlign w:val="center"/>
                </w:tcPr>
                <w:p w14:paraId="0D5655F4">
                  <w:pPr>
                    <w:keepNext w:val="0"/>
                    <w:keepLines w:val="0"/>
                    <w:widowControl/>
                    <w:suppressLineNumbers w:val="0"/>
                    <w:jc w:val="center"/>
                    <w:textAlignment w:val="center"/>
                    <w:rPr>
                      <w:rFonts w:hint="eastAsia" w:ascii="Times New Roman" w:hAnsi="Times New Roman" w:eastAsia="宋体" w:cs="Times New Roman"/>
                      <w:color w:val="auto"/>
                      <w:szCs w:val="21"/>
                      <w:lang w:eastAsia="zh-CN"/>
                    </w:rPr>
                  </w:pPr>
                  <w:r>
                    <w:rPr>
                      <w:rFonts w:hint="eastAsia" w:ascii="宋体" w:hAnsi="宋体" w:eastAsia="宋体" w:cs="宋体"/>
                      <w:i w:val="0"/>
                      <w:iCs w:val="0"/>
                      <w:color w:val="0000FF"/>
                      <w:kern w:val="0"/>
                      <w:sz w:val="21"/>
                      <w:szCs w:val="21"/>
                      <w:u w:val="none"/>
                      <w:lang w:val="en-US" w:eastAsia="zh-CN" w:bidi="ar"/>
                    </w:rPr>
                    <w:t>污染源</w:t>
                  </w:r>
                </w:p>
              </w:tc>
              <w:tc>
                <w:tcPr>
                  <w:tcW w:w="2782" w:type="dxa"/>
                  <w:noWrap w:val="0"/>
                  <w:vAlign w:val="center"/>
                </w:tcPr>
                <w:p w14:paraId="2B9B9100">
                  <w:pPr>
                    <w:keepNext w:val="0"/>
                    <w:keepLines w:val="0"/>
                    <w:widowControl/>
                    <w:suppressLineNumbers w:val="0"/>
                    <w:jc w:val="center"/>
                    <w:textAlignment w:val="center"/>
                    <w:rPr>
                      <w:rFonts w:hint="default" w:ascii="Times New Roman" w:hAnsi="Times New Roman" w:cs="Times New Roman"/>
                      <w:color w:val="auto"/>
                      <w:szCs w:val="21"/>
                    </w:rPr>
                  </w:pPr>
                  <w:r>
                    <w:rPr>
                      <w:rFonts w:hint="eastAsia" w:ascii="宋体" w:hAnsi="宋体" w:eastAsia="宋体" w:cs="宋体"/>
                      <w:i w:val="0"/>
                      <w:iCs w:val="0"/>
                      <w:color w:val="0000FF"/>
                      <w:kern w:val="0"/>
                      <w:sz w:val="21"/>
                      <w:szCs w:val="21"/>
                      <w:u w:val="none"/>
                      <w:lang w:val="en-US" w:eastAsia="zh-CN" w:bidi="ar"/>
                    </w:rPr>
                    <w:t>污染物</w:t>
                  </w:r>
                </w:p>
              </w:tc>
              <w:tc>
                <w:tcPr>
                  <w:tcW w:w="4564" w:type="dxa"/>
                  <w:noWrap w:val="0"/>
                  <w:vAlign w:val="center"/>
                </w:tcPr>
                <w:p w14:paraId="07A32F29">
                  <w:pPr>
                    <w:keepNext w:val="0"/>
                    <w:keepLines w:val="0"/>
                    <w:widowControl/>
                    <w:suppressLineNumbers w:val="0"/>
                    <w:jc w:val="center"/>
                    <w:textAlignment w:val="center"/>
                    <w:rPr>
                      <w:rFonts w:hint="default" w:ascii="Times New Roman" w:hAnsi="Times New Roman" w:cs="Times New Roman"/>
                      <w:color w:val="auto"/>
                      <w:szCs w:val="21"/>
                    </w:rPr>
                  </w:pPr>
                  <w:r>
                    <w:rPr>
                      <w:rFonts w:hint="eastAsia" w:ascii="宋体" w:hAnsi="宋体" w:eastAsia="宋体" w:cs="宋体"/>
                      <w:i w:val="0"/>
                      <w:iCs w:val="0"/>
                      <w:color w:val="0000FF"/>
                      <w:kern w:val="0"/>
                      <w:sz w:val="21"/>
                      <w:szCs w:val="21"/>
                      <w:u w:val="none"/>
                      <w:lang w:val="en-US" w:eastAsia="zh-CN" w:bidi="ar"/>
                    </w:rPr>
                    <w:t>排放量（</w:t>
                  </w:r>
                  <w:r>
                    <w:rPr>
                      <w:rFonts w:hint="default" w:ascii="Times New Roman" w:hAnsi="Times New Roman" w:eastAsia="宋体" w:cs="Times New Roman"/>
                      <w:i w:val="0"/>
                      <w:iCs w:val="0"/>
                      <w:color w:val="0000FF"/>
                      <w:kern w:val="0"/>
                      <w:sz w:val="21"/>
                      <w:szCs w:val="21"/>
                      <w:u w:val="none"/>
                      <w:lang w:val="en-US" w:eastAsia="zh-CN" w:bidi="ar"/>
                    </w:rPr>
                    <w:t>t/a</w:t>
                  </w:r>
                  <w:r>
                    <w:rPr>
                      <w:rFonts w:hint="eastAsia" w:ascii="宋体" w:hAnsi="宋体" w:eastAsia="宋体" w:cs="宋体"/>
                      <w:i w:val="0"/>
                      <w:iCs w:val="0"/>
                      <w:color w:val="0000FF"/>
                      <w:kern w:val="0"/>
                      <w:sz w:val="21"/>
                      <w:szCs w:val="21"/>
                      <w:u w:val="none"/>
                      <w:lang w:val="en-US" w:eastAsia="zh-CN" w:bidi="ar"/>
                    </w:rPr>
                    <w:t>）</w:t>
                  </w:r>
                </w:p>
              </w:tc>
            </w:tr>
            <w:tr w14:paraId="1F545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2" w:type="dxa"/>
                  <w:vMerge w:val="restart"/>
                  <w:noWrap w:val="0"/>
                  <w:vAlign w:val="center"/>
                </w:tcPr>
                <w:p w14:paraId="6113DCB3">
                  <w:pPr>
                    <w:keepNext w:val="0"/>
                    <w:keepLines w:val="0"/>
                    <w:widowControl/>
                    <w:suppressLineNumbers w:val="0"/>
                    <w:jc w:val="center"/>
                    <w:textAlignment w:val="center"/>
                    <w:rPr>
                      <w:rFonts w:hint="default" w:ascii="Times New Roman" w:hAnsi="Times New Roman" w:cs="Times New Roman"/>
                      <w:color w:val="auto"/>
                      <w:szCs w:val="21"/>
                    </w:rPr>
                  </w:pPr>
                  <w:r>
                    <w:rPr>
                      <w:rFonts w:hint="eastAsia" w:ascii="宋体" w:hAnsi="宋体" w:eastAsia="宋体" w:cs="宋体"/>
                      <w:i w:val="0"/>
                      <w:iCs w:val="0"/>
                      <w:color w:val="0000FF"/>
                      <w:kern w:val="0"/>
                      <w:sz w:val="21"/>
                      <w:szCs w:val="21"/>
                      <w:u w:val="none"/>
                      <w:lang w:val="en-US" w:eastAsia="zh-CN" w:bidi="ar"/>
                    </w:rPr>
                    <w:t>废水</w:t>
                  </w:r>
                </w:p>
              </w:tc>
              <w:tc>
                <w:tcPr>
                  <w:tcW w:w="2782" w:type="dxa"/>
                  <w:noWrap w:val="0"/>
                  <w:vAlign w:val="center"/>
                </w:tcPr>
                <w:p w14:paraId="738AE199">
                  <w:pPr>
                    <w:keepNext w:val="0"/>
                    <w:keepLines w:val="0"/>
                    <w:widowControl/>
                    <w:suppressLineNumbers w:val="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0000FF"/>
                      <w:kern w:val="0"/>
                      <w:sz w:val="21"/>
                      <w:szCs w:val="21"/>
                      <w:u w:val="none"/>
                      <w:lang w:val="en-US" w:eastAsia="zh-CN" w:bidi="ar"/>
                    </w:rPr>
                    <w:t>SS</w:t>
                  </w:r>
                </w:p>
              </w:tc>
              <w:tc>
                <w:tcPr>
                  <w:tcW w:w="4564" w:type="dxa"/>
                  <w:noWrap w:val="0"/>
                  <w:vAlign w:val="center"/>
                </w:tcPr>
                <w:p w14:paraId="6EFF838B">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0000FF"/>
                      <w:kern w:val="0"/>
                      <w:sz w:val="22"/>
                      <w:szCs w:val="22"/>
                      <w:u w:val="none"/>
                      <w:lang w:val="en-US" w:eastAsia="zh-CN" w:bidi="ar"/>
                    </w:rPr>
                    <w:t>0.7014</w:t>
                  </w:r>
                </w:p>
              </w:tc>
            </w:tr>
            <w:tr w14:paraId="504AF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2" w:type="dxa"/>
                  <w:vMerge w:val="continue"/>
                  <w:noWrap w:val="0"/>
                  <w:vAlign w:val="center"/>
                </w:tcPr>
                <w:p w14:paraId="543CC2AF">
                  <w:pPr>
                    <w:jc w:val="center"/>
                    <w:rPr>
                      <w:rFonts w:hint="default" w:ascii="Times New Roman" w:hAnsi="Times New Roman" w:cs="Times New Roman"/>
                      <w:color w:val="auto"/>
                      <w:szCs w:val="21"/>
                    </w:rPr>
                  </w:pPr>
                </w:p>
              </w:tc>
              <w:tc>
                <w:tcPr>
                  <w:tcW w:w="2782" w:type="dxa"/>
                  <w:noWrap w:val="0"/>
                  <w:vAlign w:val="center"/>
                </w:tcPr>
                <w:p w14:paraId="2ADC0855">
                  <w:pPr>
                    <w:keepNext w:val="0"/>
                    <w:keepLines w:val="0"/>
                    <w:widowControl/>
                    <w:suppressLineNumbers w:val="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FF"/>
                      <w:kern w:val="0"/>
                      <w:sz w:val="21"/>
                      <w:szCs w:val="21"/>
                      <w:u w:val="none"/>
                      <w:lang w:val="en-US" w:eastAsia="zh-CN" w:bidi="ar"/>
                    </w:rPr>
                    <w:t>COD</w:t>
                  </w:r>
                </w:p>
              </w:tc>
              <w:tc>
                <w:tcPr>
                  <w:tcW w:w="4564" w:type="dxa"/>
                  <w:noWrap w:val="0"/>
                  <w:vAlign w:val="center"/>
                </w:tcPr>
                <w:p w14:paraId="5094C16E">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0000FF"/>
                      <w:kern w:val="0"/>
                      <w:sz w:val="22"/>
                      <w:szCs w:val="22"/>
                      <w:u w:val="none"/>
                      <w:lang w:val="en-US" w:eastAsia="zh-CN" w:bidi="ar"/>
                    </w:rPr>
                    <w:t>0.134</w:t>
                  </w:r>
                </w:p>
              </w:tc>
            </w:tr>
            <w:tr w14:paraId="1AEED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2" w:type="dxa"/>
                  <w:vMerge w:val="continue"/>
                  <w:noWrap w:val="0"/>
                  <w:vAlign w:val="center"/>
                </w:tcPr>
                <w:p w14:paraId="6B01BE87">
                  <w:pPr>
                    <w:jc w:val="center"/>
                    <w:rPr>
                      <w:rFonts w:hint="default" w:ascii="Times New Roman" w:hAnsi="Times New Roman" w:cs="Times New Roman"/>
                      <w:color w:val="auto"/>
                      <w:szCs w:val="21"/>
                    </w:rPr>
                  </w:pPr>
                </w:p>
              </w:tc>
              <w:tc>
                <w:tcPr>
                  <w:tcW w:w="2782" w:type="dxa"/>
                  <w:noWrap w:val="0"/>
                  <w:vAlign w:val="center"/>
                </w:tcPr>
                <w:p w14:paraId="625B286D">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0000FF"/>
                      <w:kern w:val="0"/>
                      <w:sz w:val="21"/>
                      <w:szCs w:val="21"/>
                      <w:u w:val="none"/>
                      <w:lang w:val="en-US" w:eastAsia="zh-CN" w:bidi="ar"/>
                    </w:rPr>
                    <w:t>BOD</w:t>
                  </w:r>
                  <w:r>
                    <w:rPr>
                      <w:rFonts w:hint="default" w:ascii="Times New Roman" w:hAnsi="Times New Roman" w:eastAsia="宋体" w:cs="Times New Roman"/>
                      <w:i w:val="0"/>
                      <w:iCs w:val="0"/>
                      <w:color w:val="0000FF"/>
                      <w:kern w:val="0"/>
                      <w:sz w:val="21"/>
                      <w:szCs w:val="21"/>
                      <w:u w:val="none"/>
                      <w:vertAlign w:val="subscript"/>
                      <w:lang w:val="en-US" w:eastAsia="zh-CN" w:bidi="ar"/>
                    </w:rPr>
                    <w:t>5</w:t>
                  </w:r>
                </w:p>
              </w:tc>
              <w:tc>
                <w:tcPr>
                  <w:tcW w:w="4564" w:type="dxa"/>
                  <w:noWrap w:val="0"/>
                  <w:vAlign w:val="center"/>
                </w:tcPr>
                <w:p w14:paraId="797A430B">
                  <w:pPr>
                    <w:keepNext w:val="0"/>
                    <w:keepLines w:val="0"/>
                    <w:widowControl/>
                    <w:suppressLineNumbers w:val="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eastAsia="宋体" w:cs="Times New Roman"/>
                      <w:i w:val="0"/>
                      <w:iCs w:val="0"/>
                      <w:color w:val="0000FF"/>
                      <w:kern w:val="0"/>
                      <w:sz w:val="22"/>
                      <w:szCs w:val="22"/>
                      <w:u w:val="none"/>
                      <w:lang w:val="en-US" w:eastAsia="zh-CN" w:bidi="ar"/>
                    </w:rPr>
                    <w:t>0.0479</w:t>
                  </w:r>
                </w:p>
              </w:tc>
            </w:tr>
            <w:tr w14:paraId="4517C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02" w:type="dxa"/>
                  <w:vMerge w:val="continue"/>
                  <w:noWrap w:val="0"/>
                  <w:vAlign w:val="center"/>
                </w:tcPr>
                <w:p w14:paraId="62E2DC36">
                  <w:pPr>
                    <w:jc w:val="center"/>
                    <w:rPr>
                      <w:rFonts w:hint="default" w:ascii="Times New Roman" w:hAnsi="Times New Roman" w:cs="Times New Roman"/>
                      <w:color w:val="auto"/>
                      <w:szCs w:val="21"/>
                    </w:rPr>
                  </w:pPr>
                </w:p>
              </w:tc>
              <w:tc>
                <w:tcPr>
                  <w:tcW w:w="2782" w:type="dxa"/>
                  <w:noWrap w:val="0"/>
                  <w:vAlign w:val="center"/>
                </w:tcPr>
                <w:p w14:paraId="033A3A15">
                  <w:pPr>
                    <w:keepNext w:val="0"/>
                    <w:keepLines w:val="0"/>
                    <w:widowControl/>
                    <w:suppressLineNumbers w:val="0"/>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0000FF"/>
                      <w:kern w:val="0"/>
                      <w:sz w:val="21"/>
                      <w:szCs w:val="21"/>
                      <w:u w:val="none"/>
                      <w:lang w:val="en-US" w:eastAsia="zh-CN" w:bidi="ar"/>
                    </w:rPr>
                    <w:t>NH</w:t>
                  </w:r>
                  <w:r>
                    <w:rPr>
                      <w:rFonts w:hint="default" w:ascii="Times New Roman" w:hAnsi="Times New Roman" w:eastAsia="宋体" w:cs="Times New Roman"/>
                      <w:i w:val="0"/>
                      <w:iCs w:val="0"/>
                      <w:color w:val="0000FF"/>
                      <w:kern w:val="0"/>
                      <w:sz w:val="21"/>
                      <w:szCs w:val="21"/>
                      <w:u w:val="none"/>
                      <w:vertAlign w:val="subscript"/>
                      <w:lang w:val="en-US" w:eastAsia="zh-CN" w:bidi="ar"/>
                    </w:rPr>
                    <w:t>3</w:t>
                  </w:r>
                  <w:r>
                    <w:rPr>
                      <w:rFonts w:hint="default" w:ascii="Times New Roman" w:hAnsi="Times New Roman" w:eastAsia="宋体" w:cs="Times New Roman"/>
                      <w:i w:val="0"/>
                      <w:iCs w:val="0"/>
                      <w:color w:val="0000FF"/>
                      <w:kern w:val="0"/>
                      <w:sz w:val="21"/>
                      <w:szCs w:val="21"/>
                      <w:u w:val="none"/>
                      <w:lang w:val="en-US" w:eastAsia="zh-CN" w:bidi="ar"/>
                    </w:rPr>
                    <w:t>-N</w:t>
                  </w:r>
                </w:p>
              </w:tc>
              <w:tc>
                <w:tcPr>
                  <w:tcW w:w="4564" w:type="dxa"/>
                  <w:noWrap w:val="0"/>
                  <w:vAlign w:val="center"/>
                </w:tcPr>
                <w:p w14:paraId="31125337">
                  <w:pPr>
                    <w:keepNext w:val="0"/>
                    <w:keepLines w:val="0"/>
                    <w:widowControl/>
                    <w:suppressLineNumbers w:val="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eastAsia="宋体" w:cs="Times New Roman"/>
                      <w:i w:val="0"/>
                      <w:iCs w:val="0"/>
                      <w:color w:val="0000FF"/>
                      <w:kern w:val="0"/>
                      <w:sz w:val="22"/>
                      <w:szCs w:val="22"/>
                      <w:u w:val="none"/>
                      <w:lang w:val="en-US" w:eastAsia="zh-CN" w:bidi="ar"/>
                    </w:rPr>
                    <w:t>0.0117</w:t>
                  </w:r>
                </w:p>
              </w:tc>
            </w:tr>
          </w:tbl>
          <w:p w14:paraId="2D7E45B5">
            <w:pPr>
              <w:spacing w:line="240" w:lineRule="auto"/>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表2.7-1</w:t>
            </w:r>
            <w:r>
              <w:rPr>
                <w:rFonts w:hint="eastAsia" w:cs="Times New Roman"/>
                <w:b/>
                <w:bCs/>
                <w:color w:val="auto"/>
                <w:sz w:val="24"/>
                <w:lang w:val="en-US" w:eastAsia="zh-CN"/>
              </w:rPr>
              <w:t>3</w:t>
            </w:r>
            <w:r>
              <w:rPr>
                <w:rFonts w:hint="default" w:ascii="Times New Roman" w:hAnsi="Times New Roman" w:cs="Times New Roman"/>
                <w:b/>
                <w:bCs/>
                <w:color w:val="auto"/>
                <w:sz w:val="24"/>
              </w:rPr>
              <w:t xml:space="preserve">   现有</w:t>
            </w:r>
            <w:r>
              <w:rPr>
                <w:rFonts w:hint="eastAsia" w:cs="Times New Roman"/>
                <w:b/>
                <w:bCs/>
                <w:color w:val="auto"/>
                <w:sz w:val="24"/>
                <w:lang w:eastAsia="zh-CN"/>
              </w:rPr>
              <w:t>工程</w:t>
            </w:r>
            <w:r>
              <w:rPr>
                <w:rFonts w:hint="default" w:ascii="Times New Roman" w:hAnsi="Times New Roman" w:cs="Times New Roman"/>
                <w:b/>
                <w:bCs/>
                <w:color w:val="auto"/>
                <w:sz w:val="24"/>
              </w:rPr>
              <w:t>固体废物产生及排放情况一览表</w:t>
            </w:r>
          </w:p>
          <w:tbl>
            <w:tblPr>
              <w:tblStyle w:val="35"/>
              <w:tblW w:w="8654"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3"/>
              <w:gridCol w:w="1484"/>
              <w:gridCol w:w="1419"/>
              <w:gridCol w:w="3528"/>
            </w:tblGrid>
            <w:tr w14:paraId="10B17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23" w:type="dxa"/>
                  <w:noWrap w:val="0"/>
                  <w:vAlign w:val="center"/>
                </w:tcPr>
                <w:p w14:paraId="71C5EF8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固体废物名称</w:t>
                  </w:r>
                </w:p>
              </w:tc>
              <w:tc>
                <w:tcPr>
                  <w:tcW w:w="1484" w:type="dxa"/>
                  <w:noWrap w:val="0"/>
                  <w:vAlign w:val="center"/>
                </w:tcPr>
                <w:p w14:paraId="0ACE4BF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固体废物类别</w:t>
                  </w:r>
                </w:p>
              </w:tc>
              <w:tc>
                <w:tcPr>
                  <w:tcW w:w="1419" w:type="dxa"/>
                  <w:noWrap w:val="0"/>
                  <w:vAlign w:val="center"/>
                </w:tcPr>
                <w:p w14:paraId="45DE9A2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产生量（t/a）</w:t>
                  </w:r>
                </w:p>
              </w:tc>
              <w:tc>
                <w:tcPr>
                  <w:tcW w:w="3528" w:type="dxa"/>
                  <w:noWrap w:val="0"/>
                  <w:vAlign w:val="center"/>
                </w:tcPr>
                <w:p w14:paraId="3583A86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处置方式</w:t>
                  </w:r>
                </w:p>
              </w:tc>
            </w:tr>
            <w:tr w14:paraId="292D0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23" w:type="dxa"/>
                  <w:noWrap w:val="0"/>
                  <w:vAlign w:val="center"/>
                </w:tcPr>
                <w:p w14:paraId="22677C7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塑胶边角料、不合格品</w:t>
                  </w:r>
                </w:p>
              </w:tc>
              <w:tc>
                <w:tcPr>
                  <w:tcW w:w="1484" w:type="dxa"/>
                  <w:vMerge w:val="restart"/>
                  <w:noWrap w:val="0"/>
                  <w:vAlign w:val="center"/>
                </w:tcPr>
                <w:p w14:paraId="4E701BD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一般工业固废</w:t>
                  </w:r>
                </w:p>
              </w:tc>
              <w:tc>
                <w:tcPr>
                  <w:tcW w:w="1419" w:type="dxa"/>
                  <w:noWrap w:val="0"/>
                  <w:vAlign w:val="center"/>
                </w:tcPr>
                <w:p w14:paraId="0D6B532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0.003</w:t>
                  </w:r>
                </w:p>
              </w:tc>
              <w:tc>
                <w:tcPr>
                  <w:tcW w:w="3528" w:type="dxa"/>
                  <w:noWrap w:val="0"/>
                  <w:vAlign w:val="center"/>
                </w:tcPr>
                <w:p w14:paraId="4052A50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经破碎机破碎后回用于生产</w:t>
                  </w:r>
                </w:p>
              </w:tc>
            </w:tr>
            <w:tr w14:paraId="1B2DC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23" w:type="dxa"/>
                  <w:noWrap w:val="0"/>
                  <w:vAlign w:val="center"/>
                </w:tcPr>
                <w:p w14:paraId="5485D2E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废包装材料</w:t>
                  </w:r>
                </w:p>
              </w:tc>
              <w:tc>
                <w:tcPr>
                  <w:tcW w:w="1484" w:type="dxa"/>
                  <w:vMerge w:val="continue"/>
                  <w:noWrap w:val="0"/>
                  <w:vAlign w:val="center"/>
                </w:tcPr>
                <w:p w14:paraId="324B4D5C">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419" w:type="dxa"/>
                  <w:noWrap w:val="0"/>
                  <w:vAlign w:val="center"/>
                </w:tcPr>
                <w:p w14:paraId="277933F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0.0003</w:t>
                  </w:r>
                </w:p>
              </w:tc>
              <w:tc>
                <w:tcPr>
                  <w:tcW w:w="3528" w:type="dxa"/>
                  <w:noWrap w:val="0"/>
                  <w:vAlign w:val="center"/>
                </w:tcPr>
                <w:p w14:paraId="5274A79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废品回收单位回收处理</w:t>
                  </w:r>
                </w:p>
              </w:tc>
            </w:tr>
            <w:tr w14:paraId="6EC43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23" w:type="dxa"/>
                  <w:noWrap w:val="0"/>
                  <w:vAlign w:val="center"/>
                </w:tcPr>
                <w:p w14:paraId="1F367A6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生活垃圾</w:t>
                  </w:r>
                </w:p>
              </w:tc>
              <w:tc>
                <w:tcPr>
                  <w:tcW w:w="1484" w:type="dxa"/>
                  <w:vMerge w:val="continue"/>
                  <w:noWrap w:val="0"/>
                  <w:vAlign w:val="center"/>
                </w:tcPr>
                <w:p w14:paraId="3EFBB0C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1419" w:type="dxa"/>
                  <w:noWrap w:val="0"/>
                  <w:vAlign w:val="center"/>
                </w:tcPr>
                <w:p w14:paraId="6A94543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0.04</w:t>
                  </w:r>
                </w:p>
              </w:tc>
              <w:tc>
                <w:tcPr>
                  <w:tcW w:w="3528" w:type="dxa"/>
                  <w:noWrap w:val="0"/>
                  <w:vAlign w:val="center"/>
                </w:tcPr>
                <w:p w14:paraId="7119A8D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环卫部门统一清运</w:t>
                  </w:r>
                </w:p>
              </w:tc>
            </w:tr>
            <w:tr w14:paraId="06015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23" w:type="dxa"/>
                  <w:noWrap w:val="0"/>
                  <w:vAlign w:val="center"/>
                </w:tcPr>
                <w:p w14:paraId="56D4547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废活性炭</w:t>
                  </w:r>
                </w:p>
              </w:tc>
              <w:tc>
                <w:tcPr>
                  <w:tcW w:w="1484" w:type="dxa"/>
                  <w:noWrap w:val="0"/>
                  <w:vAlign w:val="center"/>
                </w:tcPr>
                <w:p w14:paraId="2845820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危险固废</w:t>
                  </w:r>
                </w:p>
              </w:tc>
              <w:tc>
                <w:tcPr>
                  <w:tcW w:w="1419" w:type="dxa"/>
                  <w:noWrap w:val="0"/>
                  <w:vAlign w:val="center"/>
                </w:tcPr>
                <w:p w14:paraId="7E3003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3528" w:type="dxa"/>
                  <w:noWrap w:val="0"/>
                  <w:vAlign w:val="center"/>
                </w:tcPr>
                <w:p w14:paraId="4101975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定期更换并及时由成都兴蓉环保科技股份有限公司运走，厂区内不暂存</w:t>
                  </w:r>
                </w:p>
              </w:tc>
            </w:tr>
          </w:tbl>
          <w:p w14:paraId="376CD0CD">
            <w:pPr>
              <w:pStyle w:val="49"/>
              <w:pageBreakBefore w:val="0"/>
              <w:widowControl w:val="0"/>
              <w:kinsoku/>
              <w:wordWrap/>
              <w:overflowPunct/>
              <w:topLinePunct w:val="0"/>
              <w:autoSpaceDE/>
              <w:autoSpaceDN/>
              <w:bidi w:val="0"/>
              <w:adjustRightInd/>
              <w:snapToGrid/>
              <w:ind w:firstLine="0" w:firstLineChars="0"/>
              <w:rPr>
                <w:rFonts w:hint="default" w:ascii="Times New Roman" w:hAnsi="Times New Roman" w:cs="Times New Roman"/>
                <w:b/>
                <w:bCs/>
                <w:color w:val="auto"/>
                <w:szCs w:val="24"/>
              </w:rPr>
            </w:pPr>
            <w:r>
              <w:rPr>
                <w:rFonts w:hint="default" w:ascii="Times New Roman" w:hAnsi="Times New Roman" w:cs="Times New Roman"/>
                <w:b/>
                <w:bCs/>
                <w:color w:val="auto"/>
                <w:szCs w:val="24"/>
              </w:rPr>
              <w:t>2.7.9 环境风险</w:t>
            </w:r>
          </w:p>
          <w:p w14:paraId="17D8552A">
            <w:pPr>
              <w:pageBreakBefore w:val="0"/>
              <w:widowControl w:val="0"/>
              <w:kinsoku/>
              <w:wordWrap/>
              <w:overflowPunct/>
              <w:topLinePunct w:val="0"/>
              <w:autoSpaceDE/>
              <w:autoSpaceDN/>
              <w:bidi w:val="0"/>
              <w:adjustRightInd/>
              <w:snapToGrid/>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现有</w:t>
            </w:r>
            <w:r>
              <w:rPr>
                <w:rFonts w:hint="eastAsia" w:cs="Times New Roman"/>
                <w:color w:val="auto"/>
                <w:sz w:val="24"/>
                <w:lang w:eastAsia="zh-CN"/>
              </w:rPr>
              <w:t>工程</w:t>
            </w:r>
            <w:r>
              <w:rPr>
                <w:rFonts w:hint="default" w:ascii="Times New Roman" w:hAnsi="Times New Roman" w:cs="Times New Roman"/>
                <w:color w:val="auto"/>
                <w:sz w:val="24"/>
              </w:rPr>
              <w:t>已采取的环境风险防范措施有：</w:t>
            </w:r>
          </w:p>
          <w:p w14:paraId="3ED0E41A">
            <w:pPr>
              <w:pageBreakBefore w:val="0"/>
              <w:widowControl w:val="0"/>
              <w:kinsoku/>
              <w:wordWrap/>
              <w:overflowPunct/>
              <w:topLinePunct w:val="0"/>
              <w:autoSpaceDE/>
              <w:autoSpaceDN/>
              <w:bidi w:val="0"/>
              <w:adjustRightInd/>
              <w:snapToGrid/>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w:t>
            </w:r>
            <w:r>
              <w:rPr>
                <w:rFonts w:hint="default" w:ascii="Times New Roman" w:hAnsi="Times New Roman" w:cs="Times New Roman"/>
                <w:color w:val="auto"/>
                <w:sz w:val="24"/>
                <w:lang w:val="en-US" w:eastAsia="zh-CN"/>
              </w:rPr>
              <w:t>厂房内配置灭火器，设置报警装置</w:t>
            </w:r>
            <w:r>
              <w:rPr>
                <w:rFonts w:hint="default" w:ascii="Times New Roman" w:hAnsi="Times New Roman" w:cs="Times New Roman"/>
                <w:color w:val="auto"/>
                <w:sz w:val="24"/>
              </w:rPr>
              <w:t>。</w:t>
            </w:r>
          </w:p>
          <w:p w14:paraId="32C70395">
            <w:pPr>
              <w:pageBreakBefore w:val="0"/>
              <w:widowControl w:val="0"/>
              <w:kinsoku/>
              <w:wordWrap/>
              <w:overflowPunct/>
              <w:topLinePunct w:val="0"/>
              <w:autoSpaceDE/>
              <w:autoSpaceDN/>
              <w:bidi w:val="0"/>
              <w:adjustRightInd/>
              <w:snapToGrid/>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w:t>
            </w:r>
            <w:r>
              <w:rPr>
                <w:rFonts w:hint="default" w:ascii="Times New Roman" w:hAnsi="Times New Roman" w:cs="Times New Roman"/>
                <w:color w:val="auto"/>
                <w:sz w:val="24"/>
                <w:lang w:val="en-US" w:eastAsia="zh-CN"/>
              </w:rPr>
              <w:t>消防</w:t>
            </w:r>
            <w:r>
              <w:rPr>
                <w:rFonts w:hint="eastAsia" w:ascii="Times New Roman" w:hAnsi="Times New Roman" w:cs="Times New Roman"/>
                <w:color w:val="auto"/>
                <w:sz w:val="24"/>
                <w:lang w:val="en-US" w:eastAsia="zh-CN"/>
              </w:rPr>
              <w:t>设施</w:t>
            </w:r>
            <w:r>
              <w:rPr>
                <w:rFonts w:hint="default" w:ascii="Times New Roman" w:hAnsi="Times New Roman" w:cs="Times New Roman"/>
                <w:color w:val="auto"/>
                <w:sz w:val="24"/>
                <w:lang w:val="en-US" w:eastAsia="zh-CN"/>
              </w:rPr>
              <w:t>定期检查、维护，电器线路定期进行检查、维修</w:t>
            </w:r>
            <w:r>
              <w:rPr>
                <w:rFonts w:hint="default" w:ascii="Times New Roman" w:hAnsi="Times New Roman" w:cs="Times New Roman"/>
                <w:color w:val="auto"/>
                <w:sz w:val="24"/>
              </w:rPr>
              <w:t>。</w:t>
            </w:r>
          </w:p>
          <w:p w14:paraId="5DCE47DB">
            <w:pPr>
              <w:pageBreakBefore w:val="0"/>
              <w:widowControl w:val="0"/>
              <w:kinsoku/>
              <w:wordWrap/>
              <w:overflowPunct/>
              <w:topLinePunct w:val="0"/>
              <w:autoSpaceDE/>
              <w:autoSpaceDN/>
              <w:bidi w:val="0"/>
              <w:adjustRightInd/>
              <w:snapToGrid/>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根据调查，现有</w:t>
            </w:r>
            <w:r>
              <w:rPr>
                <w:rFonts w:hint="eastAsia" w:cs="Times New Roman"/>
                <w:color w:val="auto"/>
                <w:sz w:val="24"/>
                <w:lang w:eastAsia="zh-CN"/>
              </w:rPr>
              <w:t>工程</w:t>
            </w:r>
            <w:r>
              <w:rPr>
                <w:rFonts w:hint="default" w:ascii="Times New Roman" w:hAnsi="Times New Roman" w:cs="Times New Roman"/>
                <w:color w:val="auto"/>
                <w:sz w:val="24"/>
              </w:rPr>
              <w:t>针对各风险源均采取了有效的环境风险防范措施，现有环境风险防范措施均运行正常。现有</w:t>
            </w:r>
            <w:r>
              <w:rPr>
                <w:rFonts w:hint="eastAsia" w:cs="Times New Roman"/>
                <w:color w:val="auto"/>
                <w:sz w:val="24"/>
                <w:lang w:eastAsia="zh-CN"/>
              </w:rPr>
              <w:t>工程</w:t>
            </w:r>
            <w:r>
              <w:rPr>
                <w:rFonts w:hint="default" w:ascii="Times New Roman" w:hAnsi="Times New Roman" w:cs="Times New Roman"/>
                <w:color w:val="auto"/>
                <w:sz w:val="24"/>
              </w:rPr>
              <w:t>运营期间未发生环境风险事故，现有</w:t>
            </w:r>
            <w:r>
              <w:rPr>
                <w:rFonts w:hint="eastAsia" w:cs="Times New Roman"/>
                <w:color w:val="auto"/>
                <w:sz w:val="24"/>
                <w:lang w:eastAsia="zh-CN"/>
              </w:rPr>
              <w:t>工程</w:t>
            </w:r>
            <w:r>
              <w:rPr>
                <w:rFonts w:hint="default" w:ascii="Times New Roman" w:hAnsi="Times New Roman" w:cs="Times New Roman"/>
                <w:color w:val="auto"/>
                <w:sz w:val="24"/>
              </w:rPr>
              <w:t>环境风险防范措施有效，环境风险可接受。</w:t>
            </w:r>
          </w:p>
          <w:p w14:paraId="5DF7AB1B">
            <w:pPr>
              <w:pStyle w:val="49"/>
              <w:pageBreakBefore w:val="0"/>
              <w:widowControl w:val="0"/>
              <w:kinsoku/>
              <w:wordWrap/>
              <w:overflowPunct/>
              <w:topLinePunct w:val="0"/>
              <w:autoSpaceDE/>
              <w:autoSpaceDN/>
              <w:bidi w:val="0"/>
              <w:adjustRightInd/>
              <w:snapToGrid/>
              <w:ind w:firstLine="0" w:firstLineChars="0"/>
              <w:rPr>
                <w:rFonts w:hint="default" w:ascii="Times New Roman" w:hAnsi="Times New Roman" w:cs="Times New Roman"/>
                <w:b/>
                <w:bCs/>
                <w:color w:val="auto"/>
                <w:szCs w:val="24"/>
              </w:rPr>
            </w:pPr>
            <w:r>
              <w:rPr>
                <w:rFonts w:hint="default" w:ascii="Times New Roman" w:hAnsi="Times New Roman" w:cs="Times New Roman"/>
                <w:b/>
                <w:bCs/>
                <w:color w:val="auto"/>
                <w:szCs w:val="24"/>
              </w:rPr>
              <w:t>2.7.10 排污许可制度落实情况</w:t>
            </w:r>
          </w:p>
          <w:p w14:paraId="032A3C93">
            <w:pPr>
              <w:keepNext/>
              <w:keepLines/>
              <w:pageBreakBefore w:val="0"/>
              <w:widowControl w:val="0"/>
              <w:kinsoku/>
              <w:wordWrap/>
              <w:overflowPunct/>
              <w:topLinePunct w:val="0"/>
              <w:autoSpaceDE/>
              <w:autoSpaceDN/>
              <w:bidi w:val="0"/>
              <w:adjustRightInd/>
              <w:snapToGrid/>
              <w:spacing w:line="360" w:lineRule="auto"/>
              <w:ind w:firstLine="482" w:firstLineChars="200"/>
              <w:jc w:val="left"/>
              <w:textAlignment w:val="baseline"/>
              <w:outlineLvl w:val="2"/>
              <w:rPr>
                <w:rFonts w:hint="default" w:ascii="Times New Roman" w:hAnsi="Times New Roman" w:cs="Times New Roman"/>
                <w:b/>
                <w:color w:val="auto"/>
                <w:sz w:val="24"/>
              </w:rPr>
            </w:pPr>
            <w:r>
              <w:rPr>
                <w:rFonts w:hint="default" w:ascii="Times New Roman" w:hAnsi="Times New Roman" w:cs="Times New Roman"/>
                <w:b/>
                <w:color w:val="auto"/>
                <w:sz w:val="24"/>
              </w:rPr>
              <w:t>一、排污许可证申领</w:t>
            </w:r>
          </w:p>
          <w:p w14:paraId="61747EC6">
            <w:pPr>
              <w:pageBreakBefore w:val="0"/>
              <w:widowControl w:val="0"/>
              <w:kinsoku/>
              <w:wordWrap/>
              <w:overflowPunct/>
              <w:topLinePunct w:val="0"/>
              <w:autoSpaceDE/>
              <w:autoSpaceDN/>
              <w:bidi w:val="0"/>
              <w:adjustRightInd/>
              <w:snapToGrid/>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sz w:val="24"/>
              </w:rPr>
              <w:t>202</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年</w:t>
            </w:r>
            <w:r>
              <w:rPr>
                <w:rFonts w:hint="default" w:ascii="Times New Roman" w:hAnsi="Times New Roman" w:cs="Times New Roman"/>
                <w:color w:val="auto"/>
                <w:sz w:val="24"/>
                <w:lang w:val="en-US" w:eastAsia="zh-CN"/>
              </w:rPr>
              <w:t>12</w:t>
            </w:r>
            <w:r>
              <w:rPr>
                <w:rFonts w:hint="default" w:ascii="Times New Roman" w:hAnsi="Times New Roman" w:cs="Times New Roman"/>
                <w:color w:val="auto"/>
                <w:sz w:val="24"/>
              </w:rPr>
              <w:t>月</w:t>
            </w:r>
            <w:r>
              <w:rPr>
                <w:rFonts w:hint="default" w:ascii="Times New Roman" w:hAnsi="Times New Roman" w:cs="Times New Roman"/>
                <w:color w:val="auto"/>
                <w:sz w:val="24"/>
                <w:lang w:val="en-US" w:eastAsia="zh-CN"/>
              </w:rPr>
              <w:t>30</w:t>
            </w:r>
            <w:r>
              <w:rPr>
                <w:rFonts w:hint="default" w:ascii="Times New Roman" w:hAnsi="Times New Roman" w:cs="Times New Roman"/>
                <w:color w:val="auto"/>
                <w:sz w:val="24"/>
              </w:rPr>
              <w:t>日，</w:t>
            </w:r>
            <w:r>
              <w:rPr>
                <w:rFonts w:hint="default" w:ascii="Times New Roman" w:hAnsi="Times New Roman" w:cs="Times New Roman"/>
                <w:color w:val="auto"/>
                <w:sz w:val="24"/>
                <w:lang w:val="en-US" w:eastAsia="zh-CN"/>
              </w:rPr>
              <w:t>达州荣利达精密塑胶有限公司</w:t>
            </w:r>
            <w:r>
              <w:rPr>
                <w:rFonts w:hint="default" w:ascii="Times New Roman" w:hAnsi="Times New Roman" w:cs="Times New Roman"/>
                <w:color w:val="auto"/>
                <w:sz w:val="24"/>
              </w:rPr>
              <w:t>完成固定污染源排污许可申报，获得</w:t>
            </w:r>
            <w:r>
              <w:rPr>
                <w:rFonts w:hint="default" w:ascii="Times New Roman" w:hAnsi="Times New Roman" w:cs="Times New Roman"/>
                <w:color w:val="auto"/>
                <w:sz w:val="24"/>
                <w:lang w:val="en-US" w:eastAsia="zh-CN"/>
              </w:rPr>
              <w:t>大竹县</w:t>
            </w:r>
            <w:r>
              <w:rPr>
                <w:rFonts w:hint="default" w:ascii="Times New Roman" w:hAnsi="Times New Roman" w:cs="Times New Roman"/>
                <w:color w:val="auto"/>
                <w:sz w:val="24"/>
              </w:rPr>
              <w:t>生态环境局下发</w:t>
            </w:r>
            <w:r>
              <w:rPr>
                <w:rFonts w:hint="eastAsia" w:ascii="Times New Roman" w:hAnsi="Times New Roman" w:cs="Times New Roman"/>
                <w:color w:val="auto"/>
                <w:sz w:val="24"/>
                <w:lang w:val="en-US" w:eastAsia="zh-CN"/>
              </w:rPr>
              <w:t>的</w:t>
            </w:r>
            <w:r>
              <w:rPr>
                <w:rFonts w:hint="default" w:ascii="Times New Roman" w:hAnsi="Times New Roman" w:cs="Times New Roman"/>
                <w:color w:val="auto"/>
                <w:sz w:val="24"/>
              </w:rPr>
              <w:t>《固定污染源排污登记回执》（登记编号：</w:t>
            </w:r>
            <w:r>
              <w:rPr>
                <w:rFonts w:hint="default" w:ascii="Times New Roman" w:hAnsi="Times New Roman" w:cs="Times New Roman"/>
                <w:color w:val="auto"/>
                <w:sz w:val="24"/>
                <w:lang w:val="en-US" w:eastAsia="zh-CN"/>
              </w:rPr>
              <w:t>91511724MA6BF6EY3E001Y</w:t>
            </w:r>
            <w:r>
              <w:rPr>
                <w:rFonts w:hint="default" w:ascii="Times New Roman" w:hAnsi="Times New Roman" w:cs="Times New Roman"/>
                <w:color w:val="auto"/>
                <w:sz w:val="24"/>
              </w:rPr>
              <w:t>）。</w:t>
            </w:r>
          </w:p>
          <w:p w14:paraId="736AAF4A">
            <w:pPr>
              <w:pStyle w:val="49"/>
              <w:pageBreakBefore w:val="0"/>
              <w:widowControl w:val="0"/>
              <w:kinsoku/>
              <w:wordWrap/>
              <w:overflowPunct/>
              <w:topLinePunct w:val="0"/>
              <w:autoSpaceDE/>
              <w:autoSpaceDN/>
              <w:bidi w:val="0"/>
              <w:adjustRightInd/>
              <w:snapToGrid/>
              <w:ind w:firstLine="0" w:firstLineChars="0"/>
              <w:rPr>
                <w:rFonts w:hint="default" w:ascii="Times New Roman" w:hAnsi="Times New Roman" w:cs="Times New Roman"/>
                <w:b/>
                <w:bCs/>
                <w:color w:val="auto"/>
                <w:szCs w:val="24"/>
              </w:rPr>
            </w:pPr>
            <w:r>
              <w:rPr>
                <w:rFonts w:hint="default" w:ascii="Times New Roman" w:hAnsi="Times New Roman" w:cs="Times New Roman"/>
                <w:b/>
                <w:bCs/>
                <w:color w:val="auto"/>
                <w:szCs w:val="24"/>
              </w:rPr>
              <w:t>2.7.11 环保投诉情况</w:t>
            </w:r>
          </w:p>
          <w:p w14:paraId="118F9C62">
            <w:pPr>
              <w:pStyle w:val="49"/>
              <w:pageBreakBefore w:val="0"/>
              <w:widowControl w:val="0"/>
              <w:kinsoku/>
              <w:wordWrap/>
              <w:overflowPunct/>
              <w:topLinePunct w:val="0"/>
              <w:autoSpaceDE/>
              <w:autoSpaceDN/>
              <w:bidi w:val="0"/>
              <w:adjustRightInd/>
              <w:snapToGrid/>
              <w:ind w:firstLine="480"/>
              <w:rPr>
                <w:rFonts w:hint="default" w:ascii="Times New Roman" w:hAnsi="Times New Roman" w:cs="Times New Roman"/>
                <w:color w:val="auto"/>
              </w:rPr>
            </w:pPr>
            <w:r>
              <w:rPr>
                <w:rFonts w:hint="default" w:ascii="Times New Roman" w:hAnsi="Times New Roman" w:cs="Times New Roman"/>
                <w:color w:val="auto"/>
              </w:rPr>
              <w:t>经调查，现有</w:t>
            </w:r>
            <w:r>
              <w:rPr>
                <w:rFonts w:hint="eastAsia" w:cs="Times New Roman"/>
                <w:color w:val="auto"/>
                <w:lang w:eastAsia="zh-CN"/>
              </w:rPr>
              <w:t>工程</w:t>
            </w:r>
            <w:r>
              <w:rPr>
                <w:rFonts w:hint="default" w:ascii="Times New Roman" w:hAnsi="Times New Roman" w:cs="Times New Roman"/>
                <w:color w:val="auto"/>
              </w:rPr>
              <w:t>运行至今无环保投诉。</w:t>
            </w:r>
          </w:p>
          <w:p w14:paraId="25C347BE">
            <w:pPr>
              <w:pStyle w:val="49"/>
              <w:pageBreakBefore w:val="0"/>
              <w:widowControl w:val="0"/>
              <w:kinsoku/>
              <w:wordWrap/>
              <w:overflowPunct/>
              <w:topLinePunct w:val="0"/>
              <w:autoSpaceDE/>
              <w:autoSpaceDN/>
              <w:bidi w:val="0"/>
              <w:adjustRightInd/>
              <w:snapToGrid/>
              <w:ind w:firstLine="0" w:firstLineChars="0"/>
              <w:rPr>
                <w:rFonts w:hint="default" w:ascii="Times New Roman" w:hAnsi="Times New Roman" w:cs="Times New Roman"/>
                <w:b/>
                <w:bCs/>
                <w:color w:val="auto"/>
                <w:szCs w:val="24"/>
              </w:rPr>
            </w:pPr>
            <w:r>
              <w:rPr>
                <w:rFonts w:hint="default" w:ascii="Times New Roman" w:hAnsi="Times New Roman" w:cs="Times New Roman"/>
                <w:b/>
                <w:bCs/>
                <w:color w:val="auto"/>
                <w:szCs w:val="24"/>
              </w:rPr>
              <w:t>2.8 现有</w:t>
            </w:r>
            <w:r>
              <w:rPr>
                <w:rFonts w:hint="eastAsia" w:cs="Times New Roman"/>
                <w:b/>
                <w:bCs/>
                <w:color w:val="auto"/>
                <w:szCs w:val="24"/>
                <w:lang w:eastAsia="zh-CN"/>
              </w:rPr>
              <w:t>工程</w:t>
            </w:r>
            <w:r>
              <w:rPr>
                <w:rFonts w:hint="default" w:ascii="Times New Roman" w:hAnsi="Times New Roman" w:cs="Times New Roman"/>
                <w:b/>
                <w:bCs/>
                <w:color w:val="auto"/>
                <w:szCs w:val="24"/>
              </w:rPr>
              <w:t>卫生防护距离落实情况</w:t>
            </w:r>
          </w:p>
          <w:p w14:paraId="683E8363">
            <w:pPr>
              <w:pStyle w:val="49"/>
              <w:pageBreakBefore w:val="0"/>
              <w:widowControl w:val="0"/>
              <w:kinsoku/>
              <w:wordWrap/>
              <w:overflowPunct/>
              <w:topLinePunct w:val="0"/>
              <w:autoSpaceDE/>
              <w:autoSpaceDN/>
              <w:bidi w:val="0"/>
              <w:adjustRightInd/>
              <w:snapToGrid/>
              <w:ind w:firstLine="480"/>
              <w:rPr>
                <w:rFonts w:hint="default" w:ascii="Times New Roman" w:hAnsi="Times New Roman" w:cs="Times New Roman"/>
                <w:color w:val="auto"/>
              </w:rPr>
            </w:pPr>
            <w:r>
              <w:rPr>
                <w:rFonts w:hint="default" w:ascii="Times New Roman" w:hAnsi="Times New Roman" w:cs="Times New Roman"/>
                <w:color w:val="auto"/>
              </w:rPr>
              <w:t>《达州荣利达精密塑胶有限公司</w:t>
            </w:r>
            <w:r>
              <w:rPr>
                <w:rFonts w:hint="default" w:ascii="Times New Roman" w:hAnsi="Times New Roman" w:cs="Times New Roman"/>
                <w:color w:val="auto"/>
                <w:szCs w:val="24"/>
                <w:lang w:val="en-US" w:eastAsia="zh-CN"/>
              </w:rPr>
              <w:t>东莞盈合（达州）大竹精密塑胶生产</w:t>
            </w:r>
            <w:r>
              <w:rPr>
                <w:rFonts w:hint="default" w:ascii="Times New Roman" w:hAnsi="Times New Roman" w:cs="Times New Roman"/>
                <w:color w:val="auto"/>
                <w:szCs w:val="24"/>
              </w:rPr>
              <w:t>环境影响报告表</w:t>
            </w:r>
            <w:r>
              <w:rPr>
                <w:rFonts w:hint="default" w:ascii="Times New Roman" w:hAnsi="Times New Roman" w:cs="Times New Roman"/>
                <w:color w:val="auto"/>
              </w:rPr>
              <w:t>》中均无卫生防护距离要求。</w:t>
            </w:r>
          </w:p>
          <w:p w14:paraId="35BEFF9E">
            <w:pPr>
              <w:pStyle w:val="49"/>
              <w:pageBreakBefore w:val="0"/>
              <w:widowControl w:val="0"/>
              <w:kinsoku/>
              <w:wordWrap/>
              <w:overflowPunct/>
              <w:topLinePunct w:val="0"/>
              <w:autoSpaceDE/>
              <w:autoSpaceDN/>
              <w:bidi w:val="0"/>
              <w:adjustRightInd/>
              <w:snapToGrid/>
              <w:ind w:firstLine="0" w:firstLineChars="0"/>
              <w:rPr>
                <w:rFonts w:hint="default" w:ascii="Times New Roman" w:hAnsi="Times New Roman" w:cs="Times New Roman"/>
                <w:b/>
                <w:bCs/>
                <w:color w:val="auto"/>
                <w:szCs w:val="24"/>
              </w:rPr>
            </w:pPr>
            <w:r>
              <w:rPr>
                <w:rFonts w:hint="default" w:ascii="Times New Roman" w:hAnsi="Times New Roman" w:cs="Times New Roman"/>
                <w:b/>
                <w:bCs/>
                <w:color w:val="auto"/>
                <w:szCs w:val="24"/>
              </w:rPr>
              <w:t>2.9 原有</w:t>
            </w:r>
            <w:r>
              <w:rPr>
                <w:rFonts w:hint="eastAsia" w:cs="Times New Roman"/>
                <w:b/>
                <w:bCs/>
                <w:color w:val="auto"/>
                <w:szCs w:val="24"/>
                <w:lang w:eastAsia="zh-CN"/>
              </w:rPr>
              <w:t>工程</w:t>
            </w:r>
            <w:r>
              <w:rPr>
                <w:rFonts w:hint="default" w:ascii="Times New Roman" w:hAnsi="Times New Roman" w:cs="Times New Roman"/>
                <w:b/>
                <w:bCs/>
                <w:color w:val="auto"/>
                <w:szCs w:val="24"/>
              </w:rPr>
              <w:t>存在的环境问题及搬迁后遗留的环境问题</w:t>
            </w:r>
          </w:p>
          <w:p w14:paraId="67413A33">
            <w:pPr>
              <w:pageBreakBefore w:val="0"/>
              <w:widowControl w:val="0"/>
              <w:tabs>
                <w:tab w:val="left" w:pos="2613"/>
              </w:tabs>
              <w:kinsoku/>
              <w:wordWrap/>
              <w:overflowPunct/>
              <w:topLinePunct w:val="0"/>
              <w:autoSpaceDE/>
              <w:autoSpaceDN/>
              <w:bidi w:val="0"/>
              <w:adjustRightInd/>
              <w:snapToGrid/>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根据现场实地调查，企业在实际建设过程中，落实了原环评中关于各项环境保护措施。</w:t>
            </w:r>
            <w:r>
              <w:rPr>
                <w:rFonts w:hint="default" w:ascii="Times New Roman" w:hAnsi="Times New Roman" w:cs="Times New Roman"/>
                <w:bCs/>
                <w:color w:val="auto"/>
                <w:sz w:val="24"/>
              </w:rPr>
              <w:t>现有</w:t>
            </w:r>
            <w:r>
              <w:rPr>
                <w:rFonts w:hint="eastAsia" w:cs="Times New Roman"/>
                <w:bCs/>
                <w:color w:val="auto"/>
                <w:sz w:val="24"/>
                <w:lang w:eastAsia="zh-CN"/>
              </w:rPr>
              <w:t>工程</w:t>
            </w:r>
            <w:r>
              <w:rPr>
                <w:rFonts w:hint="default" w:ascii="Times New Roman" w:hAnsi="Times New Roman" w:cs="Times New Roman"/>
                <w:bCs/>
                <w:color w:val="auto"/>
                <w:sz w:val="24"/>
              </w:rPr>
              <w:t>废水、废气、噪声均达标排放，现有环保设施有效。现有</w:t>
            </w:r>
            <w:r>
              <w:rPr>
                <w:rFonts w:hint="eastAsia" w:cs="Times New Roman"/>
                <w:bCs/>
                <w:color w:val="auto"/>
                <w:sz w:val="24"/>
                <w:lang w:eastAsia="zh-CN"/>
              </w:rPr>
              <w:t>工程</w:t>
            </w:r>
            <w:r>
              <w:rPr>
                <w:rFonts w:hint="default" w:ascii="Times New Roman" w:hAnsi="Times New Roman" w:cs="Times New Roman"/>
                <w:bCs/>
                <w:color w:val="auto"/>
                <w:sz w:val="24"/>
              </w:rPr>
              <w:t>台账齐全，不存在环境问题。</w:t>
            </w:r>
          </w:p>
          <w:p w14:paraId="44722EC4">
            <w:pPr>
              <w:pageBreakBefore w:val="0"/>
              <w:widowControl w:val="0"/>
              <w:tabs>
                <w:tab w:val="left" w:pos="2613"/>
              </w:tabs>
              <w:kinsoku/>
              <w:wordWrap/>
              <w:overflowPunct/>
              <w:topLinePunct w:val="0"/>
              <w:autoSpaceDE/>
              <w:autoSpaceDN/>
              <w:bidi w:val="0"/>
              <w:adjustRightInd/>
              <w:snapToGrid/>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bCs/>
                <w:color w:val="auto"/>
                <w:kern w:val="0"/>
                <w:sz w:val="24"/>
              </w:rPr>
              <w:t>根据</w:t>
            </w:r>
            <w:r>
              <w:rPr>
                <w:rFonts w:hint="default" w:ascii="Times New Roman" w:hAnsi="Times New Roman" w:cs="Times New Roman"/>
                <w:color w:val="auto"/>
                <w:sz w:val="24"/>
              </w:rPr>
              <w:t>调查</w:t>
            </w:r>
            <w:r>
              <w:rPr>
                <w:rFonts w:hint="default" w:ascii="Times New Roman" w:hAnsi="Times New Roman" w:cs="Times New Roman"/>
                <w:bCs/>
                <w:color w:val="auto"/>
                <w:kern w:val="0"/>
                <w:sz w:val="24"/>
              </w:rPr>
              <w:t>，现有</w:t>
            </w:r>
            <w:r>
              <w:rPr>
                <w:rFonts w:hint="eastAsia" w:cs="Times New Roman"/>
                <w:bCs/>
                <w:color w:val="auto"/>
                <w:kern w:val="0"/>
                <w:sz w:val="24"/>
                <w:lang w:eastAsia="zh-CN"/>
              </w:rPr>
              <w:t>工程</w:t>
            </w:r>
            <w:r>
              <w:rPr>
                <w:rFonts w:hint="default" w:ascii="Times New Roman" w:hAnsi="Times New Roman" w:cs="Times New Roman"/>
                <w:bCs/>
                <w:color w:val="auto"/>
                <w:kern w:val="0"/>
                <w:sz w:val="24"/>
              </w:rPr>
              <w:t>运行至今未发生环境纠纷、环保信访事件，未收到环保行政处罚及其他违法违规问题。企业能够遵守国家和地方的环境保护法律法规，</w:t>
            </w:r>
            <w:r>
              <w:rPr>
                <w:rFonts w:hint="eastAsia" w:cs="Times New Roman"/>
                <w:bCs/>
                <w:color w:val="auto"/>
                <w:kern w:val="0"/>
                <w:sz w:val="24"/>
                <w:lang w:eastAsia="zh-CN"/>
              </w:rPr>
              <w:t>工程</w:t>
            </w:r>
            <w:r>
              <w:rPr>
                <w:rFonts w:hint="default" w:ascii="Times New Roman" w:hAnsi="Times New Roman" w:cs="Times New Roman"/>
                <w:bCs/>
                <w:color w:val="auto"/>
                <w:kern w:val="0"/>
                <w:sz w:val="24"/>
              </w:rPr>
              <w:t>投产以来未发生过重大环境事故。</w:t>
            </w:r>
          </w:p>
          <w:p w14:paraId="6DCEB73C">
            <w:pPr>
              <w:pageBreakBefore w:val="0"/>
              <w:widowControl w:val="0"/>
              <w:tabs>
                <w:tab w:val="left" w:pos="2613"/>
              </w:tabs>
              <w:kinsoku/>
              <w:wordWrap/>
              <w:overflowPunct/>
              <w:topLinePunct w:val="0"/>
              <w:autoSpaceDE/>
              <w:autoSpaceDN/>
              <w:bidi w:val="0"/>
              <w:adjustRightInd/>
              <w:snapToGrid/>
              <w:spacing w:line="360" w:lineRule="auto"/>
              <w:ind w:firstLine="480" w:firstLineChars="200"/>
              <w:rPr>
                <w:rFonts w:hint="default" w:ascii="Times New Roman" w:hAnsi="Times New Roman" w:cs="Times New Roman"/>
                <w:color w:val="auto"/>
                <w:sz w:val="24"/>
              </w:rPr>
            </w:pPr>
            <w:r>
              <w:rPr>
                <w:rFonts w:hint="eastAsia" w:cs="Times New Roman"/>
                <w:color w:val="auto"/>
                <w:sz w:val="24"/>
                <w:lang w:val="en-US" w:eastAsia="zh-CN"/>
              </w:rPr>
              <w:t>现有</w:t>
            </w:r>
            <w:r>
              <w:rPr>
                <w:rFonts w:hint="eastAsia" w:cs="Times New Roman"/>
                <w:color w:val="auto"/>
                <w:sz w:val="24"/>
                <w:lang w:eastAsia="zh-CN"/>
              </w:rPr>
              <w:t>工程</w:t>
            </w:r>
            <w:r>
              <w:rPr>
                <w:rFonts w:hint="default" w:ascii="Times New Roman" w:hAnsi="Times New Roman" w:cs="Times New Roman"/>
                <w:color w:val="auto"/>
                <w:sz w:val="24"/>
              </w:rPr>
              <w:t>搬迁拆除施工过程中场地清理，产生的一般工业固废</w:t>
            </w:r>
            <w:r>
              <w:rPr>
                <w:rFonts w:hint="default" w:ascii="Times New Roman" w:hAnsi="Times New Roman" w:cs="Times New Roman"/>
                <w:color w:val="auto"/>
                <w:sz w:val="24"/>
                <w:lang w:val="en-US" w:eastAsia="zh-CN"/>
              </w:rPr>
              <w:t>交由相关部门回收利用</w:t>
            </w:r>
            <w:r>
              <w:rPr>
                <w:rFonts w:hint="eastAsia" w:cs="Times New Roman"/>
                <w:color w:val="auto"/>
                <w:sz w:val="24"/>
                <w:lang w:eastAsia="zh-CN"/>
              </w:rPr>
              <w:t>；</w:t>
            </w:r>
            <w:r>
              <w:rPr>
                <w:rFonts w:hint="default" w:ascii="Times New Roman" w:hAnsi="Times New Roman" w:cs="Times New Roman"/>
                <w:color w:val="auto"/>
                <w:sz w:val="24"/>
              </w:rPr>
              <w:t>清理的危险废物委托</w:t>
            </w:r>
            <w:r>
              <w:rPr>
                <w:rFonts w:hint="eastAsia" w:cs="Times New Roman"/>
                <w:color w:val="auto"/>
                <w:sz w:val="24"/>
                <w:lang w:val="en-US" w:eastAsia="zh-CN"/>
              </w:rPr>
              <w:t>有资质的单位</w:t>
            </w:r>
            <w:r>
              <w:rPr>
                <w:rFonts w:hint="default" w:ascii="Times New Roman" w:hAnsi="Times New Roman" w:cs="Times New Roman"/>
                <w:color w:val="auto"/>
                <w:sz w:val="24"/>
              </w:rPr>
              <w:t>处置，确保固废得到有效的处置。</w:t>
            </w:r>
          </w:p>
          <w:p w14:paraId="13F0CC67">
            <w:pPr>
              <w:pStyle w:val="49"/>
              <w:pageBreakBefore w:val="0"/>
              <w:widowControl w:val="0"/>
              <w:kinsoku/>
              <w:wordWrap/>
              <w:overflowPunct/>
              <w:topLinePunct w:val="0"/>
              <w:autoSpaceDE/>
              <w:autoSpaceDN/>
              <w:bidi w:val="0"/>
              <w:adjustRightInd/>
              <w:snapToGrid/>
              <w:ind w:firstLine="0" w:firstLineChars="0"/>
              <w:rPr>
                <w:rFonts w:hint="default" w:ascii="Times New Roman" w:hAnsi="Times New Roman" w:eastAsia="宋体" w:cs="Times New Roman"/>
                <w:color w:val="0000FF"/>
                <w:sz w:val="24"/>
                <w:lang w:val="en-US" w:eastAsia="zh-CN"/>
              </w:rPr>
            </w:pPr>
            <w:r>
              <w:rPr>
                <w:rFonts w:hint="default" w:ascii="Times New Roman" w:hAnsi="Times New Roman" w:cs="Times New Roman"/>
                <w:b/>
                <w:bCs/>
                <w:color w:val="0000FF"/>
                <w:szCs w:val="24"/>
              </w:rPr>
              <w:t>2.</w:t>
            </w:r>
            <w:r>
              <w:rPr>
                <w:rFonts w:hint="eastAsia" w:ascii="Times New Roman" w:hAnsi="Times New Roman" w:cs="Times New Roman"/>
                <w:b/>
                <w:bCs/>
                <w:color w:val="0000FF"/>
                <w:szCs w:val="24"/>
                <w:lang w:val="en-US" w:eastAsia="zh-CN"/>
              </w:rPr>
              <w:t>10</w:t>
            </w:r>
            <w:r>
              <w:rPr>
                <w:rFonts w:hint="default" w:ascii="Times New Roman" w:hAnsi="Times New Roman" w:cs="Times New Roman"/>
                <w:b/>
                <w:bCs/>
                <w:color w:val="0000FF"/>
                <w:szCs w:val="24"/>
              </w:rPr>
              <w:t xml:space="preserve"> </w:t>
            </w:r>
            <w:r>
              <w:rPr>
                <w:rFonts w:hint="eastAsia" w:ascii="Times New Roman" w:hAnsi="Times New Roman" w:cs="Times New Roman"/>
                <w:b/>
                <w:bCs/>
                <w:color w:val="0000FF"/>
                <w:szCs w:val="24"/>
                <w:lang w:val="en-US" w:eastAsia="zh-CN"/>
              </w:rPr>
              <w:t>现有工程情况</w:t>
            </w:r>
          </w:p>
          <w:p w14:paraId="78C68F39">
            <w:pPr>
              <w:pageBreakBefore w:val="0"/>
              <w:widowControl w:val="0"/>
              <w:kinsoku/>
              <w:wordWrap/>
              <w:overflowPunct/>
              <w:topLinePunct w:val="0"/>
              <w:autoSpaceDE/>
              <w:autoSpaceDN/>
              <w:bidi w:val="0"/>
              <w:adjustRightInd/>
              <w:snapToGrid/>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0000FF"/>
                <w:sz w:val="24"/>
              </w:rPr>
              <w:t>企业搬迁至川渝合作（达州•大竹）示范园区A区三期标准化厂房三期1、2号楼内，厂房现状为空置状态，不存在与本项目有关的原有污染情况。</w:t>
            </w:r>
          </w:p>
        </w:tc>
      </w:tr>
    </w:tbl>
    <w:p w14:paraId="722F09E2">
      <w:pPr>
        <w:pStyle w:val="31"/>
        <w:jc w:val="center"/>
        <w:rPr>
          <w:rFonts w:hint="default" w:ascii="Times New Roman" w:hAnsi="Times New Roman" w:eastAsia="黑体" w:cs="Times New Roman"/>
          <w:snapToGrid w:val="0"/>
          <w:color w:val="auto"/>
          <w:sz w:val="36"/>
          <w:szCs w:val="36"/>
        </w:rPr>
        <w:sectPr>
          <w:pgSz w:w="11906" w:h="16838"/>
          <w:pgMar w:top="1701" w:right="1531" w:bottom="1701" w:left="1531" w:header="851" w:footer="851" w:gutter="0"/>
          <w:pgNumType w:fmt="decimal"/>
          <w:cols w:space="720" w:num="1"/>
          <w:docGrid w:linePitch="312" w:charSpace="0"/>
        </w:sectPr>
      </w:pPr>
    </w:p>
    <w:p w14:paraId="11598A3A">
      <w:pPr>
        <w:pStyle w:val="31"/>
        <w:jc w:val="center"/>
        <w:outlineLvl w:val="0"/>
        <w:rPr>
          <w:rFonts w:hint="default" w:ascii="Times New Roman" w:hAnsi="Times New Roman" w:eastAsia="黑体" w:cs="Times New Roman"/>
          <w:snapToGrid w:val="0"/>
          <w:color w:val="auto"/>
          <w:sz w:val="30"/>
          <w:szCs w:val="30"/>
        </w:rPr>
      </w:pPr>
      <w:bookmarkStart w:id="8" w:name="_Toc4098"/>
      <w:bookmarkStart w:id="9" w:name="_Toc2871"/>
      <w:r>
        <w:rPr>
          <w:rFonts w:hint="default" w:ascii="Times New Roman" w:hAnsi="Times New Roman" w:eastAsia="黑体" w:cs="Times New Roman"/>
          <w:snapToGrid w:val="0"/>
          <w:color w:val="auto"/>
          <w:sz w:val="30"/>
          <w:szCs w:val="30"/>
        </w:rPr>
        <w:t>三、区域环境质量现状、环境保护目标及评价标准</w:t>
      </w:r>
      <w:bookmarkEnd w:id="8"/>
      <w:bookmarkEnd w:id="9"/>
    </w:p>
    <w:tbl>
      <w:tblPr>
        <w:tblStyle w:val="35"/>
        <w:tblW w:w="92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9"/>
        <w:gridCol w:w="8795"/>
      </w:tblGrid>
      <w:tr w14:paraId="37708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74" w:hRule="atLeast"/>
          <w:jc w:val="center"/>
        </w:trPr>
        <w:tc>
          <w:tcPr>
            <w:tcW w:w="499" w:type="dxa"/>
            <w:noWrap w:val="0"/>
            <w:vAlign w:val="center"/>
          </w:tcPr>
          <w:p w14:paraId="27B6297D">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区域</w:t>
            </w:r>
          </w:p>
          <w:p w14:paraId="287D4670">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环境</w:t>
            </w:r>
          </w:p>
          <w:p w14:paraId="4BF9411B">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质量</w:t>
            </w:r>
          </w:p>
          <w:p w14:paraId="0DA3F316">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现状</w:t>
            </w:r>
          </w:p>
        </w:tc>
        <w:tc>
          <w:tcPr>
            <w:tcW w:w="8795" w:type="dxa"/>
            <w:noWrap w:val="0"/>
            <w:vAlign w:val="top"/>
          </w:tcPr>
          <w:p w14:paraId="3CB73525">
            <w:pPr>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3.1区域环境质量现状</w:t>
            </w:r>
          </w:p>
          <w:p w14:paraId="2CE48C4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3.1.1 大气环境</w:t>
            </w:r>
          </w:p>
          <w:p w14:paraId="4FCEF3D6">
            <w:pPr>
              <w:keepNext w:val="0"/>
              <w:keepLines w:val="0"/>
              <w:pageBreakBefore w:val="0"/>
              <w:kinsoku/>
              <w:wordWrap/>
              <w:overflowPunct/>
              <w:topLinePunct w:val="0"/>
              <w:autoSpaceDE/>
              <w:autoSpaceDN/>
              <w:bidi w:val="0"/>
              <w:spacing w:line="360" w:lineRule="auto"/>
              <w:ind w:firstLine="480"/>
              <w:textAlignment w:val="auto"/>
              <w:rPr>
                <w:rFonts w:hint="default" w:ascii="Times New Roman" w:hAnsi="Times New Roman" w:cs="Times New Roman"/>
                <w:color w:val="auto"/>
                <w:sz w:val="24"/>
              </w:rPr>
            </w:pPr>
            <w:bookmarkStart w:id="10" w:name="_Toc32141"/>
            <w:r>
              <w:rPr>
                <w:rFonts w:hint="default" w:ascii="Times New Roman" w:hAnsi="Times New Roman" w:cs="Times New Roman"/>
                <w:color w:val="auto"/>
                <w:sz w:val="24"/>
              </w:rPr>
              <w:t>项目所在区为环境空气二类功能区，环境空气执行《环境空气质量标准》(GB3095-2012)二级标准。</w:t>
            </w:r>
          </w:p>
          <w:p w14:paraId="14291E51">
            <w:pPr>
              <w:pStyle w:val="14"/>
              <w:keepNext w:val="0"/>
              <w:keepLines w:val="0"/>
              <w:pageBreakBefore w:val="0"/>
              <w:kinsoku/>
              <w:wordWrap/>
              <w:overflowPunct/>
              <w:topLinePunct w:val="0"/>
              <w:autoSpaceDE/>
              <w:autoSpaceDN/>
              <w:bidi w:val="0"/>
              <w:spacing w:before="0" w:after="0" w:line="360" w:lineRule="auto"/>
              <w:ind w:firstLine="480" w:firstLineChars="200"/>
              <w:textAlignment w:val="auto"/>
              <w:rPr>
                <w:rFonts w:hint="default" w:ascii="Times New Roman" w:hAnsi="Times New Roman" w:eastAsia="宋体" w:cs="Times New Roman"/>
                <w:b w:val="0"/>
                <w:bCs w:val="0"/>
                <w:color w:val="auto"/>
                <w:sz w:val="24"/>
                <w:lang w:eastAsia="zh-CN"/>
              </w:rPr>
            </w:pPr>
            <w:r>
              <w:rPr>
                <w:rFonts w:hint="default" w:ascii="Times New Roman" w:hAnsi="Times New Roman" w:cs="Times New Roman"/>
                <w:b w:val="0"/>
                <w:bCs w:val="0"/>
                <w:color w:val="auto"/>
                <w:sz w:val="24"/>
              </w:rPr>
              <w:t>（</w:t>
            </w:r>
            <w:r>
              <w:rPr>
                <w:rFonts w:hint="default" w:ascii="Times New Roman" w:hAnsi="Times New Roman" w:cs="Times New Roman"/>
                <w:b w:val="0"/>
                <w:bCs w:val="0"/>
                <w:color w:val="auto"/>
                <w:sz w:val="24"/>
                <w:lang w:val="en-US" w:eastAsia="zh-CN"/>
              </w:rPr>
              <w:t>1</w:t>
            </w:r>
            <w:r>
              <w:rPr>
                <w:rFonts w:hint="default" w:ascii="Times New Roman" w:hAnsi="Times New Roman" w:cs="Times New Roman"/>
                <w:b w:val="0"/>
                <w:bCs w:val="0"/>
                <w:color w:val="auto"/>
                <w:sz w:val="24"/>
              </w:rPr>
              <w:t>）</w:t>
            </w:r>
            <w:bookmarkEnd w:id="10"/>
            <w:r>
              <w:rPr>
                <w:rFonts w:hint="default" w:ascii="Times New Roman" w:hAnsi="Times New Roman" w:cs="Times New Roman"/>
                <w:b w:val="0"/>
                <w:bCs w:val="0"/>
                <w:color w:val="auto"/>
                <w:sz w:val="24"/>
                <w:lang w:val="en-US" w:eastAsia="zh-CN"/>
              </w:rPr>
              <w:t>基本污染物</w:t>
            </w:r>
          </w:p>
          <w:p w14:paraId="0A6B5F99">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根据《环境影响评价技术导则 大气环境》（HJ2.2-2018）“项目所在区域达标判定，优先采用国家或地方生态环境主管部门公开发布的评价基准年环境质量公告或环境质量报告中的数据或结论；采用评价范围内国家或地方环境空气质量监测网中评价基准年连续1年的监测数据，或采用生态环境主管部门公开发布的环境空气质量现状数据。</w:t>
            </w:r>
          </w:p>
          <w:p w14:paraId="3D296420">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0000FF"/>
                <w:sz w:val="24"/>
              </w:rPr>
            </w:pPr>
            <w:r>
              <w:rPr>
                <w:rFonts w:hint="default" w:ascii="Times New Roman" w:hAnsi="Times New Roman" w:cs="Times New Roman"/>
                <w:color w:val="0000FF"/>
                <w:sz w:val="24"/>
              </w:rPr>
              <w:t>本项目位于达州市</w:t>
            </w:r>
            <w:r>
              <w:rPr>
                <w:rFonts w:hint="eastAsia" w:cs="Times New Roman"/>
                <w:color w:val="0000FF"/>
                <w:sz w:val="24"/>
                <w:lang w:val="en-US" w:eastAsia="zh-CN"/>
              </w:rPr>
              <w:t>达州市大竹</w:t>
            </w:r>
            <w:r>
              <w:rPr>
                <w:rFonts w:hint="default" w:ascii="Times New Roman" w:hAnsi="Times New Roman" w:cs="Times New Roman"/>
                <w:color w:val="0000FF"/>
                <w:sz w:val="24"/>
              </w:rPr>
              <w:t>县。本次评价引用2025年1月达州市生态环境局发布的《达州市2024年环境空气质量状况》，</w:t>
            </w:r>
            <w:r>
              <w:rPr>
                <w:rFonts w:hint="eastAsia" w:cs="Times New Roman"/>
                <w:color w:val="0000FF"/>
                <w:sz w:val="24"/>
                <w:lang w:val="en-US" w:eastAsia="zh-CN"/>
              </w:rPr>
              <w:t>本</w:t>
            </w:r>
            <w:r>
              <w:rPr>
                <w:rFonts w:hint="default" w:ascii="Times New Roman" w:hAnsi="Times New Roman" w:cs="Times New Roman"/>
                <w:color w:val="0000FF"/>
                <w:sz w:val="24"/>
              </w:rPr>
              <w:t>项目所在区域环境质量现状予以分析评价，详见表3.1-1。</w:t>
            </w:r>
          </w:p>
          <w:p w14:paraId="0E8B93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0000FF"/>
                <w:sz w:val="24"/>
              </w:rPr>
            </w:pPr>
            <w:r>
              <w:rPr>
                <w:rFonts w:hint="default" w:ascii="Times New Roman" w:hAnsi="Times New Roman" w:cs="Times New Roman"/>
                <w:b/>
                <w:bCs/>
                <w:color w:val="0000FF"/>
                <w:sz w:val="24"/>
              </w:rPr>
              <w:t>表3.1-1 区域环境空气现状评价表</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2742"/>
              <w:gridCol w:w="1081"/>
              <w:gridCol w:w="1113"/>
              <w:gridCol w:w="919"/>
              <w:gridCol w:w="694"/>
              <w:gridCol w:w="666"/>
            </w:tblGrid>
            <w:tr w14:paraId="44442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351" w:type="dxa"/>
                  <w:noWrap w:val="0"/>
                  <w:vAlign w:val="center"/>
                </w:tcPr>
                <w:p w14:paraId="16485893">
                  <w:pPr>
                    <w:keepNext w:val="0"/>
                    <w:keepLines w:val="0"/>
                    <w:widowControl/>
                    <w:suppressLineNumbers w:val="0"/>
                    <w:jc w:val="center"/>
                    <w:textAlignment w:val="center"/>
                    <w:rPr>
                      <w:rFonts w:hint="default" w:ascii="Times New Roman" w:hAnsi="Times New Roman" w:cs="Times New Roman"/>
                      <w:b/>
                      <w:bCs/>
                      <w:color w:val="0000FF"/>
                      <w:szCs w:val="21"/>
                    </w:rPr>
                  </w:pPr>
                  <w:r>
                    <w:rPr>
                      <w:rFonts w:hint="eastAsia" w:ascii="宋体" w:hAnsi="宋体" w:eastAsia="宋体" w:cs="宋体"/>
                      <w:b/>
                      <w:bCs/>
                      <w:i w:val="0"/>
                      <w:iCs w:val="0"/>
                      <w:color w:val="0000FF"/>
                      <w:kern w:val="0"/>
                      <w:sz w:val="21"/>
                      <w:szCs w:val="21"/>
                      <w:u w:val="none"/>
                      <w:lang w:val="en-US" w:eastAsia="zh-CN" w:bidi="ar"/>
                    </w:rPr>
                    <w:t>污染物</w:t>
                  </w:r>
                </w:p>
              </w:tc>
              <w:tc>
                <w:tcPr>
                  <w:tcW w:w="2742" w:type="dxa"/>
                  <w:noWrap w:val="0"/>
                  <w:vAlign w:val="center"/>
                </w:tcPr>
                <w:p w14:paraId="01FA5846">
                  <w:pPr>
                    <w:keepNext w:val="0"/>
                    <w:keepLines w:val="0"/>
                    <w:widowControl/>
                    <w:suppressLineNumbers w:val="0"/>
                    <w:jc w:val="center"/>
                    <w:textAlignment w:val="center"/>
                    <w:rPr>
                      <w:rFonts w:hint="default" w:ascii="Times New Roman" w:hAnsi="Times New Roman" w:cs="Times New Roman"/>
                      <w:b/>
                      <w:bCs/>
                      <w:color w:val="0000FF"/>
                      <w:szCs w:val="21"/>
                    </w:rPr>
                  </w:pPr>
                  <w:r>
                    <w:rPr>
                      <w:rFonts w:hint="eastAsia" w:ascii="宋体" w:hAnsi="宋体" w:eastAsia="宋体" w:cs="宋体"/>
                      <w:b/>
                      <w:bCs/>
                      <w:i w:val="0"/>
                      <w:iCs w:val="0"/>
                      <w:color w:val="0000FF"/>
                      <w:kern w:val="0"/>
                      <w:sz w:val="21"/>
                      <w:szCs w:val="21"/>
                      <w:u w:val="none"/>
                      <w:lang w:val="en-US" w:eastAsia="zh-CN" w:bidi="ar"/>
                    </w:rPr>
                    <w:t>年评价指标</w:t>
                  </w:r>
                </w:p>
              </w:tc>
              <w:tc>
                <w:tcPr>
                  <w:tcW w:w="1081" w:type="dxa"/>
                  <w:noWrap w:val="0"/>
                  <w:vAlign w:val="center"/>
                </w:tcPr>
                <w:p w14:paraId="061EB209">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eastAsia" w:ascii="宋体" w:hAnsi="宋体" w:eastAsia="宋体" w:cs="宋体"/>
                      <w:b/>
                      <w:bCs/>
                      <w:i w:val="0"/>
                      <w:iCs w:val="0"/>
                      <w:color w:val="0000FF"/>
                      <w:kern w:val="0"/>
                      <w:sz w:val="21"/>
                      <w:szCs w:val="21"/>
                      <w:u w:val="none"/>
                      <w:lang w:val="en-US" w:eastAsia="zh-CN" w:bidi="ar"/>
                    </w:rPr>
                    <w:t>现状浓度（</w:t>
                  </w:r>
                  <w:r>
                    <w:rPr>
                      <w:rFonts w:hint="default" w:ascii="Times New Roman" w:hAnsi="Times New Roman" w:eastAsia="宋体" w:cs="Times New Roman"/>
                      <w:b/>
                      <w:bCs/>
                      <w:i w:val="0"/>
                      <w:iCs w:val="0"/>
                      <w:color w:val="0000FF"/>
                      <w:kern w:val="0"/>
                      <w:sz w:val="21"/>
                      <w:szCs w:val="21"/>
                      <w:u w:val="none"/>
                      <w:lang w:val="en-US" w:eastAsia="zh-CN" w:bidi="ar"/>
                    </w:rPr>
                    <w:t>μg/m</w:t>
                  </w:r>
                  <w:r>
                    <w:rPr>
                      <w:rFonts w:hint="default" w:ascii="Times New Roman" w:hAnsi="Times New Roman" w:eastAsia="宋体" w:cs="Times New Roman"/>
                      <w:b/>
                      <w:bCs/>
                      <w:i w:val="0"/>
                      <w:iCs w:val="0"/>
                      <w:color w:val="0000FF"/>
                      <w:kern w:val="0"/>
                      <w:sz w:val="21"/>
                      <w:szCs w:val="21"/>
                      <w:u w:val="none"/>
                      <w:vertAlign w:val="superscript"/>
                      <w:lang w:val="en-US" w:eastAsia="zh-CN" w:bidi="ar"/>
                    </w:rPr>
                    <w:t>3</w:t>
                  </w:r>
                  <w:r>
                    <w:rPr>
                      <w:rFonts w:hint="eastAsia" w:ascii="宋体" w:hAnsi="宋体" w:eastAsia="宋体" w:cs="宋体"/>
                      <w:b/>
                      <w:bCs/>
                      <w:i w:val="0"/>
                      <w:iCs w:val="0"/>
                      <w:color w:val="0000FF"/>
                      <w:kern w:val="0"/>
                      <w:sz w:val="21"/>
                      <w:szCs w:val="21"/>
                      <w:u w:val="none"/>
                      <w:lang w:val="en-US" w:eastAsia="zh-CN" w:bidi="ar"/>
                    </w:rPr>
                    <w:t>）</w:t>
                  </w:r>
                </w:p>
              </w:tc>
              <w:tc>
                <w:tcPr>
                  <w:tcW w:w="1113" w:type="dxa"/>
                  <w:noWrap w:val="0"/>
                  <w:vAlign w:val="center"/>
                </w:tcPr>
                <w:p w14:paraId="3E1403B0">
                  <w:pPr>
                    <w:keepNext w:val="0"/>
                    <w:keepLines w:val="0"/>
                    <w:widowControl/>
                    <w:suppressLineNumbers w:val="0"/>
                    <w:jc w:val="center"/>
                    <w:textAlignment w:val="center"/>
                    <w:rPr>
                      <w:rFonts w:hint="eastAsia" w:ascii="宋体" w:hAnsi="宋体" w:eastAsia="宋体" w:cs="宋体"/>
                      <w:b/>
                      <w:bCs/>
                      <w:i w:val="0"/>
                      <w:iCs w:val="0"/>
                      <w:color w:val="0000FF"/>
                      <w:kern w:val="0"/>
                      <w:sz w:val="21"/>
                      <w:szCs w:val="21"/>
                      <w:u w:val="none"/>
                      <w:lang w:val="en-US" w:eastAsia="zh-CN" w:bidi="ar"/>
                    </w:rPr>
                  </w:pPr>
                  <w:r>
                    <w:rPr>
                      <w:rFonts w:hint="eastAsia" w:ascii="宋体" w:hAnsi="宋体" w:eastAsia="宋体" w:cs="宋体"/>
                      <w:b/>
                      <w:bCs/>
                      <w:i w:val="0"/>
                      <w:iCs w:val="0"/>
                      <w:color w:val="0000FF"/>
                      <w:kern w:val="0"/>
                      <w:sz w:val="21"/>
                      <w:szCs w:val="21"/>
                      <w:u w:val="none"/>
                      <w:lang w:val="en-US" w:eastAsia="zh-CN" w:bidi="ar"/>
                    </w:rPr>
                    <w:t>标准值</w:t>
                  </w:r>
                </w:p>
                <w:p w14:paraId="578AED72">
                  <w:pPr>
                    <w:keepNext w:val="0"/>
                    <w:keepLines w:val="0"/>
                    <w:widowControl/>
                    <w:suppressLineNumbers w:val="0"/>
                    <w:jc w:val="both"/>
                    <w:textAlignment w:val="center"/>
                    <w:rPr>
                      <w:rFonts w:hint="default" w:ascii="Times New Roman" w:hAnsi="Times New Roman" w:cs="Times New Roman"/>
                      <w:color w:val="0000FF"/>
                    </w:rPr>
                  </w:pPr>
                  <w:r>
                    <w:rPr>
                      <w:rFonts w:hint="eastAsia" w:ascii="宋体" w:hAnsi="宋体" w:eastAsia="宋体" w:cs="宋体"/>
                      <w:b/>
                      <w:bCs/>
                      <w:i w:val="0"/>
                      <w:iCs w:val="0"/>
                      <w:color w:val="0000FF"/>
                      <w:kern w:val="0"/>
                      <w:sz w:val="21"/>
                      <w:szCs w:val="21"/>
                      <w:u w:val="none"/>
                      <w:lang w:val="en-US" w:eastAsia="zh-CN" w:bidi="ar"/>
                    </w:rPr>
                    <w:t>（</w:t>
                  </w:r>
                  <w:r>
                    <w:rPr>
                      <w:rFonts w:hint="default" w:ascii="Times New Roman" w:hAnsi="Times New Roman" w:eastAsia="宋体" w:cs="Times New Roman"/>
                      <w:b/>
                      <w:bCs/>
                      <w:i w:val="0"/>
                      <w:iCs w:val="0"/>
                      <w:color w:val="0000FF"/>
                      <w:kern w:val="0"/>
                      <w:sz w:val="21"/>
                      <w:szCs w:val="21"/>
                      <w:u w:val="none"/>
                      <w:lang w:val="en-US" w:eastAsia="zh-CN" w:bidi="ar"/>
                    </w:rPr>
                    <w:t>μg/m</w:t>
                  </w:r>
                  <w:r>
                    <w:rPr>
                      <w:rFonts w:hint="default" w:ascii="Times New Roman" w:hAnsi="Times New Roman" w:eastAsia="宋体" w:cs="Times New Roman"/>
                      <w:b/>
                      <w:bCs/>
                      <w:i w:val="0"/>
                      <w:iCs w:val="0"/>
                      <w:color w:val="0000FF"/>
                      <w:kern w:val="0"/>
                      <w:sz w:val="21"/>
                      <w:szCs w:val="21"/>
                      <w:u w:val="none"/>
                      <w:vertAlign w:val="superscript"/>
                      <w:lang w:val="en-US" w:eastAsia="zh-CN" w:bidi="ar"/>
                    </w:rPr>
                    <w:t>3</w:t>
                  </w:r>
                  <w:r>
                    <w:rPr>
                      <w:rFonts w:hint="eastAsia" w:ascii="宋体" w:hAnsi="宋体" w:eastAsia="宋体" w:cs="宋体"/>
                      <w:b/>
                      <w:bCs/>
                      <w:i w:val="0"/>
                      <w:iCs w:val="0"/>
                      <w:color w:val="0000FF"/>
                      <w:kern w:val="0"/>
                      <w:sz w:val="21"/>
                      <w:szCs w:val="21"/>
                      <w:u w:val="none"/>
                      <w:lang w:val="en-US" w:eastAsia="zh-CN" w:bidi="ar"/>
                    </w:rPr>
                    <w:t>）</w:t>
                  </w:r>
                </w:p>
              </w:tc>
              <w:tc>
                <w:tcPr>
                  <w:tcW w:w="919" w:type="dxa"/>
                  <w:noWrap w:val="0"/>
                  <w:vAlign w:val="center"/>
                </w:tcPr>
                <w:p w14:paraId="1BF05132">
                  <w:pPr>
                    <w:keepNext w:val="0"/>
                    <w:keepLines w:val="0"/>
                    <w:widowControl/>
                    <w:suppressLineNumbers w:val="0"/>
                    <w:jc w:val="center"/>
                    <w:textAlignment w:val="center"/>
                    <w:rPr>
                      <w:rFonts w:hint="default" w:ascii="Times New Roman" w:hAnsi="Times New Roman" w:cs="Times New Roman"/>
                      <w:b/>
                      <w:bCs/>
                      <w:color w:val="0000FF"/>
                      <w:szCs w:val="21"/>
                    </w:rPr>
                  </w:pPr>
                  <w:r>
                    <w:rPr>
                      <w:rFonts w:hint="eastAsia" w:ascii="宋体" w:hAnsi="宋体" w:eastAsia="宋体" w:cs="宋体"/>
                      <w:b/>
                      <w:bCs/>
                      <w:i w:val="0"/>
                      <w:iCs w:val="0"/>
                      <w:color w:val="0000FF"/>
                      <w:kern w:val="0"/>
                      <w:sz w:val="21"/>
                      <w:szCs w:val="21"/>
                      <w:u w:val="none"/>
                      <w:lang w:val="en-US" w:eastAsia="zh-CN" w:bidi="ar"/>
                    </w:rPr>
                    <w:t>占标率（</w:t>
                  </w:r>
                  <w:r>
                    <w:rPr>
                      <w:rFonts w:hint="default" w:ascii="Times New Roman" w:hAnsi="Times New Roman" w:eastAsia="宋体" w:cs="Times New Roman"/>
                      <w:b/>
                      <w:bCs/>
                      <w:i w:val="0"/>
                      <w:iCs w:val="0"/>
                      <w:color w:val="0000FF"/>
                      <w:kern w:val="0"/>
                      <w:sz w:val="21"/>
                      <w:szCs w:val="21"/>
                      <w:u w:val="none"/>
                      <w:lang w:val="en-US" w:eastAsia="zh-CN" w:bidi="ar"/>
                    </w:rPr>
                    <w:t>%</w:t>
                  </w:r>
                  <w:r>
                    <w:rPr>
                      <w:rFonts w:hint="eastAsia" w:ascii="宋体" w:hAnsi="宋体" w:eastAsia="宋体" w:cs="宋体"/>
                      <w:b/>
                      <w:bCs/>
                      <w:i w:val="0"/>
                      <w:iCs w:val="0"/>
                      <w:color w:val="0000FF"/>
                      <w:kern w:val="0"/>
                      <w:sz w:val="21"/>
                      <w:szCs w:val="21"/>
                      <w:u w:val="none"/>
                      <w:lang w:val="en-US" w:eastAsia="zh-CN" w:bidi="ar"/>
                    </w:rPr>
                    <w:t>）</w:t>
                  </w:r>
                </w:p>
              </w:tc>
              <w:tc>
                <w:tcPr>
                  <w:tcW w:w="694" w:type="dxa"/>
                  <w:noWrap w:val="0"/>
                  <w:vAlign w:val="center"/>
                </w:tcPr>
                <w:p w14:paraId="28348FBB">
                  <w:pPr>
                    <w:keepNext w:val="0"/>
                    <w:keepLines w:val="0"/>
                    <w:widowControl/>
                    <w:suppressLineNumbers w:val="0"/>
                    <w:jc w:val="center"/>
                    <w:textAlignment w:val="center"/>
                    <w:rPr>
                      <w:rFonts w:hint="default" w:ascii="Times New Roman" w:hAnsi="Times New Roman" w:eastAsia="宋体" w:cs="Times New Roman"/>
                      <w:b/>
                      <w:bCs/>
                      <w:color w:val="0000FF"/>
                      <w:szCs w:val="21"/>
                      <w:lang w:eastAsia="zh-CN"/>
                    </w:rPr>
                  </w:pPr>
                  <w:r>
                    <w:rPr>
                      <w:rFonts w:hint="eastAsia" w:ascii="宋体" w:hAnsi="宋体" w:eastAsia="宋体" w:cs="宋体"/>
                      <w:b/>
                      <w:bCs/>
                      <w:i w:val="0"/>
                      <w:iCs w:val="0"/>
                      <w:color w:val="0000FF"/>
                      <w:kern w:val="0"/>
                      <w:sz w:val="21"/>
                      <w:szCs w:val="21"/>
                      <w:u w:val="none"/>
                      <w:lang w:val="en-US" w:eastAsia="zh-CN" w:bidi="ar"/>
                    </w:rPr>
                    <w:t>超标率</w:t>
                  </w:r>
                </w:p>
              </w:tc>
              <w:tc>
                <w:tcPr>
                  <w:tcW w:w="666" w:type="dxa"/>
                  <w:noWrap w:val="0"/>
                  <w:vAlign w:val="center"/>
                </w:tcPr>
                <w:p w14:paraId="4C090656">
                  <w:pPr>
                    <w:keepNext w:val="0"/>
                    <w:keepLines w:val="0"/>
                    <w:widowControl/>
                    <w:suppressLineNumbers w:val="0"/>
                    <w:jc w:val="center"/>
                    <w:textAlignment w:val="center"/>
                    <w:rPr>
                      <w:rFonts w:hint="default" w:ascii="Times New Roman" w:hAnsi="Times New Roman" w:cs="Times New Roman"/>
                      <w:b/>
                      <w:bCs/>
                      <w:color w:val="0000FF"/>
                      <w:szCs w:val="21"/>
                    </w:rPr>
                  </w:pPr>
                  <w:r>
                    <w:rPr>
                      <w:rFonts w:hint="eastAsia" w:ascii="宋体" w:hAnsi="宋体" w:eastAsia="宋体" w:cs="宋体"/>
                      <w:b/>
                      <w:bCs/>
                      <w:i w:val="0"/>
                      <w:iCs w:val="0"/>
                      <w:color w:val="0000FF"/>
                      <w:kern w:val="0"/>
                      <w:sz w:val="21"/>
                      <w:szCs w:val="21"/>
                      <w:u w:val="none"/>
                      <w:lang w:val="en-US" w:eastAsia="zh-CN" w:bidi="ar"/>
                    </w:rPr>
                    <w:t>达标情况</w:t>
                  </w:r>
                </w:p>
              </w:tc>
            </w:tr>
            <w:tr w14:paraId="77B9A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1" w:type="dxa"/>
                  <w:noWrap w:val="0"/>
                  <w:vAlign w:val="center"/>
                </w:tcPr>
                <w:p w14:paraId="41A57199">
                  <w:pPr>
                    <w:keepNext w:val="0"/>
                    <w:keepLines w:val="0"/>
                    <w:widowControl/>
                    <w:suppressLineNumbers w:val="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iCs w:val="0"/>
                      <w:color w:val="0000FF"/>
                      <w:kern w:val="0"/>
                      <w:sz w:val="21"/>
                      <w:szCs w:val="21"/>
                      <w:u w:val="none"/>
                      <w:lang w:val="en-US" w:eastAsia="zh-CN" w:bidi="ar"/>
                    </w:rPr>
                    <w:t>PM</w:t>
                  </w:r>
                  <w:r>
                    <w:rPr>
                      <w:rFonts w:hint="default" w:ascii="Times New Roman" w:hAnsi="Times New Roman" w:eastAsia="宋体" w:cs="Times New Roman"/>
                      <w:i w:val="0"/>
                      <w:iCs w:val="0"/>
                      <w:color w:val="0000FF"/>
                      <w:kern w:val="0"/>
                      <w:sz w:val="21"/>
                      <w:szCs w:val="21"/>
                      <w:u w:val="none"/>
                      <w:vertAlign w:val="subscript"/>
                      <w:lang w:val="en-US" w:eastAsia="zh-CN" w:bidi="ar"/>
                    </w:rPr>
                    <w:t>10</w:t>
                  </w:r>
                </w:p>
              </w:tc>
              <w:tc>
                <w:tcPr>
                  <w:tcW w:w="2742" w:type="dxa"/>
                  <w:vMerge w:val="restart"/>
                  <w:noWrap w:val="0"/>
                  <w:vAlign w:val="center"/>
                </w:tcPr>
                <w:p w14:paraId="27AA69A0">
                  <w:pPr>
                    <w:keepNext w:val="0"/>
                    <w:keepLines w:val="0"/>
                    <w:widowControl/>
                    <w:suppressLineNumbers w:val="0"/>
                    <w:jc w:val="center"/>
                    <w:textAlignment w:val="center"/>
                    <w:rPr>
                      <w:rFonts w:hint="default" w:ascii="Times New Roman" w:hAnsi="Times New Roman" w:cs="Times New Roman"/>
                      <w:color w:val="0000FF"/>
                      <w:szCs w:val="21"/>
                    </w:rPr>
                  </w:pPr>
                  <w:r>
                    <w:rPr>
                      <w:rFonts w:hint="eastAsia" w:ascii="宋体" w:hAnsi="宋体" w:eastAsia="宋体" w:cs="宋体"/>
                      <w:i w:val="0"/>
                      <w:iCs w:val="0"/>
                      <w:color w:val="0000FF"/>
                      <w:kern w:val="0"/>
                      <w:sz w:val="21"/>
                      <w:szCs w:val="21"/>
                      <w:u w:val="none"/>
                      <w:lang w:val="en-US" w:eastAsia="zh-CN" w:bidi="ar"/>
                    </w:rPr>
                    <w:t>年日均值</w:t>
                  </w:r>
                </w:p>
              </w:tc>
              <w:tc>
                <w:tcPr>
                  <w:tcW w:w="1081" w:type="dxa"/>
                  <w:noWrap w:val="0"/>
                  <w:vAlign w:val="center"/>
                </w:tcPr>
                <w:p w14:paraId="70A7110C">
                  <w:pPr>
                    <w:keepNext w:val="0"/>
                    <w:keepLines w:val="0"/>
                    <w:widowControl/>
                    <w:suppressLineNumbers w:val="0"/>
                    <w:jc w:val="center"/>
                    <w:textAlignment w:val="center"/>
                    <w:rPr>
                      <w:rFonts w:hint="default" w:ascii="Times New Roman" w:hAnsi="Times New Roman" w:eastAsia="宋体" w:cs="Times New Roman"/>
                      <w:color w:val="0000FF"/>
                      <w:lang w:eastAsia="zh-CN"/>
                    </w:rPr>
                  </w:pPr>
                  <w:r>
                    <w:rPr>
                      <w:rFonts w:hint="default" w:ascii="Times New Roman" w:hAnsi="Times New Roman" w:eastAsia="宋体" w:cs="Times New Roman"/>
                      <w:i w:val="0"/>
                      <w:iCs w:val="0"/>
                      <w:color w:val="0000FF"/>
                      <w:kern w:val="0"/>
                      <w:sz w:val="21"/>
                      <w:szCs w:val="21"/>
                      <w:u w:val="none"/>
                      <w:lang w:val="en-US" w:eastAsia="zh-CN" w:bidi="ar"/>
                    </w:rPr>
                    <w:t>52</w:t>
                  </w:r>
                </w:p>
              </w:tc>
              <w:tc>
                <w:tcPr>
                  <w:tcW w:w="1113" w:type="dxa"/>
                  <w:noWrap w:val="0"/>
                  <w:vAlign w:val="center"/>
                </w:tcPr>
                <w:p w14:paraId="0E467E66">
                  <w:pPr>
                    <w:keepNext w:val="0"/>
                    <w:keepLines w:val="0"/>
                    <w:widowControl/>
                    <w:suppressLineNumbers w:val="0"/>
                    <w:jc w:val="center"/>
                    <w:textAlignment w:val="center"/>
                    <w:rPr>
                      <w:rFonts w:hint="default" w:ascii="Times New Roman" w:hAnsi="Times New Roman" w:cs="Times New Roman"/>
                      <w:color w:val="0000FF"/>
                    </w:rPr>
                  </w:pPr>
                  <w:r>
                    <w:rPr>
                      <w:rFonts w:hint="default" w:ascii="Times New Roman" w:hAnsi="Times New Roman" w:eastAsia="宋体" w:cs="Times New Roman"/>
                      <w:i w:val="0"/>
                      <w:iCs w:val="0"/>
                      <w:color w:val="0000FF"/>
                      <w:kern w:val="0"/>
                      <w:sz w:val="21"/>
                      <w:szCs w:val="21"/>
                      <w:u w:val="none"/>
                      <w:lang w:val="en-US" w:eastAsia="zh-CN" w:bidi="ar"/>
                    </w:rPr>
                    <w:t>70</w:t>
                  </w:r>
                </w:p>
              </w:tc>
              <w:tc>
                <w:tcPr>
                  <w:tcW w:w="919" w:type="dxa"/>
                  <w:noWrap w:val="0"/>
                  <w:vAlign w:val="center"/>
                </w:tcPr>
                <w:p w14:paraId="0BE46118">
                  <w:pPr>
                    <w:keepNext w:val="0"/>
                    <w:keepLines w:val="0"/>
                    <w:widowControl/>
                    <w:suppressLineNumbers w:val="0"/>
                    <w:jc w:val="center"/>
                    <w:textAlignment w:val="center"/>
                    <w:rPr>
                      <w:rFonts w:hint="default" w:ascii="Times New Roman" w:hAnsi="Times New Roman" w:cs="Times New Roman"/>
                      <w:color w:val="0000FF"/>
                    </w:rPr>
                  </w:pPr>
                  <w:r>
                    <w:rPr>
                      <w:rFonts w:hint="default" w:ascii="Times New Roman" w:hAnsi="Times New Roman" w:eastAsia="宋体" w:cs="Times New Roman"/>
                      <w:i w:val="0"/>
                      <w:iCs w:val="0"/>
                      <w:color w:val="0000FF"/>
                      <w:kern w:val="0"/>
                      <w:sz w:val="21"/>
                      <w:szCs w:val="21"/>
                      <w:u w:val="none"/>
                      <w:lang w:val="en-US" w:eastAsia="zh-CN" w:bidi="ar"/>
                    </w:rPr>
                    <w:t xml:space="preserve">74.29 </w:t>
                  </w:r>
                </w:p>
              </w:tc>
              <w:tc>
                <w:tcPr>
                  <w:tcW w:w="694" w:type="dxa"/>
                  <w:noWrap w:val="0"/>
                  <w:vAlign w:val="center"/>
                </w:tcPr>
                <w:p w14:paraId="1017CF32">
                  <w:pPr>
                    <w:keepNext w:val="0"/>
                    <w:keepLines w:val="0"/>
                    <w:widowControl/>
                    <w:suppressLineNumbers w:val="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iCs w:val="0"/>
                      <w:color w:val="0000FF"/>
                      <w:kern w:val="0"/>
                      <w:sz w:val="21"/>
                      <w:szCs w:val="21"/>
                      <w:u w:val="none"/>
                      <w:lang w:val="en-US" w:eastAsia="zh-CN" w:bidi="ar"/>
                    </w:rPr>
                    <w:t>0</w:t>
                  </w:r>
                </w:p>
              </w:tc>
              <w:tc>
                <w:tcPr>
                  <w:tcW w:w="666" w:type="dxa"/>
                  <w:noWrap w:val="0"/>
                  <w:vAlign w:val="center"/>
                </w:tcPr>
                <w:p w14:paraId="3819C10A">
                  <w:pPr>
                    <w:keepNext w:val="0"/>
                    <w:keepLines w:val="0"/>
                    <w:widowControl/>
                    <w:suppressLineNumbers w:val="0"/>
                    <w:jc w:val="center"/>
                    <w:textAlignment w:val="center"/>
                    <w:rPr>
                      <w:rFonts w:hint="default" w:ascii="Times New Roman" w:hAnsi="Times New Roman" w:cs="Times New Roman"/>
                      <w:bCs/>
                      <w:color w:val="0000FF"/>
                      <w:kern w:val="28"/>
                      <w:szCs w:val="21"/>
                      <w:lang w:val="zh-CN"/>
                    </w:rPr>
                  </w:pPr>
                  <w:r>
                    <w:rPr>
                      <w:rFonts w:hint="eastAsia" w:ascii="宋体" w:hAnsi="宋体" w:eastAsia="宋体" w:cs="宋体"/>
                      <w:i w:val="0"/>
                      <w:iCs w:val="0"/>
                      <w:color w:val="0000FF"/>
                      <w:kern w:val="0"/>
                      <w:sz w:val="21"/>
                      <w:szCs w:val="21"/>
                      <w:u w:val="none"/>
                      <w:lang w:val="en-US" w:eastAsia="zh-CN" w:bidi="ar"/>
                    </w:rPr>
                    <w:t>达标</w:t>
                  </w:r>
                </w:p>
              </w:tc>
            </w:tr>
            <w:tr w14:paraId="06996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1" w:type="dxa"/>
                  <w:noWrap w:val="0"/>
                  <w:vAlign w:val="center"/>
                </w:tcPr>
                <w:p w14:paraId="31FA09A7">
                  <w:pPr>
                    <w:keepNext w:val="0"/>
                    <w:keepLines w:val="0"/>
                    <w:widowControl/>
                    <w:suppressLineNumbers w:val="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iCs w:val="0"/>
                      <w:color w:val="0000FF"/>
                      <w:kern w:val="0"/>
                      <w:sz w:val="21"/>
                      <w:szCs w:val="21"/>
                      <w:u w:val="none"/>
                      <w:lang w:val="en-US" w:eastAsia="zh-CN" w:bidi="ar"/>
                    </w:rPr>
                    <w:t>SO</w:t>
                  </w:r>
                  <w:r>
                    <w:rPr>
                      <w:rFonts w:hint="default" w:ascii="Times New Roman" w:hAnsi="Times New Roman" w:eastAsia="宋体" w:cs="Times New Roman"/>
                      <w:i w:val="0"/>
                      <w:iCs w:val="0"/>
                      <w:color w:val="0000FF"/>
                      <w:kern w:val="0"/>
                      <w:sz w:val="21"/>
                      <w:szCs w:val="21"/>
                      <w:u w:val="none"/>
                      <w:vertAlign w:val="subscript"/>
                      <w:lang w:val="en-US" w:eastAsia="zh-CN" w:bidi="ar"/>
                    </w:rPr>
                    <w:t>2</w:t>
                  </w:r>
                </w:p>
              </w:tc>
              <w:tc>
                <w:tcPr>
                  <w:tcW w:w="2742" w:type="dxa"/>
                  <w:vMerge w:val="continue"/>
                  <w:noWrap w:val="0"/>
                  <w:vAlign w:val="center"/>
                </w:tcPr>
                <w:p w14:paraId="1CFA5D9C">
                  <w:pPr>
                    <w:jc w:val="center"/>
                    <w:rPr>
                      <w:rFonts w:hint="default" w:ascii="Times New Roman" w:hAnsi="Times New Roman" w:cs="Times New Roman"/>
                      <w:color w:val="0000FF"/>
                      <w:szCs w:val="21"/>
                    </w:rPr>
                  </w:pPr>
                </w:p>
              </w:tc>
              <w:tc>
                <w:tcPr>
                  <w:tcW w:w="1081" w:type="dxa"/>
                  <w:noWrap w:val="0"/>
                  <w:vAlign w:val="center"/>
                </w:tcPr>
                <w:p w14:paraId="3A48D757">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5</w:t>
                  </w:r>
                </w:p>
              </w:tc>
              <w:tc>
                <w:tcPr>
                  <w:tcW w:w="1113" w:type="dxa"/>
                  <w:noWrap w:val="0"/>
                  <w:vAlign w:val="center"/>
                </w:tcPr>
                <w:p w14:paraId="556CB781">
                  <w:pPr>
                    <w:keepNext w:val="0"/>
                    <w:keepLines w:val="0"/>
                    <w:widowControl/>
                    <w:suppressLineNumbers w:val="0"/>
                    <w:jc w:val="center"/>
                    <w:textAlignment w:val="center"/>
                    <w:rPr>
                      <w:rFonts w:hint="default" w:ascii="Times New Roman" w:hAnsi="Times New Roman" w:cs="Times New Roman"/>
                      <w:color w:val="0000FF"/>
                    </w:rPr>
                  </w:pPr>
                  <w:r>
                    <w:rPr>
                      <w:rFonts w:hint="default" w:ascii="Times New Roman" w:hAnsi="Times New Roman" w:eastAsia="宋体" w:cs="Times New Roman"/>
                      <w:i w:val="0"/>
                      <w:iCs w:val="0"/>
                      <w:color w:val="0000FF"/>
                      <w:kern w:val="0"/>
                      <w:sz w:val="21"/>
                      <w:szCs w:val="21"/>
                      <w:u w:val="none"/>
                      <w:lang w:val="en-US" w:eastAsia="zh-CN" w:bidi="ar"/>
                    </w:rPr>
                    <w:t>60</w:t>
                  </w:r>
                </w:p>
              </w:tc>
              <w:tc>
                <w:tcPr>
                  <w:tcW w:w="919" w:type="dxa"/>
                  <w:noWrap w:val="0"/>
                  <w:vAlign w:val="center"/>
                </w:tcPr>
                <w:p w14:paraId="77768BB6">
                  <w:pPr>
                    <w:keepNext w:val="0"/>
                    <w:keepLines w:val="0"/>
                    <w:widowControl/>
                    <w:suppressLineNumbers w:val="0"/>
                    <w:jc w:val="center"/>
                    <w:textAlignment w:val="center"/>
                    <w:rPr>
                      <w:rFonts w:hint="default" w:ascii="Times New Roman" w:hAnsi="Times New Roman" w:cs="Times New Roman"/>
                      <w:color w:val="0000FF"/>
                    </w:rPr>
                  </w:pPr>
                  <w:r>
                    <w:rPr>
                      <w:rFonts w:hint="default" w:ascii="Times New Roman" w:hAnsi="Times New Roman" w:eastAsia="宋体" w:cs="Times New Roman"/>
                      <w:i w:val="0"/>
                      <w:iCs w:val="0"/>
                      <w:color w:val="0000FF"/>
                      <w:kern w:val="0"/>
                      <w:sz w:val="21"/>
                      <w:szCs w:val="21"/>
                      <w:u w:val="none"/>
                      <w:lang w:val="en-US" w:eastAsia="zh-CN" w:bidi="ar"/>
                    </w:rPr>
                    <w:t xml:space="preserve">8.33 </w:t>
                  </w:r>
                </w:p>
              </w:tc>
              <w:tc>
                <w:tcPr>
                  <w:tcW w:w="694" w:type="dxa"/>
                  <w:noWrap w:val="0"/>
                  <w:vAlign w:val="center"/>
                </w:tcPr>
                <w:p w14:paraId="2F6F668B">
                  <w:pPr>
                    <w:keepNext w:val="0"/>
                    <w:keepLines w:val="0"/>
                    <w:widowControl/>
                    <w:suppressLineNumbers w:val="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iCs w:val="0"/>
                      <w:color w:val="0000FF"/>
                      <w:kern w:val="0"/>
                      <w:sz w:val="21"/>
                      <w:szCs w:val="21"/>
                      <w:u w:val="none"/>
                      <w:lang w:val="en-US" w:eastAsia="zh-CN" w:bidi="ar"/>
                    </w:rPr>
                    <w:t>0</w:t>
                  </w:r>
                </w:p>
              </w:tc>
              <w:tc>
                <w:tcPr>
                  <w:tcW w:w="666" w:type="dxa"/>
                  <w:noWrap w:val="0"/>
                  <w:vAlign w:val="center"/>
                </w:tcPr>
                <w:p w14:paraId="2F992332">
                  <w:pPr>
                    <w:keepNext w:val="0"/>
                    <w:keepLines w:val="0"/>
                    <w:widowControl/>
                    <w:suppressLineNumbers w:val="0"/>
                    <w:jc w:val="center"/>
                    <w:textAlignment w:val="center"/>
                    <w:rPr>
                      <w:rFonts w:hint="default" w:ascii="Times New Roman" w:hAnsi="Times New Roman" w:cs="Times New Roman"/>
                      <w:bCs/>
                      <w:color w:val="0000FF"/>
                      <w:kern w:val="28"/>
                      <w:szCs w:val="21"/>
                      <w:lang w:val="zh-CN"/>
                    </w:rPr>
                  </w:pPr>
                  <w:r>
                    <w:rPr>
                      <w:rFonts w:hint="eastAsia" w:ascii="宋体" w:hAnsi="宋体" w:eastAsia="宋体" w:cs="宋体"/>
                      <w:i w:val="0"/>
                      <w:iCs w:val="0"/>
                      <w:color w:val="0000FF"/>
                      <w:kern w:val="0"/>
                      <w:sz w:val="21"/>
                      <w:szCs w:val="21"/>
                      <w:u w:val="none"/>
                      <w:lang w:val="en-US" w:eastAsia="zh-CN" w:bidi="ar"/>
                    </w:rPr>
                    <w:t>达标</w:t>
                  </w:r>
                </w:p>
              </w:tc>
            </w:tr>
            <w:tr w14:paraId="54F8E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1" w:type="dxa"/>
                  <w:noWrap w:val="0"/>
                  <w:vAlign w:val="center"/>
                </w:tcPr>
                <w:p w14:paraId="4995365F">
                  <w:pPr>
                    <w:keepNext w:val="0"/>
                    <w:keepLines w:val="0"/>
                    <w:widowControl/>
                    <w:suppressLineNumbers w:val="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iCs w:val="0"/>
                      <w:color w:val="0000FF"/>
                      <w:kern w:val="0"/>
                      <w:sz w:val="21"/>
                      <w:szCs w:val="21"/>
                      <w:u w:val="none"/>
                      <w:lang w:val="en-US" w:eastAsia="zh-CN" w:bidi="ar"/>
                    </w:rPr>
                    <w:t>NO</w:t>
                  </w:r>
                  <w:r>
                    <w:rPr>
                      <w:rFonts w:hint="default" w:ascii="Times New Roman" w:hAnsi="Times New Roman" w:eastAsia="宋体" w:cs="Times New Roman"/>
                      <w:i w:val="0"/>
                      <w:iCs w:val="0"/>
                      <w:color w:val="0000FF"/>
                      <w:kern w:val="0"/>
                      <w:sz w:val="21"/>
                      <w:szCs w:val="21"/>
                      <w:u w:val="none"/>
                      <w:vertAlign w:val="subscript"/>
                      <w:lang w:val="en-US" w:eastAsia="zh-CN" w:bidi="ar"/>
                    </w:rPr>
                    <w:t>2</w:t>
                  </w:r>
                </w:p>
              </w:tc>
              <w:tc>
                <w:tcPr>
                  <w:tcW w:w="2742" w:type="dxa"/>
                  <w:vMerge w:val="continue"/>
                  <w:noWrap w:val="0"/>
                  <w:vAlign w:val="center"/>
                </w:tcPr>
                <w:p w14:paraId="5472E316">
                  <w:pPr>
                    <w:jc w:val="center"/>
                    <w:rPr>
                      <w:rFonts w:hint="default" w:ascii="Times New Roman" w:hAnsi="Times New Roman" w:cs="Times New Roman"/>
                      <w:color w:val="0000FF"/>
                      <w:szCs w:val="21"/>
                    </w:rPr>
                  </w:pPr>
                </w:p>
              </w:tc>
              <w:tc>
                <w:tcPr>
                  <w:tcW w:w="1081" w:type="dxa"/>
                  <w:noWrap w:val="0"/>
                  <w:vAlign w:val="center"/>
                </w:tcPr>
                <w:p w14:paraId="6B4C49B8">
                  <w:pPr>
                    <w:keepNext w:val="0"/>
                    <w:keepLines w:val="0"/>
                    <w:widowControl/>
                    <w:suppressLineNumbers w:val="0"/>
                    <w:jc w:val="center"/>
                    <w:textAlignment w:val="center"/>
                    <w:rPr>
                      <w:rFonts w:hint="default" w:ascii="Times New Roman" w:hAnsi="Times New Roman" w:eastAsia="宋体" w:cs="Times New Roman"/>
                      <w:color w:val="0000FF"/>
                      <w:highlight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21</w:t>
                  </w:r>
                </w:p>
              </w:tc>
              <w:tc>
                <w:tcPr>
                  <w:tcW w:w="1113" w:type="dxa"/>
                  <w:noWrap w:val="0"/>
                  <w:vAlign w:val="center"/>
                </w:tcPr>
                <w:p w14:paraId="2DBCBFC1">
                  <w:pPr>
                    <w:keepNext w:val="0"/>
                    <w:keepLines w:val="0"/>
                    <w:widowControl/>
                    <w:suppressLineNumbers w:val="0"/>
                    <w:jc w:val="center"/>
                    <w:textAlignment w:val="center"/>
                    <w:rPr>
                      <w:rFonts w:hint="default" w:ascii="Times New Roman" w:hAnsi="Times New Roman" w:cs="Times New Roman"/>
                      <w:color w:val="0000FF"/>
                      <w:highlight w:val="none"/>
                    </w:rPr>
                  </w:pPr>
                  <w:r>
                    <w:rPr>
                      <w:rFonts w:hint="default" w:ascii="Times New Roman" w:hAnsi="Times New Roman" w:eastAsia="宋体" w:cs="Times New Roman"/>
                      <w:i w:val="0"/>
                      <w:iCs w:val="0"/>
                      <w:color w:val="0000FF"/>
                      <w:kern w:val="0"/>
                      <w:sz w:val="21"/>
                      <w:szCs w:val="21"/>
                      <w:u w:val="none"/>
                      <w:lang w:val="en-US" w:eastAsia="zh-CN" w:bidi="ar"/>
                    </w:rPr>
                    <w:t>40</w:t>
                  </w:r>
                </w:p>
              </w:tc>
              <w:tc>
                <w:tcPr>
                  <w:tcW w:w="919" w:type="dxa"/>
                  <w:noWrap w:val="0"/>
                  <w:vAlign w:val="center"/>
                </w:tcPr>
                <w:p w14:paraId="07125CA4">
                  <w:pPr>
                    <w:keepNext w:val="0"/>
                    <w:keepLines w:val="0"/>
                    <w:widowControl/>
                    <w:suppressLineNumbers w:val="0"/>
                    <w:jc w:val="center"/>
                    <w:textAlignment w:val="center"/>
                    <w:rPr>
                      <w:rFonts w:hint="default" w:ascii="Times New Roman" w:hAnsi="Times New Roman" w:cs="Times New Roman"/>
                      <w:color w:val="0000FF"/>
                    </w:rPr>
                  </w:pPr>
                  <w:r>
                    <w:rPr>
                      <w:rFonts w:hint="default" w:ascii="Times New Roman" w:hAnsi="Times New Roman" w:eastAsia="宋体" w:cs="Times New Roman"/>
                      <w:i w:val="0"/>
                      <w:iCs w:val="0"/>
                      <w:color w:val="0000FF"/>
                      <w:kern w:val="0"/>
                      <w:sz w:val="21"/>
                      <w:szCs w:val="21"/>
                      <w:u w:val="none"/>
                      <w:lang w:val="en-US" w:eastAsia="zh-CN" w:bidi="ar"/>
                    </w:rPr>
                    <w:t xml:space="preserve">52.50 </w:t>
                  </w:r>
                </w:p>
              </w:tc>
              <w:tc>
                <w:tcPr>
                  <w:tcW w:w="694" w:type="dxa"/>
                  <w:noWrap w:val="0"/>
                  <w:vAlign w:val="center"/>
                </w:tcPr>
                <w:p w14:paraId="4D45E42B">
                  <w:pPr>
                    <w:keepNext w:val="0"/>
                    <w:keepLines w:val="0"/>
                    <w:widowControl/>
                    <w:suppressLineNumbers w:val="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iCs w:val="0"/>
                      <w:color w:val="0000FF"/>
                      <w:kern w:val="0"/>
                      <w:sz w:val="21"/>
                      <w:szCs w:val="21"/>
                      <w:u w:val="none"/>
                      <w:lang w:val="en-US" w:eastAsia="zh-CN" w:bidi="ar"/>
                    </w:rPr>
                    <w:t>0</w:t>
                  </w:r>
                </w:p>
              </w:tc>
              <w:tc>
                <w:tcPr>
                  <w:tcW w:w="666" w:type="dxa"/>
                  <w:noWrap w:val="0"/>
                  <w:vAlign w:val="center"/>
                </w:tcPr>
                <w:p w14:paraId="34014325">
                  <w:pPr>
                    <w:keepNext w:val="0"/>
                    <w:keepLines w:val="0"/>
                    <w:widowControl/>
                    <w:suppressLineNumbers w:val="0"/>
                    <w:jc w:val="center"/>
                    <w:textAlignment w:val="center"/>
                    <w:rPr>
                      <w:rFonts w:hint="default" w:ascii="Times New Roman" w:hAnsi="Times New Roman" w:cs="Times New Roman"/>
                      <w:bCs/>
                      <w:color w:val="0000FF"/>
                      <w:kern w:val="28"/>
                      <w:szCs w:val="21"/>
                      <w:lang w:val="zh-CN"/>
                    </w:rPr>
                  </w:pPr>
                  <w:r>
                    <w:rPr>
                      <w:rFonts w:hint="eastAsia" w:ascii="宋体" w:hAnsi="宋体" w:eastAsia="宋体" w:cs="宋体"/>
                      <w:i w:val="0"/>
                      <w:iCs w:val="0"/>
                      <w:color w:val="0000FF"/>
                      <w:kern w:val="0"/>
                      <w:sz w:val="21"/>
                      <w:szCs w:val="21"/>
                      <w:u w:val="none"/>
                      <w:lang w:val="en-US" w:eastAsia="zh-CN" w:bidi="ar"/>
                    </w:rPr>
                    <w:t>达标</w:t>
                  </w:r>
                </w:p>
              </w:tc>
            </w:tr>
            <w:tr w14:paraId="54AEE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1" w:type="dxa"/>
                  <w:noWrap w:val="0"/>
                  <w:vAlign w:val="center"/>
                </w:tcPr>
                <w:p w14:paraId="09893977">
                  <w:pPr>
                    <w:keepNext w:val="0"/>
                    <w:keepLines w:val="0"/>
                    <w:widowControl/>
                    <w:suppressLineNumbers w:val="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iCs w:val="0"/>
                      <w:color w:val="0000FF"/>
                      <w:kern w:val="0"/>
                      <w:sz w:val="21"/>
                      <w:szCs w:val="21"/>
                      <w:u w:val="none"/>
                      <w:lang w:val="en-US" w:eastAsia="zh-CN" w:bidi="ar"/>
                    </w:rPr>
                    <w:t>PM</w:t>
                  </w:r>
                  <w:r>
                    <w:rPr>
                      <w:rFonts w:hint="default" w:ascii="Times New Roman" w:hAnsi="Times New Roman" w:eastAsia="宋体" w:cs="Times New Roman"/>
                      <w:i w:val="0"/>
                      <w:iCs w:val="0"/>
                      <w:color w:val="0000FF"/>
                      <w:kern w:val="0"/>
                      <w:sz w:val="21"/>
                      <w:szCs w:val="21"/>
                      <w:u w:val="none"/>
                      <w:vertAlign w:val="subscript"/>
                      <w:lang w:val="en-US" w:eastAsia="zh-CN" w:bidi="ar"/>
                    </w:rPr>
                    <w:t>2.5</w:t>
                  </w:r>
                </w:p>
              </w:tc>
              <w:tc>
                <w:tcPr>
                  <w:tcW w:w="2742" w:type="dxa"/>
                  <w:vMerge w:val="continue"/>
                  <w:noWrap w:val="0"/>
                  <w:vAlign w:val="center"/>
                </w:tcPr>
                <w:p w14:paraId="78F01642">
                  <w:pPr>
                    <w:jc w:val="center"/>
                    <w:rPr>
                      <w:rFonts w:hint="default" w:ascii="Times New Roman" w:hAnsi="Times New Roman" w:cs="Times New Roman"/>
                      <w:color w:val="0000FF"/>
                      <w:szCs w:val="21"/>
                    </w:rPr>
                  </w:pPr>
                </w:p>
              </w:tc>
              <w:tc>
                <w:tcPr>
                  <w:tcW w:w="1081" w:type="dxa"/>
                  <w:noWrap w:val="0"/>
                  <w:vAlign w:val="center"/>
                </w:tcPr>
                <w:p w14:paraId="6349F453">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34</w:t>
                  </w:r>
                </w:p>
              </w:tc>
              <w:tc>
                <w:tcPr>
                  <w:tcW w:w="1113" w:type="dxa"/>
                  <w:noWrap w:val="0"/>
                  <w:vAlign w:val="center"/>
                </w:tcPr>
                <w:p w14:paraId="0DBDDF4A">
                  <w:pPr>
                    <w:keepNext w:val="0"/>
                    <w:keepLines w:val="0"/>
                    <w:widowControl/>
                    <w:suppressLineNumbers w:val="0"/>
                    <w:jc w:val="center"/>
                    <w:textAlignment w:val="center"/>
                    <w:rPr>
                      <w:rFonts w:hint="default" w:ascii="Times New Roman" w:hAnsi="Times New Roman" w:cs="Times New Roman"/>
                      <w:color w:val="0000FF"/>
                    </w:rPr>
                  </w:pPr>
                  <w:r>
                    <w:rPr>
                      <w:rFonts w:hint="default" w:ascii="Times New Roman" w:hAnsi="Times New Roman" w:eastAsia="宋体" w:cs="Times New Roman"/>
                      <w:i w:val="0"/>
                      <w:iCs w:val="0"/>
                      <w:color w:val="0000FF"/>
                      <w:kern w:val="0"/>
                      <w:sz w:val="21"/>
                      <w:szCs w:val="21"/>
                      <w:u w:val="none"/>
                      <w:lang w:val="en-US" w:eastAsia="zh-CN" w:bidi="ar"/>
                    </w:rPr>
                    <w:t>35</w:t>
                  </w:r>
                </w:p>
              </w:tc>
              <w:tc>
                <w:tcPr>
                  <w:tcW w:w="919" w:type="dxa"/>
                  <w:noWrap w:val="0"/>
                  <w:vAlign w:val="center"/>
                </w:tcPr>
                <w:p w14:paraId="388E09A7">
                  <w:pPr>
                    <w:keepNext w:val="0"/>
                    <w:keepLines w:val="0"/>
                    <w:widowControl/>
                    <w:suppressLineNumbers w:val="0"/>
                    <w:jc w:val="center"/>
                    <w:textAlignment w:val="center"/>
                    <w:rPr>
                      <w:rFonts w:hint="default" w:ascii="Times New Roman" w:hAnsi="Times New Roman" w:cs="Times New Roman"/>
                      <w:color w:val="0000FF"/>
                    </w:rPr>
                  </w:pPr>
                  <w:r>
                    <w:rPr>
                      <w:rFonts w:hint="default" w:ascii="Times New Roman" w:hAnsi="Times New Roman" w:eastAsia="宋体" w:cs="Times New Roman"/>
                      <w:i w:val="0"/>
                      <w:iCs w:val="0"/>
                      <w:color w:val="0000FF"/>
                      <w:kern w:val="0"/>
                      <w:sz w:val="21"/>
                      <w:szCs w:val="21"/>
                      <w:u w:val="none"/>
                      <w:lang w:val="en-US" w:eastAsia="zh-CN" w:bidi="ar"/>
                    </w:rPr>
                    <w:t xml:space="preserve">97.14 </w:t>
                  </w:r>
                </w:p>
              </w:tc>
              <w:tc>
                <w:tcPr>
                  <w:tcW w:w="694" w:type="dxa"/>
                  <w:noWrap w:val="0"/>
                  <w:vAlign w:val="center"/>
                </w:tcPr>
                <w:p w14:paraId="437226FC">
                  <w:pPr>
                    <w:keepNext w:val="0"/>
                    <w:keepLines w:val="0"/>
                    <w:widowControl/>
                    <w:suppressLineNumbers w:val="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iCs w:val="0"/>
                      <w:color w:val="0000FF"/>
                      <w:kern w:val="0"/>
                      <w:sz w:val="21"/>
                      <w:szCs w:val="21"/>
                      <w:u w:val="none"/>
                      <w:lang w:val="en-US" w:eastAsia="zh-CN" w:bidi="ar"/>
                    </w:rPr>
                    <w:t>0</w:t>
                  </w:r>
                </w:p>
              </w:tc>
              <w:tc>
                <w:tcPr>
                  <w:tcW w:w="666" w:type="dxa"/>
                  <w:noWrap w:val="0"/>
                  <w:vAlign w:val="center"/>
                </w:tcPr>
                <w:p w14:paraId="6D7E28AB">
                  <w:pPr>
                    <w:keepNext w:val="0"/>
                    <w:keepLines w:val="0"/>
                    <w:widowControl/>
                    <w:suppressLineNumbers w:val="0"/>
                    <w:jc w:val="center"/>
                    <w:textAlignment w:val="center"/>
                    <w:rPr>
                      <w:rFonts w:hint="default" w:ascii="Times New Roman" w:hAnsi="Times New Roman" w:cs="Times New Roman"/>
                      <w:bCs/>
                      <w:color w:val="0000FF"/>
                      <w:kern w:val="28"/>
                      <w:szCs w:val="21"/>
                      <w:lang w:val="zh-CN"/>
                    </w:rPr>
                  </w:pPr>
                  <w:r>
                    <w:rPr>
                      <w:rFonts w:hint="eastAsia" w:ascii="宋体" w:hAnsi="宋体" w:eastAsia="宋体" w:cs="宋体"/>
                      <w:i w:val="0"/>
                      <w:iCs w:val="0"/>
                      <w:color w:val="0000FF"/>
                      <w:kern w:val="0"/>
                      <w:sz w:val="21"/>
                      <w:szCs w:val="21"/>
                      <w:u w:val="none"/>
                      <w:lang w:val="en-US" w:eastAsia="zh-CN" w:bidi="ar"/>
                    </w:rPr>
                    <w:t>达标</w:t>
                  </w:r>
                </w:p>
              </w:tc>
            </w:tr>
            <w:tr w14:paraId="24658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1" w:type="dxa"/>
                  <w:noWrap w:val="0"/>
                  <w:vAlign w:val="center"/>
                </w:tcPr>
                <w:p w14:paraId="7E339226">
                  <w:pPr>
                    <w:keepNext w:val="0"/>
                    <w:keepLines w:val="0"/>
                    <w:widowControl/>
                    <w:suppressLineNumbers w:val="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iCs w:val="0"/>
                      <w:color w:val="0000FF"/>
                      <w:kern w:val="0"/>
                      <w:sz w:val="21"/>
                      <w:szCs w:val="21"/>
                      <w:u w:val="none"/>
                      <w:lang w:val="en-US" w:eastAsia="zh-CN" w:bidi="ar"/>
                    </w:rPr>
                    <w:t>CO</w:t>
                  </w:r>
                  <w:r>
                    <w:rPr>
                      <w:rFonts w:hint="eastAsia" w:ascii="宋体" w:hAnsi="宋体" w:eastAsia="宋体" w:cs="宋体"/>
                      <w:i w:val="0"/>
                      <w:iCs w:val="0"/>
                      <w:color w:val="0000FF"/>
                      <w:kern w:val="0"/>
                      <w:sz w:val="21"/>
                      <w:szCs w:val="21"/>
                      <w:u w:val="none"/>
                      <w:lang w:val="en-US" w:eastAsia="zh-CN" w:bidi="ar"/>
                    </w:rPr>
                    <w:t>（</w:t>
                  </w:r>
                  <w:r>
                    <w:rPr>
                      <w:rFonts w:hint="default" w:ascii="Times New Roman" w:hAnsi="Times New Roman" w:eastAsia="宋体" w:cs="Times New Roman"/>
                      <w:i w:val="0"/>
                      <w:iCs w:val="0"/>
                      <w:color w:val="0000FF"/>
                      <w:kern w:val="0"/>
                      <w:sz w:val="21"/>
                      <w:szCs w:val="21"/>
                      <w:u w:val="none"/>
                      <w:lang w:val="en-US" w:eastAsia="zh-CN" w:bidi="ar"/>
                    </w:rPr>
                    <w:t>mg/m</w:t>
                  </w:r>
                  <w:r>
                    <w:rPr>
                      <w:rFonts w:hint="default" w:ascii="Times New Roman" w:hAnsi="Times New Roman" w:eastAsia="宋体" w:cs="Times New Roman"/>
                      <w:i w:val="0"/>
                      <w:iCs w:val="0"/>
                      <w:color w:val="0000FF"/>
                      <w:kern w:val="0"/>
                      <w:sz w:val="21"/>
                      <w:szCs w:val="21"/>
                      <w:u w:val="none"/>
                      <w:vertAlign w:val="superscript"/>
                      <w:lang w:val="en-US" w:eastAsia="zh-CN" w:bidi="ar"/>
                    </w:rPr>
                    <w:t>3</w:t>
                  </w:r>
                  <w:r>
                    <w:rPr>
                      <w:rFonts w:hint="eastAsia" w:ascii="宋体" w:hAnsi="宋体" w:eastAsia="宋体" w:cs="宋体"/>
                      <w:i w:val="0"/>
                      <w:iCs w:val="0"/>
                      <w:color w:val="0000FF"/>
                      <w:kern w:val="0"/>
                      <w:sz w:val="21"/>
                      <w:szCs w:val="21"/>
                      <w:u w:val="none"/>
                      <w:lang w:val="en-US" w:eastAsia="zh-CN" w:bidi="ar"/>
                    </w:rPr>
                    <w:t>）</w:t>
                  </w:r>
                </w:p>
              </w:tc>
              <w:tc>
                <w:tcPr>
                  <w:tcW w:w="2742" w:type="dxa"/>
                  <w:noWrap w:val="0"/>
                  <w:vAlign w:val="center"/>
                </w:tcPr>
                <w:p w14:paraId="06922B10">
                  <w:pPr>
                    <w:keepNext w:val="0"/>
                    <w:keepLines w:val="0"/>
                    <w:widowControl/>
                    <w:suppressLineNumbers w:val="0"/>
                    <w:jc w:val="both"/>
                    <w:textAlignment w:val="center"/>
                    <w:rPr>
                      <w:rFonts w:hint="default" w:ascii="Times New Roman" w:hAnsi="Times New Roman" w:cs="Times New Roman"/>
                      <w:color w:val="0000FF"/>
                      <w:szCs w:val="21"/>
                    </w:rPr>
                  </w:pPr>
                  <w:r>
                    <w:rPr>
                      <w:rFonts w:hint="eastAsia" w:ascii="宋体" w:hAnsi="宋体" w:eastAsia="宋体" w:cs="宋体"/>
                      <w:i w:val="0"/>
                      <w:iCs w:val="0"/>
                      <w:color w:val="0000FF"/>
                      <w:kern w:val="0"/>
                      <w:sz w:val="21"/>
                      <w:szCs w:val="21"/>
                      <w:u w:val="none"/>
                      <w:lang w:val="en-US" w:eastAsia="zh-CN" w:bidi="ar"/>
                    </w:rPr>
                    <w:t>日平均值的第</w:t>
                  </w:r>
                  <w:r>
                    <w:rPr>
                      <w:rFonts w:hint="default" w:ascii="Times New Roman" w:hAnsi="Times New Roman" w:eastAsia="宋体" w:cs="Times New Roman"/>
                      <w:i w:val="0"/>
                      <w:iCs w:val="0"/>
                      <w:color w:val="0000FF"/>
                      <w:kern w:val="0"/>
                      <w:sz w:val="21"/>
                      <w:szCs w:val="21"/>
                      <w:u w:val="none"/>
                      <w:lang w:val="en-US" w:eastAsia="zh-CN" w:bidi="ar"/>
                    </w:rPr>
                    <w:t>95</w:t>
                  </w:r>
                  <w:r>
                    <w:rPr>
                      <w:rFonts w:hint="eastAsia" w:ascii="宋体" w:hAnsi="宋体" w:eastAsia="宋体" w:cs="宋体"/>
                      <w:i w:val="0"/>
                      <w:iCs w:val="0"/>
                      <w:color w:val="0000FF"/>
                      <w:kern w:val="0"/>
                      <w:sz w:val="21"/>
                      <w:szCs w:val="21"/>
                      <w:u w:val="none"/>
                      <w:lang w:val="en-US" w:eastAsia="zh-CN" w:bidi="ar"/>
                    </w:rPr>
                    <w:t>百分位数</w:t>
                  </w:r>
                </w:p>
              </w:tc>
              <w:tc>
                <w:tcPr>
                  <w:tcW w:w="1081" w:type="dxa"/>
                  <w:noWrap w:val="0"/>
                  <w:vAlign w:val="center"/>
                </w:tcPr>
                <w:p w14:paraId="491854C8">
                  <w:pPr>
                    <w:keepNext w:val="0"/>
                    <w:keepLines w:val="0"/>
                    <w:widowControl/>
                    <w:suppressLineNumbers w:val="0"/>
                    <w:jc w:val="center"/>
                    <w:textAlignment w:val="center"/>
                    <w:rPr>
                      <w:rFonts w:hint="default" w:ascii="Times New Roman" w:hAnsi="Times New Roman" w:eastAsia="宋体" w:cs="Times New Roman"/>
                      <w:color w:val="0000FF"/>
                      <w:lang w:val="en-US" w:eastAsia="zh-CN"/>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1113" w:type="dxa"/>
                  <w:noWrap w:val="0"/>
                  <w:vAlign w:val="center"/>
                </w:tcPr>
                <w:p w14:paraId="7CD43E8A">
                  <w:pPr>
                    <w:keepNext w:val="0"/>
                    <w:keepLines w:val="0"/>
                    <w:widowControl/>
                    <w:suppressLineNumbers w:val="0"/>
                    <w:jc w:val="center"/>
                    <w:textAlignment w:val="center"/>
                    <w:rPr>
                      <w:rFonts w:hint="default" w:ascii="Times New Roman" w:hAnsi="Times New Roman" w:cs="Times New Roman"/>
                      <w:color w:val="0000FF"/>
                    </w:rPr>
                  </w:pPr>
                  <w:r>
                    <w:rPr>
                      <w:rFonts w:hint="default" w:ascii="Times New Roman" w:hAnsi="Times New Roman" w:eastAsia="宋体" w:cs="Times New Roman"/>
                      <w:b/>
                      <w:bCs/>
                      <w:i w:val="0"/>
                      <w:iCs w:val="0"/>
                      <w:color w:val="0000FF"/>
                      <w:kern w:val="0"/>
                      <w:sz w:val="21"/>
                      <w:szCs w:val="21"/>
                      <w:u w:val="none"/>
                      <w:lang w:val="en-US" w:eastAsia="zh-CN" w:bidi="ar"/>
                    </w:rPr>
                    <w:t>4</w:t>
                  </w:r>
                </w:p>
              </w:tc>
              <w:tc>
                <w:tcPr>
                  <w:tcW w:w="919" w:type="dxa"/>
                  <w:noWrap w:val="0"/>
                  <w:vAlign w:val="center"/>
                </w:tcPr>
                <w:p w14:paraId="44B165AE">
                  <w:pPr>
                    <w:keepNext w:val="0"/>
                    <w:keepLines w:val="0"/>
                    <w:widowControl/>
                    <w:suppressLineNumbers w:val="0"/>
                    <w:jc w:val="center"/>
                    <w:textAlignment w:val="center"/>
                    <w:rPr>
                      <w:rFonts w:hint="default" w:ascii="Times New Roman" w:hAnsi="Times New Roman" w:cs="Times New Roman"/>
                      <w:color w:val="0000FF"/>
                    </w:rPr>
                  </w:pPr>
                  <w:r>
                    <w:rPr>
                      <w:rFonts w:hint="default" w:ascii="Times New Roman" w:hAnsi="Times New Roman" w:eastAsia="宋体" w:cs="Times New Roman"/>
                      <w:i w:val="0"/>
                      <w:iCs w:val="0"/>
                      <w:color w:val="0000FF"/>
                      <w:kern w:val="0"/>
                      <w:sz w:val="21"/>
                      <w:szCs w:val="21"/>
                      <w:u w:val="none"/>
                      <w:lang w:val="en-US" w:eastAsia="zh-CN" w:bidi="ar"/>
                    </w:rPr>
                    <w:t xml:space="preserve">30.00 </w:t>
                  </w:r>
                </w:p>
              </w:tc>
              <w:tc>
                <w:tcPr>
                  <w:tcW w:w="694" w:type="dxa"/>
                  <w:noWrap w:val="0"/>
                  <w:vAlign w:val="center"/>
                </w:tcPr>
                <w:p w14:paraId="13AF1596">
                  <w:pPr>
                    <w:keepNext w:val="0"/>
                    <w:keepLines w:val="0"/>
                    <w:widowControl/>
                    <w:suppressLineNumbers w:val="0"/>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iCs w:val="0"/>
                      <w:color w:val="0000FF"/>
                      <w:kern w:val="0"/>
                      <w:sz w:val="21"/>
                      <w:szCs w:val="21"/>
                      <w:u w:val="none"/>
                      <w:lang w:val="en-US" w:eastAsia="zh-CN" w:bidi="ar"/>
                    </w:rPr>
                    <w:t>0</w:t>
                  </w:r>
                </w:p>
              </w:tc>
              <w:tc>
                <w:tcPr>
                  <w:tcW w:w="666" w:type="dxa"/>
                  <w:noWrap w:val="0"/>
                  <w:vAlign w:val="center"/>
                </w:tcPr>
                <w:p w14:paraId="18F83E79">
                  <w:pPr>
                    <w:keepNext w:val="0"/>
                    <w:keepLines w:val="0"/>
                    <w:widowControl/>
                    <w:suppressLineNumbers w:val="0"/>
                    <w:jc w:val="center"/>
                    <w:textAlignment w:val="center"/>
                    <w:rPr>
                      <w:rFonts w:hint="default" w:ascii="Times New Roman" w:hAnsi="Times New Roman" w:cs="Times New Roman"/>
                      <w:bCs/>
                      <w:color w:val="0000FF"/>
                      <w:kern w:val="28"/>
                      <w:szCs w:val="21"/>
                      <w:lang w:val="zh-CN"/>
                    </w:rPr>
                  </w:pPr>
                  <w:r>
                    <w:rPr>
                      <w:rFonts w:hint="eastAsia" w:ascii="宋体" w:hAnsi="宋体" w:eastAsia="宋体" w:cs="宋体"/>
                      <w:i w:val="0"/>
                      <w:iCs w:val="0"/>
                      <w:color w:val="0000FF"/>
                      <w:kern w:val="0"/>
                      <w:sz w:val="21"/>
                      <w:szCs w:val="21"/>
                      <w:u w:val="none"/>
                      <w:lang w:val="en-US" w:eastAsia="zh-CN" w:bidi="ar"/>
                    </w:rPr>
                    <w:t>达标</w:t>
                  </w:r>
                </w:p>
              </w:tc>
            </w:tr>
            <w:tr w14:paraId="0F3AB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51" w:type="dxa"/>
                  <w:noWrap w:val="0"/>
                  <w:vAlign w:val="center"/>
                </w:tcPr>
                <w:p w14:paraId="19E9E57D">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O</w:t>
                  </w:r>
                  <w:r>
                    <w:rPr>
                      <w:rFonts w:hint="default" w:ascii="Times New Roman" w:hAnsi="Times New Roman" w:eastAsia="宋体" w:cs="Times New Roman"/>
                      <w:i w:val="0"/>
                      <w:iCs w:val="0"/>
                      <w:color w:val="0000FF"/>
                      <w:kern w:val="0"/>
                      <w:sz w:val="21"/>
                      <w:szCs w:val="21"/>
                      <w:u w:val="none"/>
                      <w:vertAlign w:val="subscript"/>
                      <w:lang w:val="en-US" w:eastAsia="zh-CN" w:bidi="ar"/>
                    </w:rPr>
                    <w:t>3</w:t>
                  </w:r>
                </w:p>
              </w:tc>
              <w:tc>
                <w:tcPr>
                  <w:tcW w:w="2742" w:type="dxa"/>
                  <w:noWrap w:val="0"/>
                  <w:vAlign w:val="center"/>
                </w:tcPr>
                <w:p w14:paraId="198C7666">
                  <w:pPr>
                    <w:keepNext w:val="0"/>
                    <w:keepLines w:val="0"/>
                    <w:widowControl/>
                    <w:suppressLineNumbers w:val="0"/>
                    <w:jc w:val="both"/>
                    <w:textAlignment w:val="center"/>
                    <w:rPr>
                      <w:rFonts w:hint="eastAsia" w:ascii="宋体" w:hAnsi="宋体" w:eastAsia="宋体" w:cs="宋体"/>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日最大</w:t>
                  </w:r>
                  <w:r>
                    <w:rPr>
                      <w:rFonts w:hint="default" w:ascii="Times New Roman" w:hAnsi="Times New Roman" w:eastAsia="宋体" w:cs="Times New Roman"/>
                      <w:i w:val="0"/>
                      <w:iCs w:val="0"/>
                      <w:color w:val="0000FF"/>
                      <w:kern w:val="0"/>
                      <w:sz w:val="21"/>
                      <w:szCs w:val="21"/>
                      <w:u w:val="none"/>
                      <w:lang w:val="en-US" w:eastAsia="zh-CN" w:bidi="ar"/>
                    </w:rPr>
                    <w:t>8</w:t>
                  </w:r>
                  <w:r>
                    <w:rPr>
                      <w:rFonts w:hint="eastAsia" w:ascii="宋体" w:hAnsi="宋体" w:eastAsia="宋体" w:cs="宋体"/>
                      <w:i w:val="0"/>
                      <w:iCs w:val="0"/>
                      <w:color w:val="0000FF"/>
                      <w:kern w:val="0"/>
                      <w:sz w:val="21"/>
                      <w:szCs w:val="21"/>
                      <w:u w:val="none"/>
                      <w:lang w:val="en-US" w:eastAsia="zh-CN" w:bidi="ar"/>
                    </w:rPr>
                    <w:t>小时平均值的第</w:t>
                  </w:r>
                  <w:r>
                    <w:rPr>
                      <w:rFonts w:hint="default" w:ascii="Times New Roman" w:hAnsi="Times New Roman" w:eastAsia="宋体" w:cs="Times New Roman"/>
                      <w:i w:val="0"/>
                      <w:iCs w:val="0"/>
                      <w:color w:val="0000FF"/>
                      <w:kern w:val="0"/>
                      <w:sz w:val="21"/>
                      <w:szCs w:val="21"/>
                      <w:u w:val="none"/>
                      <w:lang w:val="en-US" w:eastAsia="zh-CN" w:bidi="ar"/>
                    </w:rPr>
                    <w:t>90</w:t>
                  </w:r>
                  <w:r>
                    <w:rPr>
                      <w:rFonts w:hint="eastAsia" w:ascii="宋体" w:hAnsi="宋体" w:eastAsia="宋体" w:cs="宋体"/>
                      <w:i w:val="0"/>
                      <w:iCs w:val="0"/>
                      <w:color w:val="0000FF"/>
                      <w:kern w:val="0"/>
                      <w:sz w:val="21"/>
                      <w:szCs w:val="21"/>
                      <w:u w:val="none"/>
                      <w:lang w:val="en-US" w:eastAsia="zh-CN" w:bidi="ar"/>
                    </w:rPr>
                    <w:t>百分位数</w:t>
                  </w:r>
                </w:p>
              </w:tc>
              <w:tc>
                <w:tcPr>
                  <w:tcW w:w="1081" w:type="dxa"/>
                  <w:noWrap w:val="0"/>
                  <w:vAlign w:val="center"/>
                </w:tcPr>
                <w:p w14:paraId="68012DD6">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114</w:t>
                  </w:r>
                </w:p>
              </w:tc>
              <w:tc>
                <w:tcPr>
                  <w:tcW w:w="1113" w:type="dxa"/>
                  <w:noWrap w:val="0"/>
                  <w:vAlign w:val="center"/>
                </w:tcPr>
                <w:p w14:paraId="4DF1060E">
                  <w:pPr>
                    <w:keepNext w:val="0"/>
                    <w:keepLines w:val="0"/>
                    <w:widowControl/>
                    <w:suppressLineNumbers w:val="0"/>
                    <w:jc w:val="center"/>
                    <w:textAlignment w:val="center"/>
                    <w:rPr>
                      <w:rFonts w:hint="default" w:ascii="Times New Roman" w:hAnsi="Times New Roman" w:eastAsia="宋体" w:cs="Times New Roman"/>
                      <w:b/>
                      <w:bCs/>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160</w:t>
                  </w:r>
                </w:p>
              </w:tc>
              <w:tc>
                <w:tcPr>
                  <w:tcW w:w="919" w:type="dxa"/>
                  <w:noWrap w:val="0"/>
                  <w:vAlign w:val="center"/>
                </w:tcPr>
                <w:p w14:paraId="69A83FDF">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 xml:space="preserve">71.25 </w:t>
                  </w:r>
                </w:p>
              </w:tc>
              <w:tc>
                <w:tcPr>
                  <w:tcW w:w="694" w:type="dxa"/>
                  <w:noWrap w:val="0"/>
                  <w:vAlign w:val="center"/>
                </w:tcPr>
                <w:p w14:paraId="5040CADE">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w:t>
                  </w:r>
                </w:p>
              </w:tc>
              <w:tc>
                <w:tcPr>
                  <w:tcW w:w="666" w:type="dxa"/>
                  <w:noWrap w:val="0"/>
                  <w:vAlign w:val="center"/>
                </w:tcPr>
                <w:p w14:paraId="589FFF83">
                  <w:pPr>
                    <w:keepNext w:val="0"/>
                    <w:keepLines w:val="0"/>
                    <w:widowControl/>
                    <w:suppressLineNumbers w:val="0"/>
                    <w:jc w:val="center"/>
                    <w:textAlignment w:val="center"/>
                    <w:rPr>
                      <w:rFonts w:hint="eastAsia" w:ascii="宋体" w:hAnsi="宋体" w:eastAsia="宋体" w:cs="宋体"/>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达标</w:t>
                  </w:r>
                </w:p>
              </w:tc>
            </w:tr>
          </w:tbl>
          <w:p w14:paraId="6CFEBD39">
            <w:pPr>
              <w:spacing w:line="360" w:lineRule="auto"/>
              <w:ind w:firstLine="480" w:firstLineChars="200"/>
              <w:rPr>
                <w:rFonts w:hint="default" w:ascii="Times New Roman" w:hAnsi="Times New Roman" w:eastAsia="宋体" w:cs="Times New Roman"/>
                <w:color w:val="0000FF"/>
                <w:kern w:val="0"/>
                <w:sz w:val="24"/>
                <w:lang w:val="en-US" w:eastAsia="zh-CN"/>
              </w:rPr>
            </w:pPr>
            <w:r>
              <w:rPr>
                <w:rFonts w:hint="default" w:ascii="Times New Roman" w:hAnsi="Times New Roman" w:cs="Times New Roman"/>
                <w:b w:val="0"/>
                <w:bCs w:val="0"/>
                <w:color w:val="0000FF"/>
                <w:sz w:val="24"/>
              </w:rPr>
              <w:t>根据上述判断，大竹县PM</w:t>
            </w:r>
            <w:r>
              <w:rPr>
                <w:rFonts w:hint="default" w:ascii="Times New Roman" w:hAnsi="Times New Roman" w:cs="Times New Roman"/>
                <w:b w:val="0"/>
                <w:bCs w:val="0"/>
                <w:color w:val="0000FF"/>
                <w:sz w:val="24"/>
                <w:vertAlign w:val="subscript"/>
              </w:rPr>
              <w:t>10</w:t>
            </w:r>
            <w:r>
              <w:rPr>
                <w:rFonts w:hint="default" w:ascii="Times New Roman" w:hAnsi="Times New Roman" w:cs="Times New Roman"/>
                <w:b w:val="0"/>
                <w:bCs w:val="0"/>
                <w:color w:val="0000FF"/>
                <w:sz w:val="24"/>
              </w:rPr>
              <w:t>、O</w:t>
            </w:r>
            <w:r>
              <w:rPr>
                <w:rFonts w:hint="default" w:ascii="Times New Roman" w:hAnsi="Times New Roman" w:cs="Times New Roman"/>
                <w:b w:val="0"/>
                <w:bCs w:val="0"/>
                <w:color w:val="0000FF"/>
                <w:sz w:val="24"/>
                <w:vertAlign w:val="subscript"/>
              </w:rPr>
              <w:t>3</w:t>
            </w:r>
            <w:r>
              <w:rPr>
                <w:rFonts w:hint="default" w:ascii="Times New Roman" w:hAnsi="Times New Roman" w:cs="Times New Roman"/>
                <w:b w:val="0"/>
                <w:bCs w:val="0"/>
                <w:color w:val="0000FF"/>
                <w:sz w:val="24"/>
              </w:rPr>
              <w:t>、SO</w:t>
            </w:r>
            <w:r>
              <w:rPr>
                <w:rFonts w:hint="default" w:ascii="Times New Roman" w:hAnsi="Times New Roman" w:eastAsia="宋体" w:cs="Times New Roman"/>
                <w:b w:val="0"/>
                <w:bCs w:val="0"/>
                <w:color w:val="0000FF"/>
                <w:sz w:val="24"/>
                <w:vertAlign w:val="subscript"/>
              </w:rPr>
              <w:t>2</w:t>
            </w:r>
            <w:r>
              <w:rPr>
                <w:rFonts w:hint="default" w:ascii="Times New Roman" w:hAnsi="Times New Roman" w:cs="Times New Roman"/>
                <w:b w:val="0"/>
                <w:bCs w:val="0"/>
                <w:color w:val="0000FF"/>
                <w:sz w:val="24"/>
              </w:rPr>
              <w:t>、PM</w:t>
            </w:r>
            <w:r>
              <w:rPr>
                <w:rFonts w:hint="default" w:ascii="Times New Roman" w:hAnsi="Times New Roman" w:cs="Times New Roman"/>
                <w:b w:val="0"/>
                <w:bCs w:val="0"/>
                <w:color w:val="0000FF"/>
                <w:sz w:val="24"/>
                <w:vertAlign w:val="subscript"/>
              </w:rPr>
              <w:t>2.5</w:t>
            </w:r>
            <w:r>
              <w:rPr>
                <w:rFonts w:hint="eastAsia" w:ascii="Times New Roman" w:hAnsi="Times New Roman" w:cs="Times New Roman"/>
                <w:b w:val="0"/>
                <w:bCs w:val="0"/>
                <w:color w:val="0000FF"/>
                <w:sz w:val="24"/>
                <w:vertAlign w:val="subscript"/>
                <w:lang w:eastAsia="zh-CN"/>
              </w:rPr>
              <w:t>、</w:t>
            </w:r>
            <w:r>
              <w:rPr>
                <w:rFonts w:hint="default" w:ascii="Times New Roman" w:hAnsi="Times New Roman" w:cs="Times New Roman"/>
                <w:b w:val="0"/>
                <w:bCs w:val="0"/>
                <w:color w:val="0000FF"/>
                <w:sz w:val="24"/>
              </w:rPr>
              <w:t>NO</w:t>
            </w:r>
            <w:r>
              <w:rPr>
                <w:rFonts w:hint="default" w:ascii="Times New Roman" w:hAnsi="Times New Roman" w:eastAsia="宋体" w:cs="Times New Roman"/>
                <w:b w:val="0"/>
                <w:bCs w:val="0"/>
                <w:color w:val="0000FF"/>
                <w:sz w:val="24"/>
                <w:vertAlign w:val="subscript"/>
              </w:rPr>
              <w:t>2</w:t>
            </w:r>
            <w:r>
              <w:rPr>
                <w:rFonts w:hint="default" w:ascii="Times New Roman" w:hAnsi="Times New Roman" w:cs="Times New Roman"/>
                <w:b w:val="0"/>
                <w:bCs w:val="0"/>
                <w:color w:val="0000FF"/>
                <w:sz w:val="24"/>
              </w:rPr>
              <w:t>和CO均能满足《环境空气质量标准》(GB3095-2012)中二级标准要求</w:t>
            </w:r>
            <w:r>
              <w:rPr>
                <w:rFonts w:hint="eastAsia" w:cs="Times New Roman"/>
                <w:b w:val="0"/>
                <w:bCs w:val="0"/>
                <w:color w:val="0000FF"/>
                <w:sz w:val="24"/>
                <w:lang w:eastAsia="zh-CN"/>
              </w:rPr>
              <w:t>，</w:t>
            </w:r>
            <w:r>
              <w:rPr>
                <w:rFonts w:hint="eastAsia" w:cs="Times New Roman"/>
                <w:b w:val="0"/>
                <w:bCs w:val="0"/>
                <w:color w:val="0000FF"/>
                <w:sz w:val="24"/>
                <w:lang w:val="en-US" w:eastAsia="zh-CN"/>
              </w:rPr>
              <w:t>大竹县属于达标区域。</w:t>
            </w:r>
          </w:p>
          <w:p w14:paraId="1994D680">
            <w:pPr>
              <w:keepNext/>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w:t>
            </w:r>
            <w:r>
              <w:rPr>
                <w:rFonts w:hint="eastAsia" w:ascii="Times New Roman" w:hAnsi="Times New Roman" w:cs="Times New Roman"/>
                <w:color w:val="auto"/>
                <w:kern w:val="0"/>
                <w:sz w:val="24"/>
                <w:highlight w:val="none"/>
                <w:lang w:val="en-US" w:eastAsia="zh-CN"/>
              </w:rPr>
              <w:t>2</w:t>
            </w:r>
            <w:r>
              <w:rPr>
                <w:rFonts w:hint="default" w:ascii="Times New Roman" w:hAnsi="Times New Roman" w:cs="Times New Roman"/>
                <w:color w:val="auto"/>
                <w:kern w:val="0"/>
                <w:sz w:val="24"/>
                <w:highlight w:val="none"/>
              </w:rPr>
              <w:t>）特征污染物</w:t>
            </w:r>
          </w:p>
          <w:p w14:paraId="7B929C89">
            <w:pPr>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0000FF"/>
                <w:sz w:val="24"/>
                <w:highlight w:val="none"/>
              </w:rPr>
            </w:pPr>
            <w:r>
              <w:rPr>
                <w:rFonts w:hint="default" w:ascii="Times New Roman" w:hAnsi="Times New Roman" w:eastAsia="宋体" w:cs="Times New Roman"/>
                <w:color w:val="0000FF"/>
                <w:sz w:val="24"/>
                <w:highlight w:val="none"/>
              </w:rPr>
              <w:t>本次评价非甲烷总烃引用《四川大竹经济开发区总体规划（2021</w:t>
            </w:r>
            <w:r>
              <w:rPr>
                <w:rFonts w:hint="eastAsia" w:cs="Times New Roman"/>
                <w:color w:val="0000FF"/>
                <w:sz w:val="24"/>
                <w:highlight w:val="none"/>
                <w:lang w:eastAsia="zh-CN"/>
              </w:rPr>
              <w:t>—</w:t>
            </w:r>
            <w:r>
              <w:rPr>
                <w:rFonts w:hint="default" w:ascii="Times New Roman" w:hAnsi="Times New Roman" w:eastAsia="宋体" w:cs="Times New Roman"/>
                <w:color w:val="0000FF"/>
                <w:sz w:val="24"/>
                <w:highlight w:val="none"/>
              </w:rPr>
              <w:t>2035年）》</w:t>
            </w:r>
            <w:r>
              <w:rPr>
                <w:rFonts w:hint="default" w:ascii="Times New Roman" w:hAnsi="Times New Roman" w:eastAsia="宋体" w:cs="Times New Roman"/>
                <w:color w:val="0000FF"/>
                <w:sz w:val="24"/>
                <w:highlight w:val="none"/>
                <w:lang w:eastAsia="zh-CN"/>
              </w:rPr>
              <w:t>（</w:t>
            </w:r>
            <w:r>
              <w:rPr>
                <w:rFonts w:hint="default" w:ascii="Times New Roman" w:hAnsi="Times New Roman" w:eastAsia="宋体" w:cs="Times New Roman"/>
                <w:color w:val="0000FF"/>
                <w:sz w:val="24"/>
                <w:highlight w:val="none"/>
                <w:lang w:val="en-US" w:eastAsia="zh-CN"/>
              </w:rPr>
              <w:t>川环原创检字（2023）第CHYC/23H19401号</w:t>
            </w:r>
            <w:r>
              <w:rPr>
                <w:rFonts w:hint="default" w:ascii="Times New Roman" w:hAnsi="Times New Roman" w:eastAsia="宋体" w:cs="Times New Roman"/>
                <w:color w:val="0000FF"/>
                <w:sz w:val="24"/>
                <w:highlight w:val="none"/>
                <w:lang w:eastAsia="zh-CN"/>
              </w:rPr>
              <w:t>）</w:t>
            </w:r>
            <w:r>
              <w:rPr>
                <w:rFonts w:hint="default" w:ascii="Times New Roman" w:hAnsi="Times New Roman" w:eastAsia="宋体" w:cs="Times New Roman"/>
                <w:color w:val="0000FF"/>
                <w:sz w:val="24"/>
                <w:highlight w:val="none"/>
              </w:rPr>
              <w:t>中</w:t>
            </w:r>
            <w:r>
              <w:rPr>
                <w:rFonts w:hint="default" w:ascii="Times New Roman" w:hAnsi="Times New Roman" w:eastAsia="宋体" w:cs="Times New Roman"/>
                <w:color w:val="0000FF"/>
                <w:sz w:val="24"/>
                <w:highlight w:val="none"/>
                <w:lang w:val="en-US" w:eastAsia="zh-CN"/>
              </w:rPr>
              <w:t>3#乌木镇的</w:t>
            </w:r>
            <w:r>
              <w:rPr>
                <w:rFonts w:hint="default" w:ascii="Times New Roman" w:hAnsi="Times New Roman" w:eastAsia="宋体" w:cs="Times New Roman"/>
                <w:color w:val="0000FF"/>
                <w:sz w:val="24"/>
                <w:highlight w:val="none"/>
              </w:rPr>
              <w:t>监测数据</w:t>
            </w:r>
            <w:r>
              <w:rPr>
                <w:rFonts w:hint="default" w:ascii="Times New Roman" w:hAnsi="Times New Roman" w:eastAsia="宋体" w:cs="Times New Roman"/>
                <w:color w:val="0000FF"/>
                <w:sz w:val="24"/>
                <w:highlight w:val="none"/>
                <w:lang w:eastAsia="zh-CN"/>
              </w:rPr>
              <w:t>。</w:t>
            </w:r>
            <w:r>
              <w:rPr>
                <w:rFonts w:hint="default" w:ascii="Times New Roman" w:hAnsi="Times New Roman" w:eastAsia="宋体" w:cs="Times New Roman"/>
                <w:color w:val="0000FF"/>
                <w:sz w:val="24"/>
                <w:highlight w:val="none"/>
              </w:rPr>
              <w:t>监测时间为202</w:t>
            </w:r>
            <w:r>
              <w:rPr>
                <w:rFonts w:hint="default" w:ascii="Times New Roman" w:hAnsi="Times New Roman" w:eastAsia="宋体" w:cs="Times New Roman"/>
                <w:color w:val="0000FF"/>
                <w:sz w:val="24"/>
                <w:highlight w:val="none"/>
                <w:lang w:val="en-US" w:eastAsia="zh-CN"/>
              </w:rPr>
              <w:t>3</w:t>
            </w:r>
            <w:r>
              <w:rPr>
                <w:rFonts w:hint="default" w:ascii="Times New Roman" w:hAnsi="Times New Roman" w:eastAsia="宋体" w:cs="Times New Roman"/>
                <w:color w:val="0000FF"/>
                <w:sz w:val="24"/>
                <w:highlight w:val="none"/>
              </w:rPr>
              <w:t>年</w:t>
            </w:r>
            <w:r>
              <w:rPr>
                <w:rFonts w:hint="default" w:ascii="Times New Roman" w:hAnsi="Times New Roman" w:eastAsia="宋体" w:cs="Times New Roman"/>
                <w:color w:val="0000FF"/>
                <w:sz w:val="24"/>
                <w:highlight w:val="none"/>
                <w:lang w:val="en-US" w:eastAsia="zh-CN"/>
              </w:rPr>
              <w:t>12</w:t>
            </w:r>
            <w:r>
              <w:rPr>
                <w:rFonts w:hint="default" w:ascii="Times New Roman" w:hAnsi="Times New Roman" w:eastAsia="宋体" w:cs="Times New Roman"/>
                <w:color w:val="0000FF"/>
                <w:sz w:val="24"/>
                <w:highlight w:val="none"/>
              </w:rPr>
              <w:t>月</w:t>
            </w:r>
            <w:r>
              <w:rPr>
                <w:rFonts w:hint="default" w:ascii="Times New Roman" w:hAnsi="Times New Roman" w:eastAsia="宋体" w:cs="Times New Roman"/>
                <w:color w:val="0000FF"/>
                <w:sz w:val="24"/>
                <w:highlight w:val="none"/>
                <w:lang w:val="en-US" w:eastAsia="zh-CN"/>
              </w:rPr>
              <w:t>11</w:t>
            </w:r>
            <w:r>
              <w:rPr>
                <w:rFonts w:hint="default" w:ascii="Times New Roman" w:hAnsi="Times New Roman" w:eastAsia="宋体" w:cs="Times New Roman"/>
                <w:color w:val="0000FF"/>
                <w:sz w:val="24"/>
                <w:highlight w:val="none"/>
              </w:rPr>
              <w:t>日</w:t>
            </w:r>
            <w:r>
              <w:rPr>
                <w:rFonts w:hint="eastAsia" w:cs="Times New Roman"/>
                <w:color w:val="0000FF"/>
                <w:sz w:val="24"/>
                <w:highlight w:val="none"/>
                <w:lang w:eastAsia="zh-CN"/>
              </w:rPr>
              <w:t>—</w:t>
            </w:r>
            <w:r>
              <w:rPr>
                <w:rFonts w:hint="default" w:ascii="Times New Roman" w:hAnsi="Times New Roman" w:eastAsia="宋体" w:cs="Times New Roman"/>
                <w:color w:val="0000FF"/>
                <w:sz w:val="24"/>
                <w:highlight w:val="none"/>
                <w:lang w:val="en-US" w:eastAsia="zh-CN"/>
              </w:rPr>
              <w:t>12</w:t>
            </w:r>
            <w:r>
              <w:rPr>
                <w:rFonts w:hint="default" w:ascii="Times New Roman" w:hAnsi="Times New Roman" w:eastAsia="宋体" w:cs="Times New Roman"/>
                <w:color w:val="0000FF"/>
                <w:sz w:val="24"/>
                <w:highlight w:val="none"/>
              </w:rPr>
              <w:t>月</w:t>
            </w:r>
            <w:r>
              <w:rPr>
                <w:rFonts w:hint="default" w:ascii="Times New Roman" w:hAnsi="Times New Roman" w:eastAsia="宋体" w:cs="Times New Roman"/>
                <w:color w:val="0000FF"/>
                <w:sz w:val="24"/>
                <w:highlight w:val="none"/>
                <w:lang w:val="en-US" w:eastAsia="zh-CN"/>
              </w:rPr>
              <w:t>18</w:t>
            </w:r>
            <w:r>
              <w:rPr>
                <w:rFonts w:hint="default" w:ascii="Times New Roman" w:hAnsi="Times New Roman" w:eastAsia="宋体" w:cs="Times New Roman"/>
                <w:color w:val="0000FF"/>
                <w:sz w:val="24"/>
                <w:highlight w:val="none"/>
              </w:rPr>
              <w:t>日，监测点位于本项目</w:t>
            </w:r>
            <w:r>
              <w:rPr>
                <w:rFonts w:hint="default" w:ascii="Times New Roman" w:hAnsi="Times New Roman" w:eastAsia="宋体" w:cs="Times New Roman"/>
                <w:color w:val="0000FF"/>
                <w:sz w:val="24"/>
                <w:highlight w:val="none"/>
                <w:lang w:val="en-US" w:eastAsia="zh-CN"/>
              </w:rPr>
              <w:t>东北侧</w:t>
            </w:r>
            <w:r>
              <w:rPr>
                <w:rFonts w:hint="default" w:ascii="Times New Roman" w:hAnsi="Times New Roman" w:eastAsia="宋体" w:cs="Times New Roman"/>
                <w:color w:val="0000FF"/>
                <w:sz w:val="24"/>
                <w:highlight w:val="none"/>
              </w:rPr>
              <w:t>约</w:t>
            </w:r>
            <w:r>
              <w:rPr>
                <w:rFonts w:hint="default" w:ascii="Times New Roman" w:hAnsi="Times New Roman" w:eastAsia="宋体" w:cs="Times New Roman"/>
                <w:color w:val="0000FF"/>
                <w:sz w:val="24"/>
                <w:highlight w:val="none"/>
                <w:lang w:val="en-US" w:eastAsia="zh-CN"/>
              </w:rPr>
              <w:t>2.7k</w:t>
            </w:r>
            <w:r>
              <w:rPr>
                <w:rFonts w:hint="default" w:ascii="Times New Roman" w:hAnsi="Times New Roman" w:eastAsia="宋体" w:cs="Times New Roman"/>
                <w:color w:val="0000FF"/>
                <w:sz w:val="24"/>
                <w:highlight w:val="none"/>
              </w:rPr>
              <w:t>m；引用监测数据与本项目建设时间间隔在三年以内，且周边无重大污染源变化，能够反映本项目的环境空气质量，引用资料有效。</w:t>
            </w:r>
          </w:p>
          <w:p w14:paraId="71AEFC77">
            <w:pPr>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①监测布点：</w:t>
            </w:r>
            <w:r>
              <w:rPr>
                <w:rFonts w:hint="default" w:ascii="Times New Roman" w:hAnsi="Times New Roman" w:eastAsia="宋体" w:cs="Times New Roman"/>
                <w:color w:val="auto"/>
                <w:sz w:val="24"/>
                <w:highlight w:val="none"/>
                <w:lang w:val="en-US" w:eastAsia="zh-CN"/>
              </w:rPr>
              <w:t>3#乌木镇</w:t>
            </w:r>
          </w:p>
          <w:p w14:paraId="406C00A7">
            <w:pPr>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②监测因子：非甲烷总烃</w:t>
            </w:r>
          </w:p>
          <w:p w14:paraId="618AC674">
            <w:pPr>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eastAsia="宋体" w:cs="Times New Roman"/>
                <w:color w:val="auto"/>
                <w:sz w:val="24"/>
                <w:highlight w:val="none"/>
              </w:rPr>
              <w:t>③监测时间：202</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年</w:t>
            </w:r>
            <w:r>
              <w:rPr>
                <w:rFonts w:hint="default" w:ascii="Times New Roman" w:hAnsi="Times New Roman" w:eastAsia="宋体" w:cs="Times New Roman"/>
                <w:color w:val="auto"/>
                <w:sz w:val="24"/>
                <w:highlight w:val="none"/>
                <w:lang w:val="en-US" w:eastAsia="zh-CN"/>
              </w:rPr>
              <w:t>12</w:t>
            </w:r>
            <w:r>
              <w:rPr>
                <w:rFonts w:hint="default" w:ascii="Times New Roman" w:hAnsi="Times New Roman" w:eastAsia="宋体" w:cs="Times New Roman"/>
                <w:color w:val="auto"/>
                <w:sz w:val="24"/>
                <w:highlight w:val="none"/>
              </w:rPr>
              <w:t>月</w:t>
            </w:r>
            <w:r>
              <w:rPr>
                <w:rFonts w:hint="default" w:ascii="Times New Roman" w:hAnsi="Times New Roman" w:eastAsia="宋体" w:cs="Times New Roman"/>
                <w:color w:val="auto"/>
                <w:sz w:val="24"/>
                <w:highlight w:val="none"/>
                <w:lang w:val="en-US" w:eastAsia="zh-CN"/>
              </w:rPr>
              <w:t>11</w:t>
            </w:r>
            <w:r>
              <w:rPr>
                <w:rFonts w:hint="default" w:ascii="Times New Roman" w:hAnsi="Times New Roman" w:eastAsia="宋体" w:cs="Times New Roman"/>
                <w:color w:val="auto"/>
                <w:sz w:val="24"/>
                <w:highlight w:val="none"/>
              </w:rPr>
              <w:t>日</w:t>
            </w:r>
            <w:r>
              <w:rPr>
                <w:rFonts w:hint="eastAsia"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12</w:t>
            </w:r>
            <w:r>
              <w:rPr>
                <w:rFonts w:hint="default" w:ascii="Times New Roman" w:hAnsi="Times New Roman" w:eastAsia="宋体" w:cs="Times New Roman"/>
                <w:color w:val="auto"/>
                <w:sz w:val="24"/>
                <w:highlight w:val="none"/>
              </w:rPr>
              <w:t>月</w:t>
            </w:r>
            <w:r>
              <w:rPr>
                <w:rFonts w:hint="default" w:ascii="Times New Roman" w:hAnsi="Times New Roman" w:eastAsia="宋体" w:cs="Times New Roman"/>
                <w:color w:val="auto"/>
                <w:sz w:val="24"/>
                <w:highlight w:val="none"/>
                <w:lang w:val="en-US" w:eastAsia="zh-CN"/>
              </w:rPr>
              <w:t>18</w:t>
            </w:r>
            <w:r>
              <w:rPr>
                <w:rFonts w:hint="default" w:ascii="Times New Roman" w:hAnsi="Times New Roman" w:eastAsia="宋体" w:cs="Times New Roman"/>
                <w:color w:val="auto"/>
                <w:sz w:val="24"/>
                <w:highlight w:val="none"/>
              </w:rPr>
              <w:t>日</w:t>
            </w:r>
          </w:p>
          <w:p w14:paraId="261F68A8">
            <w:pPr>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④监测频次：非甲烷总烃连续监测7天，测小时值。</w:t>
            </w:r>
          </w:p>
          <w:p w14:paraId="4FBAC702">
            <w:pPr>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⑤评价方法及标准</w:t>
            </w:r>
          </w:p>
          <w:p w14:paraId="209E1D0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评价方法采用超标率、最大浓度占标率对环境空气质量进行现状评价。</w:t>
            </w:r>
          </w:p>
          <w:p w14:paraId="025C14C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最大浓度占标率：</w:t>
            </w:r>
            <w:r>
              <w:rPr>
                <w:rFonts w:hint="default" w:ascii="Times New Roman" w:hAnsi="Times New Roman" w:cs="Times New Roman"/>
                <w:color w:val="auto"/>
                <w:sz w:val="24"/>
                <w:highlight w:val="none"/>
              </w:rPr>
              <w:fldChar w:fldCharType="begin"/>
            </w:r>
            <w:r>
              <w:rPr>
                <w:rFonts w:hint="default" w:ascii="Times New Roman" w:hAnsi="Times New Roman" w:cs="Times New Roman"/>
                <w:color w:val="auto"/>
                <w:sz w:val="24"/>
                <w:highlight w:val="none"/>
              </w:rPr>
              <w:instrText xml:space="preserve"> QUOTE </w:instrText>
            </w:r>
            <w:r>
              <w:rPr>
                <w:rFonts w:hint="default" w:ascii="Times New Roman" w:hAnsi="Times New Roman" w:cs="Times New Roman"/>
                <w:color w:val="auto"/>
                <w:position w:val="-17"/>
                <w:sz w:val="24"/>
                <w:highlight w:val="none"/>
              </w:rPr>
              <w:pict>
                <v:shape id="_x0000_i1029" o:spt="75" type="#_x0000_t75" style="height:22.5pt;width:80.2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hideSpellingErrors/&gt;&lt;w:stylePaneFormatFilter w:val=&quot;3F01&quot;/&gt;&lt;w:documentProtection w:edit=&quot;tracked-changes&quot; w:enforcement=&quot;off&quot;/&gt;&lt;w:defaultTabStop w:val=&quot;420&quot;/&gt;&lt;w:doNotHyphenateCaps/&gt;&lt;w:drawingGridVerticalSpacing w:val=&quot;156&quot;/&gt;&lt;w:displayHorizontalDrawingGridEvery w:val=&quot;0&quot;/&gt;&lt;w:displayVerticalDrawingGridEvery w:val=&quot;2&quot;/&gt;&lt;w:punctuationKerning/&gt;&lt;w:characterSpacingControl w:val=&quot;CompressPunctuation&quot;/&gt;&lt;w:noLineBreaksAfter w:lang=&quot;ZH-CN&quot; w:val=&quot;([{·‘“〈《「『【〔〖（．［｛￡￥&quot;/&gt;&lt;w:noLineBreaksBefore w:lang=&quot;ZH-CN&quot; w:val=&quot;!),.:;?]}¨·ˇˉ―‖’”…∶、。〃々〉》」』】〕〗！＂＇），．：；？］｀｜｝～￠&quot;/&gt;&lt;w:webPageEncoding w:val=&quot;x-cp20936&quot;/&gt;&lt;w:optimizeForBrowser/&gt;&lt;w:targetScreenSz w:val=&quot;800x600&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A14947&quot;/&gt;&lt;wsp:rsid wsp:val=&quot;000060B3&quot;/&gt;&lt;wsp:rsid wsp:val=&quot;0004364B&quot;/&gt;&lt;wsp:rsid wsp:val=&quot;00061B1F&quot;/&gt;&lt;wsp:rsid wsp:val=&quot;000733C4&quot;/&gt;&lt;wsp:rsid wsp:val=&quot;00074783&quot;/&gt;&lt;wsp:rsid wsp:val=&quot;0008070B&quot;/&gt;&lt;wsp:rsid wsp:val=&quot;000810AC&quot;/&gt;&lt;wsp:rsid wsp:val=&quot;00081A02&quot;/&gt;&lt;wsp:rsid wsp:val=&quot;00082231&quot;/&gt;&lt;wsp:rsid wsp:val=&quot;00092D38&quot;/&gt;&lt;wsp:rsid wsp:val=&quot;0009377B&quot;/&gt;&lt;wsp:rsid wsp:val=&quot;00094D65&quot;/&gt;&lt;wsp:rsid wsp:val=&quot;000A20C9&quot;/&gt;&lt;wsp:rsid wsp:val=&quot;000B058F&quot;/&gt;&lt;wsp:rsid wsp:val=&quot;000B4467&quot;/&gt;&lt;wsp:rsid wsp:val=&quot;000B4DB9&quot;/&gt;&lt;wsp:rsid wsp:val=&quot;000C09AC&quot;/&gt;&lt;wsp:rsid wsp:val=&quot;000C767F&quot;/&gt;&lt;wsp:rsid wsp:val=&quot;000D5A44&quot;/&gt;&lt;wsp:rsid wsp:val=&quot;000E20BF&quot;/&gt;&lt;wsp:rsid wsp:val=&quot;000E3ED2&quot;/&gt;&lt;wsp:rsid wsp:val=&quot;00131F42&quot;/&gt;&lt;wsp:rsid wsp:val=&quot;001357F1&quot;/&gt;&lt;wsp:rsid wsp:val=&quot;00140FA8&quot;/&gt;&lt;wsp:rsid wsp:val=&quot;00142FEB&quot;/&gt;&lt;wsp:rsid wsp:val=&quot;00143A2D&quot;/&gt;&lt;wsp:rsid wsp:val=&quot;00145A41&quot;/&gt;&lt;wsp:rsid wsp:val=&quot;00151675&quot;/&gt;&lt;wsp:rsid wsp:val=&quot;00157435&quot;/&gt;&lt;wsp:rsid wsp:val=&quot;0017504D&quot;/&gt;&lt;wsp:rsid wsp:val=&quot;0017671A&quot;/&gt;&lt;wsp:rsid wsp:val=&quot;00177422&quot;/&gt;&lt;wsp:rsid wsp:val=&quot;00184590&quot;/&gt;&lt;wsp:rsid wsp:val=&quot;001870D1&quot;/&gt;&lt;wsp:rsid wsp:val=&quot;0018781E&quot;/&gt;&lt;wsp:rsid wsp:val=&quot;0019262D&quot;/&gt;&lt;wsp:rsid wsp:val=&quot;001A1B35&quot;/&gt;&lt;wsp:rsid wsp:val=&quot;001A48A2&quot;/&gt;&lt;wsp:rsid wsp:val=&quot;001A6F61&quot;/&gt;&lt;wsp:rsid wsp:val=&quot;001B72B8&quot;/&gt;&lt;wsp:rsid wsp:val=&quot;001C59A1&quot;/&gt;&lt;wsp:rsid wsp:val=&quot;001C69B3&quot;/&gt;&lt;wsp:rsid wsp:val=&quot;001D5595&quot;/&gt;&lt;wsp:rsid wsp:val=&quot;001D7874&quot;/&gt;&lt;wsp:rsid wsp:val=&quot;001D7F22&quot;/&gt;&lt;wsp:rsid wsp:val=&quot;001E7827&quot;/&gt;&lt;wsp:rsid wsp:val=&quot;001F0F17&quot;/&gt;&lt;wsp:rsid wsp:val=&quot;001F3347&quot;/&gt;&lt;wsp:rsid wsp:val=&quot;001F69E4&quot;/&gt;&lt;wsp:rsid wsp:val=&quot;001F71D5&quot;/&gt;&lt;wsp:rsid wsp:val=&quot;002125B4&quot;/&gt;&lt;wsp:rsid wsp:val=&quot;002155B8&quot;/&gt;&lt;wsp:rsid wsp:val=&quot;00224839&quot;/&gt;&lt;wsp:rsid wsp:val=&quot;002249B2&quot;/&gt;&lt;wsp:rsid wsp:val=&quot;00226574&quot;/&gt;&lt;wsp:rsid wsp:val=&quot;002278EC&quot;/&gt;&lt;wsp:rsid wsp:val=&quot;0023280E&quot;/&gt;&lt;wsp:rsid wsp:val=&quot;002377D1&quot;/&gt;&lt;wsp:rsid wsp:val=&quot;002506BC&quot;/&gt;&lt;wsp:rsid wsp:val=&quot;00254345&quot;/&gt;&lt;wsp:rsid wsp:val=&quot;00264557&quot;/&gt;&lt;wsp:rsid wsp:val=&quot;002805AB&quot;/&gt;&lt;wsp:rsid wsp:val=&quot;00284204&quot;/&gt;&lt;wsp:rsid wsp:val=&quot;002911C0&quot;/&gt;&lt;wsp:rsid wsp:val=&quot;00291773&quot;/&gt;&lt;wsp:rsid wsp:val=&quot;002A168C&quot;/&gt;&lt;wsp:rsid wsp:val=&quot;002A3DC7&quot;/&gt;&lt;wsp:rsid wsp:val=&quot;002B49E2&quot;/&gt;&lt;wsp:rsid wsp:val=&quot;002B7B00&quot;/&gt;&lt;wsp:rsid wsp:val=&quot;002B7C44&quot;/&gt;&lt;wsp:rsid wsp:val=&quot;002C2B17&quot;/&gt;&lt;wsp:rsid wsp:val=&quot;002D3DD0&quot;/&gt;&lt;wsp:rsid wsp:val=&quot;002D544C&quot;/&gt;&lt;wsp:rsid wsp:val=&quot;002E1F3A&quot;/&gt;&lt;wsp:rsid wsp:val=&quot;002E298A&quot;/&gt;&lt;wsp:rsid wsp:val=&quot;00301978&quot;/&gt;&lt;wsp:rsid wsp:val=&quot;0030332C&quot;/&gt;&lt;wsp:rsid wsp:val=&quot;003051C2&quot;/&gt;&lt;wsp:rsid wsp:val=&quot;00312296&quot;/&gt;&lt;wsp:rsid wsp:val=&quot;00314F0E&quot;/&gt;&lt;wsp:rsid wsp:val=&quot;00321D8E&quot;/&gt;&lt;wsp:rsid wsp:val=&quot;00325928&quot;/&gt;&lt;wsp:rsid wsp:val=&quot;00332863&quot;/&gt;&lt;wsp:rsid wsp:val=&quot;0033684D&quot;/&gt;&lt;wsp:rsid wsp:val=&quot;00337B42&quot;/&gt;&lt;wsp:rsid wsp:val=&quot;00341B42&quot;/&gt;&lt;wsp:rsid wsp:val=&quot;0034348F&quot;/&gt;&lt;wsp:rsid wsp:val=&quot;00356653&quot;/&gt;&lt;wsp:rsid wsp:val=&quot;0035743F&quot;/&gt;&lt;wsp:rsid wsp:val=&quot;00357BE2&quot;/&gt;&lt;wsp:rsid wsp:val=&quot;0036170C&quot;/&gt;&lt;wsp:rsid wsp:val=&quot;00366E0F&quot;/&gt;&lt;wsp:rsid wsp:val=&quot;00381A72&quot;/&gt;&lt;wsp:rsid wsp:val=&quot;00383CE0&quot;/&gt;&lt;wsp:rsid wsp:val=&quot;00384676&quot;/&gt;&lt;wsp:rsid wsp:val=&quot;00390857&quot;/&gt;&lt;wsp:rsid wsp:val=&quot;003A4BF3&quot;/&gt;&lt;wsp:rsid wsp:val=&quot;003B420D&quot;/&gt;&lt;wsp:rsid wsp:val=&quot;003C6C16&quot;/&gt;&lt;wsp:rsid wsp:val=&quot;003D794D&quot;/&gt;&lt;wsp:rsid wsp:val=&quot;003E3058&quot;/&gt;&lt;wsp:rsid wsp:val=&quot;003E76A9&quot;/&gt;&lt;wsp:rsid wsp:val=&quot;003F0809&quot;/&gt;&lt;wsp:rsid wsp:val=&quot;003F6A8C&quot;/&gt;&lt;wsp:rsid wsp:val=&quot;003F755C&quot;/&gt;&lt;wsp:rsid wsp:val=&quot;00406F01&quot;/&gt;&lt;wsp:rsid wsp:val=&quot;00416D50&quot;/&gt;&lt;wsp:rsid wsp:val=&quot;00416FD5&quot;/&gt;&lt;wsp:rsid wsp:val=&quot;00417772&quot;/&gt;&lt;wsp:rsid wsp:val=&quot;00420E6A&quot;/&gt;&lt;wsp:rsid wsp:val=&quot;00423500&quot;/&gt;&lt;wsp:rsid wsp:val=&quot;00425A9E&quot;/&gt;&lt;wsp:rsid wsp:val=&quot;00426D6B&quot;/&gt;&lt;wsp:rsid wsp:val=&quot;00431E6C&quot;/&gt;&lt;wsp:rsid wsp:val=&quot;00433CE7&quot;/&gt;&lt;wsp:rsid wsp:val=&quot;00452738&quot;/&gt;&lt;wsp:rsid wsp:val=&quot;00456091&quot;/&gt;&lt;wsp:rsid wsp:val=&quot;00466321&quot;/&gt;&lt;wsp:rsid wsp:val=&quot;004675B9&quot;/&gt;&lt;wsp:rsid wsp:val=&quot;00484B9B&quot;/&gt;&lt;wsp:rsid wsp:val=&quot;004855F6&quot;/&gt;&lt;wsp:rsid wsp:val=&quot;0048661E&quot;/&gt;&lt;wsp:rsid wsp:val=&quot;00494670&quot;/&gt;&lt;wsp:rsid wsp:val=&quot;004A3823&quot;/&gt;&lt;wsp:rsid wsp:val=&quot;004D2423&quot;/&gt;&lt;wsp:rsid wsp:val=&quot;004E6946&quot;/&gt;&lt;wsp:rsid wsp:val=&quot;004F1AD8&quot;/&gt;&lt;wsp:rsid wsp:val=&quot;004F21CA&quot;/&gt;&lt;wsp:rsid wsp:val=&quot;005039CB&quot;/&gt;&lt;wsp:rsid wsp:val=&quot;0050558F&quot;/&gt;&lt;wsp:rsid wsp:val=&quot;00506286&quot;/&gt;&lt;wsp:rsid wsp:val=&quot;00510813&quot;/&gt;&lt;wsp:rsid wsp:val=&quot;00511990&quot;/&gt;&lt;wsp:rsid wsp:val=&quot;00511DE0&quot;/&gt;&lt;wsp:rsid wsp:val=&quot;00514870&quot;/&gt;&lt;wsp:rsid wsp:val=&quot;00514B9B&quot;/&gt;&lt;wsp:rsid wsp:val=&quot;00517F02&quot;/&gt;&lt;wsp:rsid wsp:val=&quot;00524303&quot;/&gt;&lt;wsp:rsid wsp:val=&quot;005258A2&quot;/&gt;&lt;wsp:rsid wsp:val=&quot;005401AE&quot;/&gt;&lt;wsp:rsid wsp:val=&quot;00542E07&quot;/&gt;&lt;wsp:rsid wsp:val=&quot;00545424&quot;/&gt;&lt;wsp:rsid wsp:val=&quot;00554A7B&quot;/&gt;&lt;wsp:rsid wsp:val=&quot;0055572C&quot;/&gt;&lt;wsp:rsid wsp:val=&quot;0056106A&quot;/&gt;&lt;wsp:rsid wsp:val=&quot;005720AE&quot;/&gt;&lt;wsp:rsid wsp:val=&quot;00594D77&quot;/&gt;&lt;wsp:rsid wsp:val=&quot;005969E4&quot;/&gt;&lt;wsp:rsid wsp:val=&quot;005A06B7&quot;/&gt;&lt;wsp:rsid wsp:val=&quot;005A1759&quot;/&gt;&lt;wsp:rsid wsp:val=&quot;005A68A7&quot;/&gt;&lt;wsp:rsid wsp:val=&quot;005D36AB&quot;/&gt;&lt;wsp:rsid wsp:val=&quot;00617CC3&quot;/&gt;&lt;wsp:rsid wsp:val=&quot;006377A6&quot;/&gt;&lt;wsp:rsid wsp:val=&quot;00637A3D&quot;/&gt;&lt;wsp:rsid wsp:val=&quot;006411EF&quot;/&gt;&lt;wsp:rsid wsp:val=&quot;00663329&quot;/&gt;&lt;wsp:rsid wsp:val=&quot;006748B8&quot;/&gt;&lt;wsp:rsid wsp:val=&quot;006775C3&quot;/&gt;&lt;wsp:rsid wsp:val=&quot;0069290A&quot;/&gt;&lt;wsp:rsid wsp:val=&quot;0069775A&quot;/&gt;&lt;wsp:rsid wsp:val=&quot;00697813&quot;/&gt;&lt;wsp:rsid wsp:val=&quot;006A3EE8&quot;/&gt;&lt;wsp:rsid wsp:val=&quot;006A72BF&quot;/&gt;&lt;wsp:rsid wsp:val=&quot;006B03F2&quot;/&gt;&lt;wsp:rsid wsp:val=&quot;006B37DC&quot;/&gt;&lt;wsp:rsid wsp:val=&quot;006B4F68&quot;/&gt;&lt;wsp:rsid wsp:val=&quot;006C0592&quot;/&gt;&lt;wsp:rsid wsp:val=&quot;006C272E&quot;/&gt;&lt;wsp:rsid wsp:val=&quot;006C5479&quot;/&gt;&lt;wsp:rsid wsp:val=&quot;006D13B5&quot;/&gt;&lt;wsp:rsid wsp:val=&quot;006E12FF&quot;/&gt;&lt;wsp:rsid wsp:val=&quot;006E607E&quot;/&gt;&lt;wsp:rsid wsp:val=&quot;00706C5D&quot;/&gt;&lt;wsp:rsid wsp:val=&quot;00732922&quot;/&gt;&lt;wsp:rsid wsp:val=&quot;0075162E&quot;/&gt;&lt;wsp:rsid wsp:val=&quot;00754034&quot;/&gt;&lt;wsp:rsid wsp:val=&quot;00756556&quot;/&gt;&lt;wsp:rsid wsp:val=&quot;007618C4&quot;/&gt;&lt;wsp:rsid wsp:val=&quot;00767980&quot;/&gt;&lt;wsp:rsid wsp:val=&quot;00770B19&quot;/&gt;&lt;wsp:rsid wsp:val=&quot;0077463F&quot;/&gt;&lt;wsp:rsid wsp:val=&quot;007836EA&quot;/&gt;&lt;wsp:rsid wsp:val=&quot;00784CDA&quot;/&gt;&lt;wsp:rsid wsp:val=&quot;007906C4&quot;/&gt;&lt;wsp:rsid wsp:val=&quot;00791026&quot;/&gt;&lt;wsp:rsid wsp:val=&quot;007940EA&quot;/&gt;&lt;wsp:rsid wsp:val=&quot;007967E8&quot;/&gt;&lt;wsp:rsid wsp:val=&quot;007A2170&quot;/&gt;&lt;wsp:rsid wsp:val=&quot;007A22BF&quot;/&gt;&lt;wsp:rsid wsp:val=&quot;007A3323&quot;/&gt;&lt;wsp:rsid wsp:val=&quot;007B72B8&quot;/&gt;&lt;wsp:rsid wsp:val=&quot;007B7A58&quot;/&gt;&lt;wsp:rsid wsp:val=&quot;007C21B5&quot;/&gt;&lt;wsp:rsid wsp:val=&quot;007E4BD2&quot;/&gt;&lt;wsp:rsid wsp:val=&quot;00801393&quot;/&gt;&lt;wsp:rsid wsp:val=&quot;00802F88&quot;/&gt;&lt;wsp:rsid wsp:val=&quot;0081293E&quot;/&gt;&lt;wsp:rsid wsp:val=&quot;00815465&quot;/&gt;&lt;wsp:rsid wsp:val=&quot;00817550&quot;/&gt;&lt;wsp:rsid wsp:val=&quot;00817E9A&quot;/&gt;&lt;wsp:rsid wsp:val=&quot;008306BD&quot;/&gt;&lt;wsp:rsid wsp:val=&quot;00831A80&quot;/&gt;&lt;wsp:rsid wsp:val=&quot;00833743&quot;/&gt;&lt;wsp:rsid wsp:val=&quot;008340A4&quot;/&gt;&lt;wsp:rsid wsp:val=&quot;008421AA&quot;/&gt;&lt;wsp:rsid wsp:val=&quot;0084359B&quot;/&gt;&lt;wsp:rsid wsp:val=&quot;00864B23&quot;/&gt;&lt;wsp:rsid wsp:val=&quot;0087135F&quot;/&gt;&lt;wsp:rsid wsp:val=&quot;00872D94&quot;/&gt;&lt;wsp:rsid wsp:val=&quot;00880364&quot;/&gt;&lt;wsp:rsid wsp:val=&quot;00891592&quot;/&gt;&lt;wsp:rsid wsp:val=&quot;00891E9E&quot;/&gt;&lt;wsp:rsid wsp:val=&quot;008A2F68&quot;/&gt;&lt;wsp:rsid wsp:val=&quot;008B4FA6&quot;/&gt;&lt;wsp:rsid wsp:val=&quot;008B5282&quot;/&gt;&lt;wsp:rsid wsp:val=&quot;008B7C17&quot;/&gt;&lt;wsp:rsid wsp:val=&quot;008C1431&quot;/&gt;&lt;wsp:rsid wsp:val=&quot;008C2D01&quot;/&gt;&lt;wsp:rsid wsp:val=&quot;008C3BF0&quot;/&gt;&lt;wsp:rsid wsp:val=&quot;008C40E6&quot;/&gt;&lt;wsp:rsid wsp:val=&quot;008D0F7A&quot;/&gt;&lt;wsp:rsid wsp:val=&quot;008D68E4&quot;/&gt;&lt;wsp:rsid wsp:val=&quot;008E0506&quot;/&gt;&lt;wsp:rsid wsp:val=&quot;008E0CFF&quot;/&gt;&lt;wsp:rsid wsp:val=&quot;008E5D6B&quot;/&gt;&lt;wsp:rsid wsp:val=&quot;008E76F0&quot;/&gt;&lt;wsp:rsid wsp:val=&quot;008F15FE&quot;/&gt;&lt;wsp:rsid wsp:val=&quot;008F202D&quot;/&gt;&lt;wsp:rsid wsp:val=&quot;008F2D29&quot;/&gt;&lt;wsp:rsid wsp:val=&quot;008F4F83&quot;/&gt;&lt;wsp:rsid wsp:val=&quot;008F5187&quot;/&gt;&lt;wsp:rsid wsp:val=&quot;008F60D8&quot;/&gt;&lt;wsp:rsid wsp:val=&quot;00902727&quot;/&gt;&lt;wsp:rsid wsp:val=&quot;0090312B&quot;/&gt;&lt;wsp:rsid wsp:val=&quot;0091736D&quot;/&gt;&lt;wsp:rsid wsp:val=&quot;0093037A&quot;/&gt;&lt;wsp:rsid wsp:val=&quot;0094154D&quot;/&gt;&lt;wsp:rsid wsp:val=&quot;0095155F&quot;/&gt;&lt;wsp:rsid wsp:val=&quot;00953CE1&quot;/&gt;&lt;wsp:rsid wsp:val=&quot;00954429&quot;/&gt;&lt;wsp:rsid wsp:val=&quot;009563CE&quot;/&gt;&lt;wsp:rsid wsp:val=&quot;00976328&quot;/&gt;&lt;wsp:rsid wsp:val=&quot;0097680D&quot;/&gt;&lt;wsp:rsid wsp:val=&quot;00982438&quot;/&gt;&lt;wsp:rsid wsp:val=&quot;0098404C&quot;/&gt;&lt;wsp:rsid wsp:val=&quot;00985283&quot;/&gt;&lt;wsp:rsid wsp:val=&quot;00995992&quot;/&gt;&lt;wsp:rsid wsp:val=&quot;009A03E5&quot;/&gt;&lt;wsp:rsid wsp:val=&quot;009A0F3B&quot;/&gt;&lt;wsp:rsid wsp:val=&quot;009A1BB4&quot;/&gt;&lt;wsp:rsid wsp:val=&quot;009A2628&quot;/&gt;&lt;wsp:rsid wsp:val=&quot;009A3200&quot;/&gt;&lt;wsp:rsid wsp:val=&quot;009A7443&quot;/&gt;&lt;wsp:rsid wsp:val=&quot;009B0897&quot;/&gt;&lt;wsp:rsid wsp:val=&quot;009B7BD9&quot;/&gt;&lt;wsp:rsid wsp:val=&quot;009C7DD5&quot;/&gt;&lt;wsp:rsid wsp:val=&quot;009E227D&quot;/&gt;&lt;wsp:rsid wsp:val=&quot;009E5019&quot;/&gt;&lt;wsp:rsid wsp:val=&quot;009F43C6&quot;/&gt;&lt;wsp:rsid wsp:val=&quot;00A04F1B&quot;/&gt;&lt;wsp:rsid wsp:val=&quot;00A0501B&quot;/&gt;&lt;wsp:rsid wsp:val=&quot;00A14947&quot;/&gt;&lt;wsp:rsid wsp:val=&quot;00A32A83&quot;/&gt;&lt;wsp:rsid wsp:val=&quot;00A368DB&quot;/&gt;&lt;wsp:rsid wsp:val=&quot;00A423AA&quot;/&gt;&lt;wsp:rsid wsp:val=&quot;00A53EC6&quot;/&gt;&lt;wsp:rsid wsp:val=&quot;00A55C0F&quot;/&gt;&lt;wsp:rsid wsp:val=&quot;00A8713F&quot;/&gt;&lt;wsp:rsid wsp:val=&quot;00A90BA1&quot;/&gt;&lt;wsp:rsid wsp:val=&quot;00A97A9A&quot;/&gt;&lt;wsp:rsid wsp:val=&quot;00AA0671&quot;/&gt;&lt;wsp:rsid wsp:val=&quot;00AA2531&quot;/&gt;&lt;wsp:rsid wsp:val=&quot;00AB1E09&quot;/&gt;&lt;wsp:rsid wsp:val=&quot;00AB5330&quot;/&gt;&lt;wsp:rsid wsp:val=&quot;00AB7747&quot;/&gt;&lt;wsp:rsid wsp:val=&quot;00AC14CE&quot;/&gt;&lt;wsp:rsid wsp:val=&quot;00AC2A56&quot;/&gt;&lt;wsp:rsid wsp:val=&quot;00AD055E&quot;/&gt;&lt;wsp:rsid wsp:val=&quot;00AD47A7&quot;/&gt;&lt;wsp:rsid wsp:val=&quot;00AF0CBF&quot;/&gt;&lt;wsp:rsid wsp:val=&quot;00AF257F&quot;/&gt;&lt;wsp:rsid wsp:val=&quot;00AF33CF&quot;/&gt;&lt;wsp:rsid wsp:val=&quot;00AF4D50&quot;/&gt;&lt;wsp:rsid wsp:val=&quot;00AF6179&quot;/&gt;&lt;wsp:rsid wsp:val=&quot;00B1295A&quot;/&gt;&lt;wsp:rsid wsp:val=&quot;00B20A45&quot;/&gt;&lt;wsp:rsid wsp:val=&quot;00B22C5C&quot;/&gt;&lt;wsp:rsid wsp:val=&quot;00B24F30&quot;/&gt;&lt;wsp:rsid wsp:val=&quot;00B31ABF&quot;/&gt;&lt;wsp:rsid wsp:val=&quot;00B33BE3&quot;/&gt;&lt;wsp:rsid wsp:val=&quot;00B53B5D&quot;/&gt;&lt;wsp:rsid wsp:val=&quot;00B6055E&quot;/&gt;&lt;wsp:rsid wsp:val=&quot;00B6317D&quot;/&gt;&lt;wsp:rsid wsp:val=&quot;00B7723F&quot;/&gt;&lt;wsp:rsid wsp:val=&quot;00B80534&quot;/&gt;&lt;wsp:rsid wsp:val=&quot;00B8433C&quot;/&gt;&lt;wsp:rsid wsp:val=&quot;00B87491&quot;/&gt;&lt;wsp:rsid wsp:val=&quot;00BA29E9&quot;/&gt;&lt;wsp:rsid wsp:val=&quot;00BA7142&quot;/&gt;&lt;wsp:rsid wsp:val=&quot;00BB237C&quot;/&gt;&lt;wsp:rsid wsp:val=&quot;00BB41A3&quot;/&gt;&lt;wsp:rsid wsp:val=&quot;00BC32DC&quot;/&gt;&lt;wsp:rsid wsp:val=&quot;00BC35B6&quot;/&gt;&lt;wsp:rsid wsp:val=&quot;00BD1B51&quot;/&gt;&lt;wsp:rsid wsp:val=&quot;00BD4596&quot;/&gt;&lt;wsp:rsid wsp:val=&quot;00BE1405&quot;/&gt;&lt;wsp:rsid wsp:val=&quot;00BE312D&quot;/&gt;&lt;wsp:rsid wsp:val=&quot;00BF1C20&quot;/&gt;&lt;wsp:rsid wsp:val=&quot;00C10013&quot;/&gt;&lt;wsp:rsid wsp:val=&quot;00C10578&quot;/&gt;&lt;wsp:rsid wsp:val=&quot;00C135BC&quot;/&gt;&lt;wsp:rsid wsp:val=&quot;00C15C95&quot;/&gt;&lt;wsp:rsid wsp:val=&quot;00C2596A&quot;/&gt;&lt;wsp:rsid wsp:val=&quot;00C27537&quot;/&gt;&lt;wsp:rsid wsp:val=&quot;00C328FE&quot;/&gt;&lt;wsp:rsid wsp:val=&quot;00C33507&quot;/&gt;&lt;wsp:rsid wsp:val=&quot;00C4409D&quot;/&gt;&lt;wsp:rsid wsp:val=&quot;00C44E72&quot;/&gt;&lt;wsp:rsid wsp:val=&quot;00C45A06&quot;/&gt;&lt;wsp:rsid wsp:val=&quot;00C47E5B&quot;/&gt;&lt;wsp:rsid wsp:val=&quot;00C61E4B&quot;/&gt;&lt;wsp:rsid wsp:val=&quot;00C64845&quot;/&gt;&lt;wsp:rsid wsp:val=&quot;00C64BFF&quot;/&gt;&lt;wsp:rsid wsp:val=&quot;00C704E9&quot;/&gt;&lt;wsp:rsid wsp:val=&quot;00C763C9&quot;/&gt;&lt;wsp:rsid wsp:val=&quot;00C80057&quot;/&gt;&lt;wsp:rsid wsp:val=&quot;00C82232&quot;/&gt;&lt;wsp:rsid wsp:val=&quot;00C82913&quot;/&gt;&lt;wsp:rsid wsp:val=&quot;00C90F50&quot;/&gt;&lt;wsp:rsid wsp:val=&quot;00C972B1&quot;/&gt;&lt;wsp:rsid wsp:val=&quot;00CA0DA4&quot;/&gt;&lt;wsp:rsid wsp:val=&quot;00CA2CCE&quot;/&gt;&lt;wsp:rsid wsp:val=&quot;00CA43FD&quot;/&gt;&lt;wsp:rsid wsp:val=&quot;00CA7EF8&quot;/&gt;&lt;wsp:rsid wsp:val=&quot;00CC489B&quot;/&gt;&lt;wsp:rsid wsp:val=&quot;00CD2BCD&quot;/&gt;&lt;wsp:rsid wsp:val=&quot;00CD3A4C&quot;/&gt;&lt;wsp:rsid wsp:val=&quot;00CE10E9&quot;/&gt;&lt;wsp:rsid wsp:val=&quot;00CE2910&quot;/&gt;&lt;wsp:rsid wsp:val=&quot;00CE5109&quot;/&gt;&lt;wsp:rsid wsp:val=&quot;00CE5393&quot;/&gt;&lt;wsp:rsid wsp:val=&quot;00CF36BE&quot;/&gt;&lt;wsp:rsid wsp:val=&quot;00CF6000&quot;/&gt;&lt;wsp:rsid wsp:val=&quot;00D003F3&quot;/&gt;&lt;wsp:rsid wsp:val=&quot;00D0364F&quot;/&gt;&lt;wsp:rsid wsp:val=&quot;00D06834&quot;/&gt;&lt;wsp:rsid wsp:val=&quot;00D308ED&quot;/&gt;&lt;wsp:rsid wsp:val=&quot;00D36D86&quot;/&gt;&lt;wsp:rsid wsp:val=&quot;00D428AA&quot;/&gt;&lt;wsp:rsid wsp:val=&quot;00D50A34&quot;/&gt;&lt;wsp:rsid wsp:val=&quot;00D53EFA&quot;/&gt;&lt;wsp:rsid wsp:val=&quot;00D842F7&quot;/&gt;&lt;wsp:rsid wsp:val=&quot;00D94A7C&quot;/&gt;&lt;wsp:rsid wsp:val=&quot;00D95896&quot;/&gt;&lt;wsp:rsid wsp:val=&quot;00D9685A&quot;/&gt;&lt;wsp:rsid wsp:val=&quot;00DB2983&quot;/&gt;&lt;wsp:rsid wsp:val=&quot;00DC1257&quot;/&gt;&lt;wsp:rsid wsp:val=&quot;00DC3DC0&quot;/&gt;&lt;wsp:rsid wsp:val=&quot;00DC5B2B&quot;/&gt;&lt;wsp:rsid wsp:val=&quot;00DD318D&quot;/&gt;&lt;wsp:rsid wsp:val=&quot;00DF2E12&quot;/&gt;&lt;wsp:rsid wsp:val=&quot;00DF514A&quot;/&gt;&lt;wsp:rsid wsp:val=&quot;00DF6690&quot;/&gt;&lt;wsp:rsid wsp:val=&quot;00DF6804&quot;/&gt;&lt;wsp:rsid wsp:val=&quot;00E0358D&quot;/&gt;&lt;wsp:rsid wsp:val=&quot;00E04323&quot;/&gt;&lt;wsp:rsid wsp:val=&quot;00E070A2&quot;/&gt;&lt;wsp:rsid wsp:val=&quot;00E2656A&quot;/&gt;&lt;wsp:rsid wsp:val=&quot;00E412D0&quot;/&gt;&lt;wsp:rsid wsp:val=&quot;00E56322&quot;/&gt;&lt;wsp:rsid wsp:val=&quot;00E60982&quot;/&gt;&lt;wsp:rsid wsp:val=&quot;00E62C62&quot;/&gt;&lt;wsp:rsid wsp:val=&quot;00E654C1&quot;/&gt;&lt;wsp:rsid wsp:val=&quot;00E65D97&quot;/&gt;&lt;wsp:rsid wsp:val=&quot;00E72A5A&quot;/&gt;&lt;wsp:rsid wsp:val=&quot;00E73354&quot;/&gt;&lt;wsp:rsid wsp:val=&quot;00E9242D&quot;/&gt;&lt;wsp:rsid wsp:val=&quot;00EB5255&quot;/&gt;&lt;wsp:rsid wsp:val=&quot;00EB5C47&quot;/&gt;&lt;wsp:rsid wsp:val=&quot;00ED0639&quot;/&gt;&lt;wsp:rsid wsp:val=&quot;00EF4755&quot;/&gt;&lt;wsp:rsid wsp:val=&quot;00EF7135&quot;/&gt;&lt;wsp:rsid wsp:val=&quot;00F027DB&quot;/&gt;&lt;wsp:rsid wsp:val=&quot;00F14A7A&quot;/&gt;&lt;wsp:rsid wsp:val=&quot;00F22985&quot;/&gt;&lt;wsp:rsid wsp:val=&quot;00F3383E&quot;/&gt;&lt;wsp:rsid wsp:val=&quot;00F465A7&quot;/&gt;&lt;wsp:rsid wsp:val=&quot;00F50B7C&quot;/&gt;&lt;wsp:rsid wsp:val=&quot;00F550E6&quot;/&gt;&lt;wsp:rsid wsp:val=&quot;00F74345&quot;/&gt;&lt;wsp:rsid wsp:val=&quot;00F80A0A&quot;/&gt;&lt;wsp:rsid wsp:val=&quot;00F8130B&quot;/&gt;&lt;wsp:rsid wsp:val=&quot;00F82B19&quot;/&gt;&lt;wsp:rsid wsp:val=&quot;00F9212D&quot;/&gt;&lt;wsp:rsid wsp:val=&quot;00F965DA&quot;/&gt;&lt;wsp:rsid wsp:val=&quot;00FA406A&quot;/&gt;&lt;wsp:rsid wsp:val=&quot;00FB503A&quot;/&gt;&lt;wsp:rsid wsp:val=&quot;00FB516C&quot;/&gt;&lt;wsp:rsid wsp:val=&quot;00FC5542&quot;/&gt;&lt;wsp:rsid wsp:val=&quot;00FD0236&quot;/&gt;&lt;wsp:rsid wsp:val=&quot;00FD18F4&quot;/&gt;&lt;wsp:rsid wsp:val=&quot;00FD54DB&quot;/&gt;&lt;wsp:rsid wsp:val=&quot;00FD619F&quot;/&gt;&lt;wsp:rsid wsp:val=&quot;01290F7E&quot;/&gt;&lt;wsp:rsid wsp:val=&quot;015D1E09&quot;/&gt;&lt;wsp:rsid wsp:val=&quot;02697903&quot;/&gt;&lt;wsp:rsid wsp:val=&quot;02F96569&quot;/&gt;&lt;wsp:rsid wsp:val=&quot;03EA7B21&quot;/&gt;&lt;wsp:rsid wsp:val=&quot;05F83EAE&quot;/&gt;&lt;wsp:rsid wsp:val=&quot;063E7D85&quot;/&gt;&lt;wsp:rsid wsp:val=&quot;07293586&quot;/&gt;&lt;wsp:rsid wsp:val=&quot;07295285&quot;/&gt;&lt;wsp:rsid wsp:val=&quot;07636392&quot;/&gt;&lt;wsp:rsid wsp:val=&quot;07770C56&quot;/&gt;&lt;wsp:rsid wsp:val=&quot;092217DD&quot;/&gt;&lt;wsp:rsid wsp:val=&quot;093A7294&quot;/&gt;&lt;wsp:rsid wsp:val=&quot;0A263993&quot;/&gt;&lt;wsp:rsid wsp:val=&quot;0A2D3AC2&quot;/&gt;&lt;wsp:rsid wsp:val=&quot;0AA755DF&quot;/&gt;&lt;wsp:rsid wsp:val=&quot;0B120D44&quot;/&gt;&lt;wsp:rsid wsp:val=&quot;0BD27BF6&quot;/&gt;&lt;wsp:rsid wsp:val=&quot;0C3B3C7D&quot;/&gt;&lt;wsp:rsid wsp:val=&quot;0CAB2EAE&quot;/&gt;&lt;wsp:rsid wsp:val=&quot;0D621C7D&quot;/&gt;&lt;wsp:rsid wsp:val=&quot;0E73034D&quot;/&gt;&lt;wsp:rsid wsp:val=&quot;0F13775A&quot;/&gt;&lt;wsp:rsid wsp:val=&quot;0F5F45FE&quot;/&gt;&lt;wsp:rsid wsp:val=&quot;0F9A112B&quot;/&gt;&lt;wsp:rsid wsp:val=&quot;106D2F64&quot;/&gt;&lt;wsp:rsid wsp:val=&quot;10B63710&quot;/&gt;&lt;wsp:rsid wsp:val=&quot;10F10820&quot;/&gt;&lt;wsp:rsid wsp:val=&quot;111C2F7A&quot;/&gt;&lt;wsp:rsid wsp:val=&quot;11665CA1&quot;/&gt;&lt;wsp:rsid wsp:val=&quot;13951726&quot;/&gt;&lt;wsp:rsid wsp:val=&quot;14396509&quot;/&gt;&lt;wsp:rsid wsp:val=&quot;14DD2C3C&quot;/&gt;&lt;wsp:rsid wsp:val=&quot;16087E1D&quot;/&gt;&lt;wsp:rsid wsp:val=&quot;17701D14&quot;/&gt;&lt;wsp:rsid wsp:val=&quot;17735226&quot;/&gt;&lt;wsp:rsid wsp:val=&quot;189F624C&quot;/&gt;&lt;wsp:rsid wsp:val=&quot;1A1C66C0&quot;/&gt;&lt;wsp:rsid wsp:val=&quot;1A42393B&quot;/&gt;&lt;wsp:rsid wsp:val=&quot;1AAD45DE&quot;/&gt;&lt;wsp:rsid wsp:val=&quot;1B046F80&quot;/&gt;&lt;wsp:rsid wsp:val=&quot;1B3267B5&quot;/&gt;&lt;wsp:rsid wsp:val=&quot;1B40161D&quot;/&gt;&lt;wsp:rsid wsp:val=&quot;1B441859&quot;/&gt;&lt;wsp:rsid wsp:val=&quot;1B6606B1&quot;/&gt;&lt;wsp:rsid wsp:val=&quot;1C5E7925&quot;/&gt;&lt;wsp:rsid wsp:val=&quot;1CFD070F&quot;/&gt;&lt;wsp:rsid wsp:val=&quot;1D5F6196&quot;/&gt;&lt;wsp:rsid wsp:val=&quot;1D6132A5&quot;/&gt;&lt;wsp:rsid wsp:val=&quot;1D8E56D5&quot;/&gt;&lt;wsp:rsid wsp:val=&quot;1E7A43DA&quot;/&gt;&lt;wsp:rsid wsp:val=&quot;1FE7539E&quot;/&gt;&lt;wsp:rsid wsp:val=&quot;20671BE0&quot;/&gt;&lt;wsp:rsid wsp:val=&quot;20963CB8&quot;/&gt;&lt;wsp:rsid wsp:val=&quot;20A81A1B&quot;/&gt;&lt;wsp:rsid wsp:val=&quot;20B07FB6&quot;/&gt;&lt;wsp:rsid wsp:val=&quot;20B646FB&quot;/&gt;&lt;wsp:rsid wsp:val=&quot;213B74B1&quot;/&gt;&lt;wsp:rsid wsp:val=&quot;215A2310&quot;/&gt;&lt;wsp:rsid wsp:val=&quot;21DE318A&quot;/&gt;&lt;wsp:rsid wsp:val=&quot;21EF5B80&quot;/&gt;&lt;wsp:rsid wsp:val=&quot;22576990&quot;/&gt;&lt;wsp:rsid wsp:val=&quot;22F47480&quot;/&gt;&lt;wsp:rsid wsp:val=&quot;23DE1C48&quot;/&gt;&lt;wsp:rsid wsp:val=&quot;240210CD&quot;/&gt;&lt;wsp:rsid wsp:val=&quot;24BF09F7&quot;/&gt;&lt;wsp:rsid wsp:val=&quot;252D53FE&quot;/&gt;&lt;wsp:rsid wsp:val=&quot;25EC2D81&quot;/&gt;&lt;wsp:rsid wsp:val=&quot;277057A2&quot;/&gt;&lt;wsp:rsid wsp:val=&quot;29206EB8&quot;/&gt;&lt;wsp:rsid wsp:val=&quot;29595666&quot;/&gt;&lt;wsp:rsid wsp:val=&quot;29874881&quot;/&gt;&lt;wsp:rsid wsp:val=&quot;29E325E0&quot;/&gt;&lt;wsp:rsid wsp:val=&quot;2A452503&quot;/&gt;&lt;wsp:rsid wsp:val=&quot;2BA936A8&quot;/&gt;&lt;wsp:rsid wsp:val=&quot;2C315A5A&quot;/&gt;&lt;wsp:rsid wsp:val=&quot;2C4B1C25&quot;/&gt;&lt;wsp:rsid wsp:val=&quot;2D9E56F5&quot;/&gt;&lt;wsp:rsid wsp:val=&quot;2E667F96&quot;/&gt;&lt;wsp:rsid wsp:val=&quot;2E8226AB&quot;/&gt;&lt;wsp:rsid wsp:val=&quot;2FD065E6&quot;/&gt;&lt;wsp:rsid wsp:val=&quot;2FD96870&quot;/&gt;&lt;wsp:rsid wsp:val=&quot;30580BC9&quot;/&gt;&lt;wsp:rsid wsp:val=&quot;311E2ED7&quot;/&gt;&lt;wsp:rsid wsp:val=&quot;315619EE&quot;/&gt;&lt;wsp:rsid wsp:val=&quot;315C449C&quot;/&gt;&lt;wsp:rsid wsp:val=&quot;31B82709&quot;/&gt;&lt;wsp:rsid wsp:val=&quot;31D05482&quot;/&gt;&lt;wsp:rsid wsp:val=&quot;32400B34&quot;/&gt;&lt;wsp:rsid wsp:val=&quot;329E6876&quot;/&gt;&lt;wsp:rsid wsp:val=&quot;333015F2&quot;/&gt;&lt;wsp:rsid wsp:val=&quot;334B6320&quot;/&gt;&lt;wsp:rsid wsp:val=&quot;33D934D4&quot;/&gt;&lt;wsp:rsid wsp:val=&quot;33FE2F6A&quot;/&gt;&lt;wsp:rsid wsp:val=&quot;340E07E5&quot;/&gt;&lt;wsp:rsid wsp:val=&quot;34235BF7&quot;/&gt;&lt;wsp:rsid wsp:val=&quot;358C5FA8&quot;/&gt;&lt;wsp:rsid wsp:val=&quot;35C15DF1&quot;/&gt;&lt;wsp:rsid wsp:val=&quot;36074A7F&quot;/&gt;&lt;wsp:rsid wsp:val=&quot;36923549&quot;/&gt;&lt;wsp:rsid wsp:val=&quot;36B75FBF&quot;/&gt;&lt;wsp:rsid wsp:val=&quot;36BD0C45&quot;/&gt;&lt;wsp:rsid wsp:val=&quot;37E00298&quot;/&gt;&lt;wsp:rsid wsp:val=&quot;38B302F9&quot;/&gt;&lt;wsp:rsid wsp:val=&quot;38F12CD3&quot;/&gt;&lt;wsp:rsid wsp:val=&quot;38F94775&quot;/&gt;&lt;wsp:rsid wsp:val=&quot;392971ED&quot;/&gt;&lt;wsp:rsid wsp:val=&quot;39325651&quot;/&gt;&lt;wsp:rsid wsp:val=&quot;3A872856&quot;/&gt;&lt;wsp:rsid wsp:val=&quot;3B3763D1&quot;/&gt;&lt;wsp:rsid wsp:val=&quot;3C2F6E1E&quot;/&gt;&lt;wsp:rsid wsp:val=&quot;3C4F64BA&quot;/&gt;&lt;wsp:rsid wsp:val=&quot;3CDA245A&quot;/&gt;&lt;wsp:rsid wsp:val=&quot;3D1E06B7&quot;/&gt;&lt;wsp:rsid wsp:val=&quot;3EDA0523&quot;/&gt;&lt;wsp:rsid wsp:val=&quot;407A6407&quot;/&gt;&lt;wsp:rsid wsp:val=&quot;4200449D&quot;/&gt;&lt;wsp:rsid wsp:val=&quot;423A3BCC&quot;/&gt;&lt;wsp:rsid wsp:val=&quot;424E57D2&quot;/&gt;&lt;wsp:rsid wsp:val=&quot;42B26C49&quot;/&gt;&lt;wsp:rsid wsp:val=&quot;433A6FE6&quot;/&gt;&lt;wsp:rsid wsp:val=&quot;43480868&quot;/&gt;&lt;wsp:rsid wsp:val=&quot;4350713C&quot;/&gt;&lt;wsp:rsid wsp:val=&quot;436653E0&quot;/&gt;&lt;wsp:rsid wsp:val=&quot;43C4431A&quot;/&gt;&lt;wsp:rsid wsp:val=&quot;44B951CC&quot;/&gt;&lt;wsp:rsid wsp:val=&quot;44CD14E0&quot;/&gt;&lt;wsp:rsid wsp:val=&quot;44F20B0B&quot;/&gt;&lt;wsp:rsid wsp:val=&quot;452E5F4C&quot;/&gt;&lt;wsp:rsid wsp:val=&quot;45612018&quot;/&gt;&lt;wsp:rsid wsp:val=&quot;458946E9&quot;/&gt;&lt;wsp:rsid wsp:val=&quot;45A47C0E&quot;/&gt;&lt;wsp:rsid wsp:val=&quot;46577FD6&quot;/&gt;&lt;wsp:rsid wsp:val=&quot;46D955A7&quot;/&gt;&lt;wsp:rsid wsp:val=&quot;47133957&quot;/&gt;&lt;wsp:rsid wsp:val=&quot;47A07E0C&quot;/&gt;&lt;wsp:rsid wsp:val=&quot;4870272E&quot;/&gt;&lt;wsp:rsid wsp:val=&quot;49DC7715&quot;/&gt;&lt;wsp:rsid wsp:val=&quot;4A023139&quot;/&gt;&lt;wsp:rsid wsp:val=&quot;4A7B576F&quot;/&gt;&lt;wsp:rsid wsp:val=&quot;4AF561A9&quot;/&gt;&lt;wsp:rsid wsp:val=&quot;4C4A0649&quot;/&gt;&lt;wsp:rsid wsp:val=&quot;4C7E5ECA&quot;/&gt;&lt;wsp:rsid wsp:val=&quot;4C876AA5&quot;/&gt;&lt;wsp:rsid wsp:val=&quot;4D0E00FB&quot;/&gt;&lt;wsp:rsid wsp:val=&quot;4D176606&quot;/&gt;&lt;wsp:rsid wsp:val=&quot;4DEC4FB0&quot;/&gt;&lt;wsp:rsid wsp:val=&quot;4E075D8A&quot;/&gt;&lt;wsp:rsid wsp:val=&quot;4EC00FAD&quot;/&gt;&lt;wsp:rsid wsp:val=&quot;4F9843DC&quot;/&gt;&lt;wsp:rsid wsp:val=&quot;4FC62A8C&quot;/&gt;&lt;wsp:rsid wsp:val=&quot;4FE20F0D&quot;/&gt;&lt;wsp:rsid wsp:val=&quot;4FE51552&quot;/&gt;&lt;wsp:rsid wsp:val=&quot;50504C4B&quot;/&gt;&lt;wsp:rsid wsp:val=&quot;509C6E7C&quot;/&gt;&lt;wsp:rsid wsp:val=&quot;5162104E&quot;/&gt;&lt;wsp:rsid wsp:val=&quot;53A039CC&quot;/&gt;&lt;wsp:rsid wsp:val=&quot;53A1505A&quot;/&gt;&lt;wsp:rsid wsp:val=&quot;54063E08&quot;/&gt;&lt;wsp:rsid wsp:val=&quot;543437E8&quot;/&gt;&lt;wsp:rsid wsp:val=&quot;54F73313&quot;/&gt;&lt;wsp:rsid wsp:val=&quot;54F80955&quot;/&gt;&lt;wsp:rsid wsp:val=&quot;555170A7&quot;/&gt;&lt;wsp:rsid wsp:val=&quot;5587536D&quot;/&gt;&lt;wsp:rsid wsp:val=&quot;559B174B&quot;/&gt;&lt;wsp:rsid wsp:val=&quot;55CE0CF4&quot;/&gt;&lt;wsp:rsid wsp:val=&quot;56B22A9C&quot;/&gt;&lt;wsp:rsid wsp:val=&quot;57B72A76&quot;/&gt;&lt;wsp:rsid wsp:val=&quot;57C3426C&quot;/&gt;&lt;wsp:rsid wsp:val=&quot;57CE1F93&quot;/&gt;&lt;wsp:rsid wsp:val=&quot;588743D1&quot;/&gt;&lt;wsp:rsid wsp:val=&quot;5887701A&quot;/&gt;&lt;wsp:rsid wsp:val=&quot;59C0439F&quot;/&gt;&lt;wsp:rsid wsp:val=&quot;5ABE2233&quot;/&gt;&lt;wsp:rsid wsp:val=&quot;5BDF5D95&quot;/&gt;&lt;wsp:rsid wsp:val=&quot;5BFE7528&quot;/&gt;&lt;wsp:rsid wsp:val=&quot;5E2467F1&quot;/&gt;&lt;wsp:rsid wsp:val=&quot;5F1A2B43&quot;/&gt;&lt;wsp:rsid wsp:val=&quot;5FB837BB&quot;/&gt;&lt;wsp:rsid wsp:val=&quot;60CC405A&quot;/&gt;&lt;wsp:rsid wsp:val=&quot;61E215D8&quot;/&gt;&lt;wsp:rsid wsp:val=&quot;621B3775&quot;/&gt;&lt;wsp:rsid wsp:val=&quot;62364782&quot;/&gt;&lt;wsp:rsid wsp:val=&quot;6394356A&quot;/&gt;&lt;wsp:rsid wsp:val=&quot;63C61B2C&quot;/&gt;&lt;wsp:rsid wsp:val=&quot;63D40BE9&quot;/&gt;&lt;wsp:rsid wsp:val=&quot;64102431&quot;/&gt;&lt;wsp:rsid wsp:val=&quot;64A5243A&quot;/&gt;&lt;wsp:rsid wsp:val=&quot;64F531DE&quot;/&gt;&lt;wsp:rsid wsp:val=&quot;65373578&quot;/&gt;&lt;wsp:rsid wsp:val=&quot;671F124A&quot;/&gt;&lt;wsp:rsid wsp:val=&quot;677A33C6&quot;/&gt;&lt;wsp:rsid wsp:val=&quot;681F6961&quot;/&gt;&lt;wsp:rsid wsp:val=&quot;68610A2F&quot;/&gt;&lt;wsp:rsid wsp:val=&quot;68805514&quot;/&gt;&lt;wsp:rsid wsp:val=&quot;69316E2F&quot;/&gt;&lt;wsp:rsid wsp:val=&quot;694E2071&quot;/&gt;&lt;wsp:rsid wsp:val=&quot;69766163&quot;/&gt;&lt;wsp:rsid wsp:val=&quot;697A3B33&quot;/&gt;&lt;wsp:rsid wsp:val=&quot;69D44760&quot;/&gt;&lt;wsp:rsid wsp:val=&quot;6A520EC7&quot;/&gt;&lt;wsp:rsid wsp:val=&quot;6AF87E20&quot;/&gt;&lt;wsp:rsid wsp:val=&quot;6B322639&quot;/&gt;&lt;wsp:rsid wsp:val=&quot;6C636C38&quot;/&gt;&lt;wsp:rsid wsp:val=&quot;6DB34098&quot;/&gt;&lt;wsp:rsid wsp:val=&quot;6DB545B6&quot;/&gt;&lt;wsp:rsid wsp:val=&quot;6DE02FB4&quot;/&gt;&lt;wsp:rsid wsp:val=&quot;6E514CED&quot;/&gt;&lt;wsp:rsid wsp:val=&quot;6EB563D5&quot;/&gt;&lt;wsp:rsid wsp:val=&quot;6ED92677&quot;/&gt;&lt;wsp:rsid wsp:val=&quot;6F225983&quot;/&gt;&lt;wsp:rsid wsp:val=&quot;6FFC5590&quot;/&gt;&lt;wsp:rsid wsp:val=&quot;706D1DD0&quot;/&gt;&lt;wsp:rsid wsp:val=&quot;70856B87&quot;/&gt;&lt;wsp:rsid wsp:val=&quot;70D527EE&quot;/&gt;&lt;wsp:rsid wsp:val=&quot;715B5300&quot;/&gt;&lt;wsp:rsid wsp:val=&quot;71D27F8A&quot;/&gt;&lt;wsp:rsid wsp:val=&quot;72553024&quot;/&gt;&lt;wsp:rsid wsp:val=&quot;73122968&quot;/&gt;&lt;wsp:rsid wsp:val=&quot;731F5D5E&quot;/&gt;&lt;wsp:rsid wsp:val=&quot;73C51AD5&quot;/&gt;&lt;wsp:rsid wsp:val=&quot;741E793C&quot;/&gt;&lt;wsp:rsid wsp:val=&quot;745E3944&quot;/&gt;&lt;wsp:rsid wsp:val=&quot;7635099D&quot;/&gt;&lt;wsp:rsid wsp:val=&quot;77762421&quot;/&gt;&lt;wsp:rsid wsp:val=&quot;77B56B1F&quot;/&gt;&lt;wsp:rsid wsp:val=&quot;780F09F4&quot;/&gt;&lt;wsp:rsid wsp:val=&quot;78A90480&quot;/&gt;&lt;wsp:rsid wsp:val=&quot;7A364017&quot;/&gt;&lt;wsp:rsid wsp:val=&quot;7A8265E1&quot;/&gt;&lt;wsp:rsid wsp:val=&quot;7B686D42&quot;/&gt;&lt;wsp:rsid wsp:val=&quot;7B841746&quot;/&gt;&lt;wsp:rsid wsp:val=&quot;7C6C5AC7&quot;/&gt;&lt;wsp:rsid wsp:val=&quot;7CC6544B&quot;/&gt;&lt;wsp:rsid wsp:val=&quot;7D0239FF&quot;/&gt;&lt;wsp:rsid wsp:val=&quot;7D5E40CD&quot;/&gt;&lt;wsp:rsid wsp:val=&quot;7DCD56F2&quot;/&gt;&lt;wsp:rsid wsp:val=&quot;7F001CE7&quot;/&gt;&lt;wsp:rsid wsp:val=&quot;7FE47E50&quot;/&gt;&lt;/wsp:rsids&gt;&lt;/w:docPr&gt;&lt;w:body&gt;&lt;wx:sect&gt;&lt;w:p wsp:rsidR=&quot;00000000&quot; wsp:rsidRDefault=&quot;00663329&quot; wsp:rsidP=&quot;00663329&quot;&gt;&lt;m:oMathPara&gt;&lt;m:oMath&gt;&lt;m:sSub&gt;&lt;m:sSubPr&gt;&lt;m:ctrlPr&gt;&lt;w:rPr&gt;&lt;w:rFonts w:ascii=&quot;Cambria Math&quot; w:h-ansi=&quot;Cambria Math&quot;/&gt;&lt;wx:font wx:val=&quot;Cambria Math&quot;/&gt;&lt;w:color w:val=&quot;000000&quot;/&gt;&lt;w:sz w:val=&quot;24&quot;/&gt;&lt;/w:rPr&gt;&lt;/m:ctrlPr&gt;&lt;/m:sSubPr&gt;&lt;m:e&gt;&lt;m:r&gt;&lt;w:rPr&gt;&lt;w:rFonts w:ascii=&quot;Cambria Math&quot; w:h-ansi=&quot;Cambria Math&quot;/&gt;&lt;wx:font wx:val=&quot;Cambria Math&quot;/&gt;&lt;w:i/&gt;&lt;w:color w:val=&quot;000000&quot;/&gt;&lt;w:sz w:val=&quot;24&quot;/&gt;&lt;/w:rPr&gt;&lt;m:t&gt;I&lt;/m:t&gt;&lt;/m:r&gt;&lt;/m:e&gt;&lt;m:sub&gt;&lt;m:r&gt;&lt;w:rPr&gt;&lt;w:rFonts w:ascii=&quot;Cambria Math&quot; w:h-ansi=&quot;Cambria Math&quot; w:hint=&quot;fareast&quot;/&gt;&lt;wx:font wx:val=&quot;Cambria Math&quot;/&gt;&lt;w:i/&gt;&lt;w:color w:val=&quot;000000&quot;/&gt;&lt;w:sz w:val=&quot;24&quot;/&gt;&lt;/w:rPr&gt;&lt;m:t&gt;i&lt;/m:t&gt;&lt;/m:r&gt;&lt;/m:sub&gt;&lt;/m:sSub&gt;&lt;m:r&gt;&lt;m:rPr&gt;&lt;m:sty m:val=&quot;p&quot;/&gt;&lt;/m:rPr&gt;&lt;w:rPr&gt;&lt;w:rFonts w:ascii=&quot;Cambria Math&quot; w:h-ansi=&quot;Cambria Math&quot; w:hint=&quot;fareast&quot;/&gt;&lt;wx:font wx:val=&quot;Cambria Math&quot;/&gt;&lt;w:color w:val=&quot;000000&quot;/&gt;&lt;w:sz w:val=&quot;24&quot;/&gt;&lt;/w:rPr&gt;&lt;m:t&gt;=&lt;/m:t&gt;&lt;/m:r&gt;&lt;m:f&gt;&lt;m:fPr&gt;&lt;m:ctrlPr&gt;&lt;w:rPr&gt;&lt;w:rFonts w:ascii=&quot;Cambria Math&quot; w:h-ansi=&quot;Cambria Math&quot;/&gt;&lt;wx:font wx:val=&quot;Cambria Math&quot;/&gt;&lt;w:color w:val=&quot;000000&quot;/&gt;&lt;w:sz w:val=&quot;24&quot;/&gt;&lt;/w:rPr&gt;&lt;/m:ctrlPr&gt;&lt;/m:fPr&gt;&lt;m:num&gt;&lt;m:sSub&gt;&lt;m:sSubPr&gt;&lt;m:ctrlPr&gt;&lt;w:rPr&gt;&lt;w:rFonts w:ascii=&quot;Cambria Math&quot; w:h-ansi=&quot;Cambria Math&quot;/&gt;&lt;wx:font wx:val=&quot;Cambria Math&quot;/&gt;&lt;w:i/&gt;&lt;w:color w:val=&quot;000000&quot;/&gt;&lt;w:sz w:val=&quot;24&quot;/&gt;&lt;/w:rPr&gt;&lt;/m:ctrlPr&gt;&lt;/m:sSubPr&gt;&lt;m:e&gt;&lt;m:r&gt;&lt;w:rPr&gt;&lt;w:rFonts w:ascii=&quot;Cambria Math&quot; w:h-ansi=&quot;Cambria Math&quot;/&gt;&lt;wx:font wx:val=&quot;Cambria Math&quot;/&gt;&lt;w:i/&gt;&lt;w:color w:val=&quot;000000&quot;/&gt;&lt;w:sz w:val=&quot;24&quot;/&gt;&lt;/w:rPr&gt;&lt;m:t&gt;C&lt;/m:t&gt;&lt;/m:r&gt;&lt;/m:e&gt;&lt;m:sub&gt;&lt;m:r&gt;&lt;w:rPr&gt;&lt;w:rFonts w:ascii=&quot;Cambria Math&quot; w:h-ansi=&quot;Cambria Math&quot; w:hint=&quot;fareast&quot;/&gt;&lt;wx:font wx:val=&quot;Cambria Math&quot;/&gt;&lt;w:i/&gt;&lt;w:color w:val=&quot;000000&quot;/&gt;&lt;w:sz w:val=&quot;24&quot;/&gt;&lt;/w:rPr&gt;&lt;m:t&gt;i&lt;/m:t&gt;&lt;/m:r&gt;&lt;/m:sub&gt;&lt;/m:sSub&gt;&lt;/m:num&gt;&lt;m:den&gt;&lt;m:sSub&gt;&lt;m:sSubPr&gt;&lt;m:ctrlPr&gt;&lt;w:rPr&gt;&lt;w:rFonts w:ascii=&quot;Cambria Math&quot; w:h-ansi=&quot;Cambria Math&quot;/&gt;&lt;wx:font wx:val=&quot;Cambria Math&quot;/&gt;&lt;w:i/&gt;&lt;w:color w:val=&quot;000000&quot;/&gt;&lt;w:sz w:val=&quot;24&quot;/&gt;&lt;/w:rPr&gt;&lt;/m:ctrlPr&gt;&lt;/m:sSubPr&gt;&lt;m:e&gt;&lt;m:r&gt;&lt;w:rPr&gt;&lt;w:rFonts w:ascii=&quot;Cambria Math&quot; w:h-ansi=&quot;Cambria Math&quot;/&gt;&lt;wx:font wx:val=&quot;Cambria Math&quot;/&gt;&lt;w:i/&gt;&lt;w:color w:val=&quot;000000&quot;/&gt;&lt;w:sz w:val=&quot;24&quot;/&gt;&lt;/w:rPr&gt;&lt;m:t&gt;C&lt;/m:t&gt;&lt;/m:r&gt;&lt;/m:e&gt;&lt;m:sub&gt;&lt;m:r&gt;&lt;w:rPr&gt;&lt;w:rFonts w:ascii=&quot;Cambria Math&quot; w:h-ansi=&quot;Cambria Math&quot; w:hint=&quot;fareast&quot;/&gt;&lt;wx:font wx:val=&quot;Cambria Math&quot;/&gt;&lt;w:i/&gt;&lt;w:color w:val=&quot;000000&quot;/&gt;&lt;w:sz w:val=&quot;24&quot;/&gt;&lt;/w:rPr&gt;&lt;m:t&gt;oi&lt;/m:t&gt;&lt;/m:r&gt;&lt;/m:sub&gt;&lt;/m:sSub&gt;&lt;/m:den&gt;&lt;/m:f&gt;&lt;m:r&gt;&lt;w:rPr&gt;&lt;w:rFonts w:ascii=&quot;Cambria Math&quot; w:h-ansi=&quot;Cambria Math&quot;/&gt;&lt;wx:font wx:val=&quot;Cambria Math&quot;/&gt;&lt;w:i/&gt;&lt;w:color w:val=&quot;000000&quot;/&gt;&lt;w:sz w:val=&quot;24&quot;/&gt;&lt;/w:rPr&gt;&lt;m:t&gt;×&lt;/m:t&gt;&lt;/m:r&gt;&lt;m:r&gt;&lt;w:rPr&gt;&lt;w:rFonts w:ascii=&quot;Cambria Math&quot; w:h-ansi=&quot;Cambria Math&quot; w:hint=&quot;fareast&quot;/&gt;&lt;wx:font wx:val=&quot;Cambria Math&quot;/&gt;&lt;w:i/&gt;&lt;w:color w:val=&quot;000000&quot;/&gt;&lt;w:sz w:val=&quot;24&quot;/&gt;&lt;/w:rPr&gt;&lt;m:t&gt;100%&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0" chromakey="#FFFFFF" o:title=""/>
                  <o:lock v:ext="edit" aspectratio="t"/>
                  <w10:wrap type="none"/>
                  <w10:anchorlock/>
                </v:shape>
              </w:pict>
            </w:r>
            <w:r>
              <w:rPr>
                <w:rFonts w:hint="default" w:ascii="Times New Roman" w:hAnsi="Times New Roman" w:cs="Times New Roman"/>
                <w:color w:val="auto"/>
                <w:sz w:val="24"/>
                <w:highlight w:val="none"/>
              </w:rPr>
              <w:instrText xml:space="preserve"> </w:instrText>
            </w:r>
            <w:r>
              <w:rPr>
                <w:rFonts w:hint="default" w:ascii="Times New Roman" w:hAnsi="Times New Roman" w:cs="Times New Roman"/>
                <w:color w:val="auto"/>
                <w:sz w:val="24"/>
                <w:highlight w:val="none"/>
              </w:rPr>
              <w:fldChar w:fldCharType="separate"/>
            </w:r>
            <w:r>
              <w:rPr>
                <w:rFonts w:hint="default" w:ascii="Times New Roman" w:hAnsi="Times New Roman" w:cs="Times New Roman"/>
                <w:color w:val="auto"/>
                <w:position w:val="-17"/>
                <w:sz w:val="24"/>
                <w:highlight w:val="none"/>
              </w:rPr>
              <w:pict>
                <v:shape id="_x0000_i1030" o:spt="75" type="#_x0000_t75" style="height:22.5pt;width:80.25pt;" filled="f" stroked="f" coordsize="21600,21600" equationxml="&lt;?xml version=&quot;1.0&quot; encoding=&quot;UTF-8&quot; standalone=&quot;yes&quot;?&gt;&#13;&#10;&lt;?mso-application progid=&quot;Word.Document&quot;?&gt;&#13;&#10;&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30&quot;/&gt;&lt;w:doNotEmbedSystemFonts/&gt;&lt;w:bordersDontSurroundHeader/&gt;&lt;w:bordersDontSurroundFooter/&gt;&lt;w:hideSpellingErrors/&gt;&lt;w:stylePaneFormatFilter w:val=&quot;3F01&quot;/&gt;&lt;w:documentProtection w:edit=&quot;tracked-changes&quot; w:enforcement=&quot;off&quot;/&gt;&lt;w:defaultTabStop w:val=&quot;420&quot;/&gt;&lt;w:doNotHyphenateCaps/&gt;&lt;w:drawingGridVerticalSpacing w:val=&quot;156&quot;/&gt;&lt;w:displayHorizontalDrawingGridEvery w:val=&quot;0&quot;/&gt;&lt;w:displayVerticalDrawingGridEvery w:val=&quot;2&quot;/&gt;&lt;w:punctuationKerning/&gt;&lt;w:characterSpacingControl w:val=&quot;CompressPunctuation&quot;/&gt;&lt;w:noLineBreaksAfter w:lang=&quot;ZH-CN&quot; w:val=&quot;([{·‘“〈《「『【〔〖（．［｛￡￥&quot;/&gt;&lt;w:noLineBreaksBefore w:lang=&quot;ZH-CN&quot; w:val=&quot;!),.:;?]}¨·ˇˉ―‖’”…∶、。〃々〉》」』】〕〗！＂＇），．：；？］｀｜｝～￠&quot;/&gt;&lt;w:webPageEncoding w:val=&quot;x-cp20936&quot;/&gt;&lt;w:optimizeForBrowser/&gt;&lt;w:targetScreenSz w:val=&quot;800x600&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A14947&quot;/&gt;&lt;wsp:rsid wsp:val=&quot;000060B3&quot;/&gt;&lt;wsp:rsid wsp:val=&quot;0004364B&quot;/&gt;&lt;wsp:rsid wsp:val=&quot;00061B1F&quot;/&gt;&lt;wsp:rsid wsp:val=&quot;000733C4&quot;/&gt;&lt;wsp:rsid wsp:val=&quot;00074783&quot;/&gt;&lt;wsp:rsid wsp:val=&quot;0008070B&quot;/&gt;&lt;wsp:rsid wsp:val=&quot;000810AC&quot;/&gt;&lt;wsp:rsid wsp:val=&quot;00081A02&quot;/&gt;&lt;wsp:rsid wsp:val=&quot;00082231&quot;/&gt;&lt;wsp:rsid wsp:val=&quot;00092D38&quot;/&gt;&lt;wsp:rsid wsp:val=&quot;0009377B&quot;/&gt;&lt;wsp:rsid wsp:val=&quot;00094D65&quot;/&gt;&lt;wsp:rsid wsp:val=&quot;000A20C9&quot;/&gt;&lt;wsp:rsid wsp:val=&quot;000B058F&quot;/&gt;&lt;wsp:rsid wsp:val=&quot;000B4467&quot;/&gt;&lt;wsp:rsid wsp:val=&quot;000B4DB9&quot;/&gt;&lt;wsp:rsid wsp:val=&quot;000C09AC&quot;/&gt;&lt;wsp:rsid wsp:val=&quot;000C767F&quot;/&gt;&lt;wsp:rsid wsp:val=&quot;000D5A44&quot;/&gt;&lt;wsp:rsid wsp:val=&quot;000E20BF&quot;/&gt;&lt;wsp:rsid wsp:val=&quot;000E3ED2&quot;/&gt;&lt;wsp:rsid wsp:val=&quot;00131F42&quot;/&gt;&lt;wsp:rsid wsp:val=&quot;001357F1&quot;/&gt;&lt;wsp:rsid wsp:val=&quot;00140FA8&quot;/&gt;&lt;wsp:rsid wsp:val=&quot;00142FEB&quot;/&gt;&lt;wsp:rsid wsp:val=&quot;00143A2D&quot;/&gt;&lt;wsp:rsid wsp:val=&quot;00145A41&quot;/&gt;&lt;wsp:rsid wsp:val=&quot;00151675&quot;/&gt;&lt;wsp:rsid wsp:val=&quot;00157435&quot;/&gt;&lt;wsp:rsid wsp:val=&quot;0017504D&quot;/&gt;&lt;wsp:rsid wsp:val=&quot;0017671A&quot;/&gt;&lt;wsp:rsid wsp:val=&quot;00177422&quot;/&gt;&lt;wsp:rsid wsp:val=&quot;00184590&quot;/&gt;&lt;wsp:rsid wsp:val=&quot;001870D1&quot;/&gt;&lt;wsp:rsid wsp:val=&quot;0018781E&quot;/&gt;&lt;wsp:rsid wsp:val=&quot;0019262D&quot;/&gt;&lt;wsp:rsid wsp:val=&quot;001A1B35&quot;/&gt;&lt;wsp:rsid wsp:val=&quot;001A48A2&quot;/&gt;&lt;wsp:rsid wsp:val=&quot;001A6F61&quot;/&gt;&lt;wsp:rsid wsp:val=&quot;001B72B8&quot;/&gt;&lt;wsp:rsid wsp:val=&quot;001C59A1&quot;/&gt;&lt;wsp:rsid wsp:val=&quot;001C69B3&quot;/&gt;&lt;wsp:rsid wsp:val=&quot;001D5595&quot;/&gt;&lt;wsp:rsid wsp:val=&quot;001D7874&quot;/&gt;&lt;wsp:rsid wsp:val=&quot;001D7F22&quot;/&gt;&lt;wsp:rsid wsp:val=&quot;001E7827&quot;/&gt;&lt;wsp:rsid wsp:val=&quot;001F0F17&quot;/&gt;&lt;wsp:rsid wsp:val=&quot;001F3347&quot;/&gt;&lt;wsp:rsid wsp:val=&quot;001F69E4&quot;/&gt;&lt;wsp:rsid wsp:val=&quot;001F71D5&quot;/&gt;&lt;wsp:rsid wsp:val=&quot;002125B4&quot;/&gt;&lt;wsp:rsid wsp:val=&quot;002155B8&quot;/&gt;&lt;wsp:rsid wsp:val=&quot;00224839&quot;/&gt;&lt;wsp:rsid wsp:val=&quot;002249B2&quot;/&gt;&lt;wsp:rsid wsp:val=&quot;00226574&quot;/&gt;&lt;wsp:rsid wsp:val=&quot;002278EC&quot;/&gt;&lt;wsp:rsid wsp:val=&quot;0023280E&quot;/&gt;&lt;wsp:rsid wsp:val=&quot;002377D1&quot;/&gt;&lt;wsp:rsid wsp:val=&quot;002506BC&quot;/&gt;&lt;wsp:rsid wsp:val=&quot;00254345&quot;/&gt;&lt;wsp:rsid wsp:val=&quot;00264557&quot;/&gt;&lt;wsp:rsid wsp:val=&quot;002805AB&quot;/&gt;&lt;wsp:rsid wsp:val=&quot;00284204&quot;/&gt;&lt;wsp:rsid wsp:val=&quot;002911C0&quot;/&gt;&lt;wsp:rsid wsp:val=&quot;00291773&quot;/&gt;&lt;wsp:rsid wsp:val=&quot;002A168C&quot;/&gt;&lt;wsp:rsid wsp:val=&quot;002A3DC7&quot;/&gt;&lt;wsp:rsid wsp:val=&quot;002B49E2&quot;/&gt;&lt;wsp:rsid wsp:val=&quot;002B7B00&quot;/&gt;&lt;wsp:rsid wsp:val=&quot;002B7C44&quot;/&gt;&lt;wsp:rsid wsp:val=&quot;002C2B17&quot;/&gt;&lt;wsp:rsid wsp:val=&quot;002D3DD0&quot;/&gt;&lt;wsp:rsid wsp:val=&quot;002D544C&quot;/&gt;&lt;wsp:rsid wsp:val=&quot;002E1F3A&quot;/&gt;&lt;wsp:rsid wsp:val=&quot;002E298A&quot;/&gt;&lt;wsp:rsid wsp:val=&quot;00301978&quot;/&gt;&lt;wsp:rsid wsp:val=&quot;0030332C&quot;/&gt;&lt;wsp:rsid wsp:val=&quot;003051C2&quot;/&gt;&lt;wsp:rsid wsp:val=&quot;00312296&quot;/&gt;&lt;wsp:rsid wsp:val=&quot;00314F0E&quot;/&gt;&lt;wsp:rsid wsp:val=&quot;00321D8E&quot;/&gt;&lt;wsp:rsid wsp:val=&quot;00325928&quot;/&gt;&lt;wsp:rsid wsp:val=&quot;00332863&quot;/&gt;&lt;wsp:rsid wsp:val=&quot;0033684D&quot;/&gt;&lt;wsp:rsid wsp:val=&quot;00337B42&quot;/&gt;&lt;wsp:rsid wsp:val=&quot;00341B42&quot;/&gt;&lt;wsp:rsid wsp:val=&quot;0034348F&quot;/&gt;&lt;wsp:rsid wsp:val=&quot;00356653&quot;/&gt;&lt;wsp:rsid wsp:val=&quot;0035743F&quot;/&gt;&lt;wsp:rsid wsp:val=&quot;00357BE2&quot;/&gt;&lt;wsp:rsid wsp:val=&quot;0036170C&quot;/&gt;&lt;wsp:rsid wsp:val=&quot;00366E0F&quot;/&gt;&lt;wsp:rsid wsp:val=&quot;00381A72&quot;/&gt;&lt;wsp:rsid wsp:val=&quot;00383CE0&quot;/&gt;&lt;wsp:rsid wsp:val=&quot;00384676&quot;/&gt;&lt;wsp:rsid wsp:val=&quot;00390857&quot;/&gt;&lt;wsp:rsid wsp:val=&quot;003A4BF3&quot;/&gt;&lt;wsp:rsid wsp:val=&quot;003B420D&quot;/&gt;&lt;wsp:rsid wsp:val=&quot;003C6C16&quot;/&gt;&lt;wsp:rsid wsp:val=&quot;003D794D&quot;/&gt;&lt;wsp:rsid wsp:val=&quot;003E3058&quot;/&gt;&lt;wsp:rsid wsp:val=&quot;003E76A9&quot;/&gt;&lt;wsp:rsid wsp:val=&quot;003F0809&quot;/&gt;&lt;wsp:rsid wsp:val=&quot;003F6A8C&quot;/&gt;&lt;wsp:rsid wsp:val=&quot;003F755C&quot;/&gt;&lt;wsp:rsid wsp:val=&quot;00406F01&quot;/&gt;&lt;wsp:rsid wsp:val=&quot;00416D50&quot;/&gt;&lt;wsp:rsid wsp:val=&quot;00416FD5&quot;/&gt;&lt;wsp:rsid wsp:val=&quot;00417772&quot;/&gt;&lt;wsp:rsid wsp:val=&quot;00420E6A&quot;/&gt;&lt;wsp:rsid wsp:val=&quot;00423500&quot;/&gt;&lt;wsp:rsid wsp:val=&quot;00425A9E&quot;/&gt;&lt;wsp:rsid wsp:val=&quot;00426D6B&quot;/&gt;&lt;wsp:rsid wsp:val=&quot;00431E6C&quot;/&gt;&lt;wsp:rsid wsp:val=&quot;00433CE7&quot;/&gt;&lt;wsp:rsid wsp:val=&quot;00452738&quot;/&gt;&lt;wsp:rsid wsp:val=&quot;00456091&quot;/&gt;&lt;wsp:rsid wsp:val=&quot;00466321&quot;/&gt;&lt;wsp:rsid wsp:val=&quot;004675B9&quot;/&gt;&lt;wsp:rsid wsp:val=&quot;00484B9B&quot;/&gt;&lt;wsp:rsid wsp:val=&quot;004855F6&quot;/&gt;&lt;wsp:rsid wsp:val=&quot;0048661E&quot;/&gt;&lt;wsp:rsid wsp:val=&quot;00494670&quot;/&gt;&lt;wsp:rsid wsp:val=&quot;004A3823&quot;/&gt;&lt;wsp:rsid wsp:val=&quot;004D2423&quot;/&gt;&lt;wsp:rsid wsp:val=&quot;004E6946&quot;/&gt;&lt;wsp:rsid wsp:val=&quot;004F1AD8&quot;/&gt;&lt;wsp:rsid wsp:val=&quot;004F21CA&quot;/&gt;&lt;wsp:rsid wsp:val=&quot;005039CB&quot;/&gt;&lt;wsp:rsid wsp:val=&quot;0050558F&quot;/&gt;&lt;wsp:rsid wsp:val=&quot;00506286&quot;/&gt;&lt;wsp:rsid wsp:val=&quot;00510813&quot;/&gt;&lt;wsp:rsid wsp:val=&quot;00511990&quot;/&gt;&lt;wsp:rsid wsp:val=&quot;00511DE0&quot;/&gt;&lt;wsp:rsid wsp:val=&quot;00514870&quot;/&gt;&lt;wsp:rsid wsp:val=&quot;00514B9B&quot;/&gt;&lt;wsp:rsid wsp:val=&quot;00517F02&quot;/&gt;&lt;wsp:rsid wsp:val=&quot;00524303&quot;/&gt;&lt;wsp:rsid wsp:val=&quot;005258A2&quot;/&gt;&lt;wsp:rsid wsp:val=&quot;005401AE&quot;/&gt;&lt;wsp:rsid wsp:val=&quot;00542E07&quot;/&gt;&lt;wsp:rsid wsp:val=&quot;00545424&quot;/&gt;&lt;wsp:rsid wsp:val=&quot;00554A7B&quot;/&gt;&lt;wsp:rsid wsp:val=&quot;0055572C&quot;/&gt;&lt;wsp:rsid wsp:val=&quot;0056106A&quot;/&gt;&lt;wsp:rsid wsp:val=&quot;005720AE&quot;/&gt;&lt;wsp:rsid wsp:val=&quot;00594D77&quot;/&gt;&lt;wsp:rsid wsp:val=&quot;005969E4&quot;/&gt;&lt;wsp:rsid wsp:val=&quot;005A06B7&quot;/&gt;&lt;wsp:rsid wsp:val=&quot;005A1759&quot;/&gt;&lt;wsp:rsid wsp:val=&quot;005A68A7&quot;/&gt;&lt;wsp:rsid wsp:val=&quot;005D36AB&quot;/&gt;&lt;wsp:rsid wsp:val=&quot;00617CC3&quot;/&gt;&lt;wsp:rsid wsp:val=&quot;006377A6&quot;/&gt;&lt;wsp:rsid wsp:val=&quot;00637A3D&quot;/&gt;&lt;wsp:rsid wsp:val=&quot;006411EF&quot;/&gt;&lt;wsp:rsid wsp:val=&quot;00663329&quot;/&gt;&lt;wsp:rsid wsp:val=&quot;006748B8&quot;/&gt;&lt;wsp:rsid wsp:val=&quot;006775C3&quot;/&gt;&lt;wsp:rsid wsp:val=&quot;0069290A&quot;/&gt;&lt;wsp:rsid wsp:val=&quot;0069775A&quot;/&gt;&lt;wsp:rsid wsp:val=&quot;00697813&quot;/&gt;&lt;wsp:rsid wsp:val=&quot;006A3EE8&quot;/&gt;&lt;wsp:rsid wsp:val=&quot;006A72BF&quot;/&gt;&lt;wsp:rsid wsp:val=&quot;006B03F2&quot;/&gt;&lt;wsp:rsid wsp:val=&quot;006B37DC&quot;/&gt;&lt;wsp:rsid wsp:val=&quot;006B4F68&quot;/&gt;&lt;wsp:rsid wsp:val=&quot;006C0592&quot;/&gt;&lt;wsp:rsid wsp:val=&quot;006C272E&quot;/&gt;&lt;wsp:rsid wsp:val=&quot;006C5479&quot;/&gt;&lt;wsp:rsid wsp:val=&quot;006D13B5&quot;/&gt;&lt;wsp:rsid wsp:val=&quot;006E12FF&quot;/&gt;&lt;wsp:rsid wsp:val=&quot;006E607E&quot;/&gt;&lt;wsp:rsid wsp:val=&quot;00706C5D&quot;/&gt;&lt;wsp:rsid wsp:val=&quot;00732922&quot;/&gt;&lt;wsp:rsid wsp:val=&quot;0075162E&quot;/&gt;&lt;wsp:rsid wsp:val=&quot;00754034&quot;/&gt;&lt;wsp:rsid wsp:val=&quot;00756556&quot;/&gt;&lt;wsp:rsid wsp:val=&quot;007618C4&quot;/&gt;&lt;wsp:rsid wsp:val=&quot;00767980&quot;/&gt;&lt;wsp:rsid wsp:val=&quot;00770B19&quot;/&gt;&lt;wsp:rsid wsp:val=&quot;0077463F&quot;/&gt;&lt;wsp:rsid wsp:val=&quot;007836EA&quot;/&gt;&lt;wsp:rsid wsp:val=&quot;00784CDA&quot;/&gt;&lt;wsp:rsid wsp:val=&quot;007906C4&quot;/&gt;&lt;wsp:rsid wsp:val=&quot;00791026&quot;/&gt;&lt;wsp:rsid wsp:val=&quot;007940EA&quot;/&gt;&lt;wsp:rsid wsp:val=&quot;007967E8&quot;/&gt;&lt;wsp:rsid wsp:val=&quot;007A2170&quot;/&gt;&lt;wsp:rsid wsp:val=&quot;007A22BF&quot;/&gt;&lt;wsp:rsid wsp:val=&quot;007A3323&quot;/&gt;&lt;wsp:rsid wsp:val=&quot;007B72B8&quot;/&gt;&lt;wsp:rsid wsp:val=&quot;007B7A58&quot;/&gt;&lt;wsp:rsid wsp:val=&quot;007C21B5&quot;/&gt;&lt;wsp:rsid wsp:val=&quot;007E4BD2&quot;/&gt;&lt;wsp:rsid wsp:val=&quot;00801393&quot;/&gt;&lt;wsp:rsid wsp:val=&quot;00802F88&quot;/&gt;&lt;wsp:rsid wsp:val=&quot;0081293E&quot;/&gt;&lt;wsp:rsid wsp:val=&quot;00815465&quot;/&gt;&lt;wsp:rsid wsp:val=&quot;00817550&quot;/&gt;&lt;wsp:rsid wsp:val=&quot;00817E9A&quot;/&gt;&lt;wsp:rsid wsp:val=&quot;008306BD&quot;/&gt;&lt;wsp:rsid wsp:val=&quot;00831A80&quot;/&gt;&lt;wsp:rsid wsp:val=&quot;00833743&quot;/&gt;&lt;wsp:rsid wsp:val=&quot;008340A4&quot;/&gt;&lt;wsp:rsid wsp:val=&quot;008421AA&quot;/&gt;&lt;wsp:rsid wsp:val=&quot;0084359B&quot;/&gt;&lt;wsp:rsid wsp:val=&quot;00864B23&quot;/&gt;&lt;wsp:rsid wsp:val=&quot;0087135F&quot;/&gt;&lt;wsp:rsid wsp:val=&quot;00872D94&quot;/&gt;&lt;wsp:rsid wsp:val=&quot;00880364&quot;/&gt;&lt;wsp:rsid wsp:val=&quot;00891592&quot;/&gt;&lt;wsp:rsid wsp:val=&quot;00891E9E&quot;/&gt;&lt;wsp:rsid wsp:val=&quot;008A2F68&quot;/&gt;&lt;wsp:rsid wsp:val=&quot;008B4FA6&quot;/&gt;&lt;wsp:rsid wsp:val=&quot;008B5282&quot;/&gt;&lt;wsp:rsid wsp:val=&quot;008B7C17&quot;/&gt;&lt;wsp:rsid wsp:val=&quot;008C1431&quot;/&gt;&lt;wsp:rsid wsp:val=&quot;008C2D01&quot;/&gt;&lt;wsp:rsid wsp:val=&quot;008C3BF0&quot;/&gt;&lt;wsp:rsid wsp:val=&quot;008C40E6&quot;/&gt;&lt;wsp:rsid wsp:val=&quot;008D0F7A&quot;/&gt;&lt;wsp:rsid wsp:val=&quot;008D68E4&quot;/&gt;&lt;wsp:rsid wsp:val=&quot;008E0506&quot;/&gt;&lt;wsp:rsid wsp:val=&quot;008E0CFF&quot;/&gt;&lt;wsp:rsid wsp:val=&quot;008E5D6B&quot;/&gt;&lt;wsp:rsid wsp:val=&quot;008E76F0&quot;/&gt;&lt;wsp:rsid wsp:val=&quot;008F15FE&quot;/&gt;&lt;wsp:rsid wsp:val=&quot;008F202D&quot;/&gt;&lt;wsp:rsid wsp:val=&quot;008F2D29&quot;/&gt;&lt;wsp:rsid wsp:val=&quot;008F4F83&quot;/&gt;&lt;wsp:rsid wsp:val=&quot;008F5187&quot;/&gt;&lt;wsp:rsid wsp:val=&quot;008F60D8&quot;/&gt;&lt;wsp:rsid wsp:val=&quot;00902727&quot;/&gt;&lt;wsp:rsid wsp:val=&quot;0090312B&quot;/&gt;&lt;wsp:rsid wsp:val=&quot;0091736D&quot;/&gt;&lt;wsp:rsid wsp:val=&quot;0093037A&quot;/&gt;&lt;wsp:rsid wsp:val=&quot;0094154D&quot;/&gt;&lt;wsp:rsid wsp:val=&quot;0095155F&quot;/&gt;&lt;wsp:rsid wsp:val=&quot;00953CE1&quot;/&gt;&lt;wsp:rsid wsp:val=&quot;00954429&quot;/&gt;&lt;wsp:rsid wsp:val=&quot;009563CE&quot;/&gt;&lt;wsp:rsid wsp:val=&quot;00976328&quot;/&gt;&lt;wsp:rsid wsp:val=&quot;0097680D&quot;/&gt;&lt;wsp:rsid wsp:val=&quot;00982438&quot;/&gt;&lt;wsp:rsid wsp:val=&quot;0098404C&quot;/&gt;&lt;wsp:rsid wsp:val=&quot;00985283&quot;/&gt;&lt;wsp:rsid wsp:val=&quot;00995992&quot;/&gt;&lt;wsp:rsid wsp:val=&quot;009A03E5&quot;/&gt;&lt;wsp:rsid wsp:val=&quot;009A0F3B&quot;/&gt;&lt;wsp:rsid wsp:val=&quot;009A1BB4&quot;/&gt;&lt;wsp:rsid wsp:val=&quot;009A2628&quot;/&gt;&lt;wsp:rsid wsp:val=&quot;009A3200&quot;/&gt;&lt;wsp:rsid wsp:val=&quot;009A7443&quot;/&gt;&lt;wsp:rsid wsp:val=&quot;009B0897&quot;/&gt;&lt;wsp:rsid wsp:val=&quot;009B7BD9&quot;/&gt;&lt;wsp:rsid wsp:val=&quot;009C7DD5&quot;/&gt;&lt;wsp:rsid wsp:val=&quot;009E227D&quot;/&gt;&lt;wsp:rsid wsp:val=&quot;009E5019&quot;/&gt;&lt;wsp:rsid wsp:val=&quot;009F43C6&quot;/&gt;&lt;wsp:rsid wsp:val=&quot;00A04F1B&quot;/&gt;&lt;wsp:rsid wsp:val=&quot;00A0501B&quot;/&gt;&lt;wsp:rsid wsp:val=&quot;00A14947&quot;/&gt;&lt;wsp:rsid wsp:val=&quot;00A32A83&quot;/&gt;&lt;wsp:rsid wsp:val=&quot;00A368DB&quot;/&gt;&lt;wsp:rsid wsp:val=&quot;00A423AA&quot;/&gt;&lt;wsp:rsid wsp:val=&quot;00A53EC6&quot;/&gt;&lt;wsp:rsid wsp:val=&quot;00A55C0F&quot;/&gt;&lt;wsp:rsid wsp:val=&quot;00A8713F&quot;/&gt;&lt;wsp:rsid wsp:val=&quot;00A90BA1&quot;/&gt;&lt;wsp:rsid wsp:val=&quot;00A97A9A&quot;/&gt;&lt;wsp:rsid wsp:val=&quot;00AA0671&quot;/&gt;&lt;wsp:rsid wsp:val=&quot;00AA2531&quot;/&gt;&lt;wsp:rsid wsp:val=&quot;00AB1E09&quot;/&gt;&lt;wsp:rsid wsp:val=&quot;00AB5330&quot;/&gt;&lt;wsp:rsid wsp:val=&quot;00AB7747&quot;/&gt;&lt;wsp:rsid wsp:val=&quot;00AC14CE&quot;/&gt;&lt;wsp:rsid wsp:val=&quot;00AC2A56&quot;/&gt;&lt;wsp:rsid wsp:val=&quot;00AD055E&quot;/&gt;&lt;wsp:rsid wsp:val=&quot;00AD47A7&quot;/&gt;&lt;wsp:rsid wsp:val=&quot;00AF0CBF&quot;/&gt;&lt;wsp:rsid wsp:val=&quot;00AF257F&quot;/&gt;&lt;wsp:rsid wsp:val=&quot;00AF33CF&quot;/&gt;&lt;wsp:rsid wsp:val=&quot;00AF4D50&quot;/&gt;&lt;wsp:rsid wsp:val=&quot;00AF6179&quot;/&gt;&lt;wsp:rsid wsp:val=&quot;00B1295A&quot;/&gt;&lt;wsp:rsid wsp:val=&quot;00B20A45&quot;/&gt;&lt;wsp:rsid wsp:val=&quot;00B22C5C&quot;/&gt;&lt;wsp:rsid wsp:val=&quot;00B24F30&quot;/&gt;&lt;wsp:rsid wsp:val=&quot;00B31ABF&quot;/&gt;&lt;wsp:rsid wsp:val=&quot;00B33BE3&quot;/&gt;&lt;wsp:rsid wsp:val=&quot;00B53B5D&quot;/&gt;&lt;wsp:rsid wsp:val=&quot;00B6055E&quot;/&gt;&lt;wsp:rsid wsp:val=&quot;00B6317D&quot;/&gt;&lt;wsp:rsid wsp:val=&quot;00B7723F&quot;/&gt;&lt;wsp:rsid wsp:val=&quot;00B80534&quot;/&gt;&lt;wsp:rsid wsp:val=&quot;00B8433C&quot;/&gt;&lt;wsp:rsid wsp:val=&quot;00B87491&quot;/&gt;&lt;wsp:rsid wsp:val=&quot;00BA29E9&quot;/&gt;&lt;wsp:rsid wsp:val=&quot;00BA7142&quot;/&gt;&lt;wsp:rsid wsp:val=&quot;00BB237C&quot;/&gt;&lt;wsp:rsid wsp:val=&quot;00BB41A3&quot;/&gt;&lt;wsp:rsid wsp:val=&quot;00BC32DC&quot;/&gt;&lt;wsp:rsid wsp:val=&quot;00BC35B6&quot;/&gt;&lt;wsp:rsid wsp:val=&quot;00BD1B51&quot;/&gt;&lt;wsp:rsid wsp:val=&quot;00BD4596&quot;/&gt;&lt;wsp:rsid wsp:val=&quot;00BE1405&quot;/&gt;&lt;wsp:rsid wsp:val=&quot;00BE312D&quot;/&gt;&lt;wsp:rsid wsp:val=&quot;00BF1C20&quot;/&gt;&lt;wsp:rsid wsp:val=&quot;00C10013&quot;/&gt;&lt;wsp:rsid wsp:val=&quot;00C10578&quot;/&gt;&lt;wsp:rsid wsp:val=&quot;00C135BC&quot;/&gt;&lt;wsp:rsid wsp:val=&quot;00C15C95&quot;/&gt;&lt;wsp:rsid wsp:val=&quot;00C2596A&quot;/&gt;&lt;wsp:rsid wsp:val=&quot;00C27537&quot;/&gt;&lt;wsp:rsid wsp:val=&quot;00C328FE&quot;/&gt;&lt;wsp:rsid wsp:val=&quot;00C33507&quot;/&gt;&lt;wsp:rsid wsp:val=&quot;00C4409D&quot;/&gt;&lt;wsp:rsid wsp:val=&quot;00C44E72&quot;/&gt;&lt;wsp:rsid wsp:val=&quot;00C45A06&quot;/&gt;&lt;wsp:rsid wsp:val=&quot;00C47E5B&quot;/&gt;&lt;wsp:rsid wsp:val=&quot;00C61E4B&quot;/&gt;&lt;wsp:rsid wsp:val=&quot;00C64845&quot;/&gt;&lt;wsp:rsid wsp:val=&quot;00C64BFF&quot;/&gt;&lt;wsp:rsid wsp:val=&quot;00C704E9&quot;/&gt;&lt;wsp:rsid wsp:val=&quot;00C763C9&quot;/&gt;&lt;wsp:rsid wsp:val=&quot;00C80057&quot;/&gt;&lt;wsp:rsid wsp:val=&quot;00C82232&quot;/&gt;&lt;wsp:rsid wsp:val=&quot;00C82913&quot;/&gt;&lt;wsp:rsid wsp:val=&quot;00C90F50&quot;/&gt;&lt;wsp:rsid wsp:val=&quot;00C972B1&quot;/&gt;&lt;wsp:rsid wsp:val=&quot;00CA0DA4&quot;/&gt;&lt;wsp:rsid wsp:val=&quot;00CA2CCE&quot;/&gt;&lt;wsp:rsid wsp:val=&quot;00CA43FD&quot;/&gt;&lt;wsp:rsid wsp:val=&quot;00CA7EF8&quot;/&gt;&lt;wsp:rsid wsp:val=&quot;00CC489B&quot;/&gt;&lt;wsp:rsid wsp:val=&quot;00CD2BCD&quot;/&gt;&lt;wsp:rsid wsp:val=&quot;00CD3A4C&quot;/&gt;&lt;wsp:rsid wsp:val=&quot;00CE10E9&quot;/&gt;&lt;wsp:rsid wsp:val=&quot;00CE2910&quot;/&gt;&lt;wsp:rsid wsp:val=&quot;00CE5109&quot;/&gt;&lt;wsp:rsid wsp:val=&quot;00CE5393&quot;/&gt;&lt;wsp:rsid wsp:val=&quot;00CF36BE&quot;/&gt;&lt;wsp:rsid wsp:val=&quot;00CF6000&quot;/&gt;&lt;wsp:rsid wsp:val=&quot;00D003F3&quot;/&gt;&lt;wsp:rsid wsp:val=&quot;00D0364F&quot;/&gt;&lt;wsp:rsid wsp:val=&quot;00D06834&quot;/&gt;&lt;wsp:rsid wsp:val=&quot;00D308ED&quot;/&gt;&lt;wsp:rsid wsp:val=&quot;00D36D86&quot;/&gt;&lt;wsp:rsid wsp:val=&quot;00D428AA&quot;/&gt;&lt;wsp:rsid wsp:val=&quot;00D50A34&quot;/&gt;&lt;wsp:rsid wsp:val=&quot;00D53EFA&quot;/&gt;&lt;wsp:rsid wsp:val=&quot;00D842F7&quot;/&gt;&lt;wsp:rsid wsp:val=&quot;00D94A7C&quot;/&gt;&lt;wsp:rsid wsp:val=&quot;00D95896&quot;/&gt;&lt;wsp:rsid wsp:val=&quot;00D9685A&quot;/&gt;&lt;wsp:rsid wsp:val=&quot;00DB2983&quot;/&gt;&lt;wsp:rsid wsp:val=&quot;00DC1257&quot;/&gt;&lt;wsp:rsid wsp:val=&quot;00DC3DC0&quot;/&gt;&lt;wsp:rsid wsp:val=&quot;00DC5B2B&quot;/&gt;&lt;wsp:rsid wsp:val=&quot;00DD318D&quot;/&gt;&lt;wsp:rsid wsp:val=&quot;00DF2E12&quot;/&gt;&lt;wsp:rsid wsp:val=&quot;00DF514A&quot;/&gt;&lt;wsp:rsid wsp:val=&quot;00DF6690&quot;/&gt;&lt;wsp:rsid wsp:val=&quot;00DF6804&quot;/&gt;&lt;wsp:rsid wsp:val=&quot;00E0358D&quot;/&gt;&lt;wsp:rsid wsp:val=&quot;00E04323&quot;/&gt;&lt;wsp:rsid wsp:val=&quot;00E070A2&quot;/&gt;&lt;wsp:rsid wsp:val=&quot;00E2656A&quot;/&gt;&lt;wsp:rsid wsp:val=&quot;00E412D0&quot;/&gt;&lt;wsp:rsid wsp:val=&quot;00E56322&quot;/&gt;&lt;wsp:rsid wsp:val=&quot;00E60982&quot;/&gt;&lt;wsp:rsid wsp:val=&quot;00E62C62&quot;/&gt;&lt;wsp:rsid wsp:val=&quot;00E654C1&quot;/&gt;&lt;wsp:rsid wsp:val=&quot;00E65D97&quot;/&gt;&lt;wsp:rsid wsp:val=&quot;00E72A5A&quot;/&gt;&lt;wsp:rsid wsp:val=&quot;00E73354&quot;/&gt;&lt;wsp:rsid wsp:val=&quot;00E9242D&quot;/&gt;&lt;wsp:rsid wsp:val=&quot;00EB5255&quot;/&gt;&lt;wsp:rsid wsp:val=&quot;00EB5C47&quot;/&gt;&lt;wsp:rsid wsp:val=&quot;00ED0639&quot;/&gt;&lt;wsp:rsid wsp:val=&quot;00EF4755&quot;/&gt;&lt;wsp:rsid wsp:val=&quot;00EF7135&quot;/&gt;&lt;wsp:rsid wsp:val=&quot;00F027DB&quot;/&gt;&lt;wsp:rsid wsp:val=&quot;00F14A7A&quot;/&gt;&lt;wsp:rsid wsp:val=&quot;00F22985&quot;/&gt;&lt;wsp:rsid wsp:val=&quot;00F3383E&quot;/&gt;&lt;wsp:rsid wsp:val=&quot;00F465A7&quot;/&gt;&lt;wsp:rsid wsp:val=&quot;00F50B7C&quot;/&gt;&lt;wsp:rsid wsp:val=&quot;00F550E6&quot;/&gt;&lt;wsp:rsid wsp:val=&quot;00F74345&quot;/&gt;&lt;wsp:rsid wsp:val=&quot;00F80A0A&quot;/&gt;&lt;wsp:rsid wsp:val=&quot;00F8130B&quot;/&gt;&lt;wsp:rsid wsp:val=&quot;00F82B19&quot;/&gt;&lt;wsp:rsid wsp:val=&quot;00F9212D&quot;/&gt;&lt;wsp:rsid wsp:val=&quot;00F965DA&quot;/&gt;&lt;wsp:rsid wsp:val=&quot;00FA406A&quot;/&gt;&lt;wsp:rsid wsp:val=&quot;00FB503A&quot;/&gt;&lt;wsp:rsid wsp:val=&quot;00FB516C&quot;/&gt;&lt;wsp:rsid wsp:val=&quot;00FC5542&quot;/&gt;&lt;wsp:rsid wsp:val=&quot;00FD0236&quot;/&gt;&lt;wsp:rsid wsp:val=&quot;00FD18F4&quot;/&gt;&lt;wsp:rsid wsp:val=&quot;00FD54DB&quot;/&gt;&lt;wsp:rsid wsp:val=&quot;00FD619F&quot;/&gt;&lt;wsp:rsid wsp:val=&quot;01290F7E&quot;/&gt;&lt;wsp:rsid wsp:val=&quot;015D1E09&quot;/&gt;&lt;wsp:rsid wsp:val=&quot;02697903&quot;/&gt;&lt;wsp:rsid wsp:val=&quot;02F96569&quot;/&gt;&lt;wsp:rsid wsp:val=&quot;03EA7B21&quot;/&gt;&lt;wsp:rsid wsp:val=&quot;05F83EAE&quot;/&gt;&lt;wsp:rsid wsp:val=&quot;063E7D85&quot;/&gt;&lt;wsp:rsid wsp:val=&quot;07293586&quot;/&gt;&lt;wsp:rsid wsp:val=&quot;07295285&quot;/&gt;&lt;wsp:rsid wsp:val=&quot;07636392&quot;/&gt;&lt;wsp:rsid wsp:val=&quot;07770C56&quot;/&gt;&lt;wsp:rsid wsp:val=&quot;092217DD&quot;/&gt;&lt;wsp:rsid wsp:val=&quot;093A7294&quot;/&gt;&lt;wsp:rsid wsp:val=&quot;0A263993&quot;/&gt;&lt;wsp:rsid wsp:val=&quot;0A2D3AC2&quot;/&gt;&lt;wsp:rsid wsp:val=&quot;0AA755DF&quot;/&gt;&lt;wsp:rsid wsp:val=&quot;0B120D44&quot;/&gt;&lt;wsp:rsid wsp:val=&quot;0BD27BF6&quot;/&gt;&lt;wsp:rsid wsp:val=&quot;0C3B3C7D&quot;/&gt;&lt;wsp:rsid wsp:val=&quot;0CAB2EAE&quot;/&gt;&lt;wsp:rsid wsp:val=&quot;0D621C7D&quot;/&gt;&lt;wsp:rsid wsp:val=&quot;0E73034D&quot;/&gt;&lt;wsp:rsid wsp:val=&quot;0F13775A&quot;/&gt;&lt;wsp:rsid wsp:val=&quot;0F5F45FE&quot;/&gt;&lt;wsp:rsid wsp:val=&quot;0F9A112B&quot;/&gt;&lt;wsp:rsid wsp:val=&quot;106D2F64&quot;/&gt;&lt;wsp:rsid wsp:val=&quot;10B63710&quot;/&gt;&lt;wsp:rsid wsp:val=&quot;10F10820&quot;/&gt;&lt;wsp:rsid wsp:val=&quot;111C2F7A&quot;/&gt;&lt;wsp:rsid wsp:val=&quot;11665CA1&quot;/&gt;&lt;wsp:rsid wsp:val=&quot;13951726&quot;/&gt;&lt;wsp:rsid wsp:val=&quot;14396509&quot;/&gt;&lt;wsp:rsid wsp:val=&quot;14DD2C3C&quot;/&gt;&lt;wsp:rsid wsp:val=&quot;16087E1D&quot;/&gt;&lt;wsp:rsid wsp:val=&quot;17701D14&quot;/&gt;&lt;wsp:rsid wsp:val=&quot;17735226&quot;/&gt;&lt;wsp:rsid wsp:val=&quot;189F624C&quot;/&gt;&lt;wsp:rsid wsp:val=&quot;1A1C66C0&quot;/&gt;&lt;wsp:rsid wsp:val=&quot;1A42393B&quot;/&gt;&lt;wsp:rsid wsp:val=&quot;1AAD45DE&quot;/&gt;&lt;wsp:rsid wsp:val=&quot;1B046F80&quot;/&gt;&lt;wsp:rsid wsp:val=&quot;1B3267B5&quot;/&gt;&lt;wsp:rsid wsp:val=&quot;1B40161D&quot;/&gt;&lt;wsp:rsid wsp:val=&quot;1B441859&quot;/&gt;&lt;wsp:rsid wsp:val=&quot;1B6606B1&quot;/&gt;&lt;wsp:rsid wsp:val=&quot;1C5E7925&quot;/&gt;&lt;wsp:rsid wsp:val=&quot;1CFD070F&quot;/&gt;&lt;wsp:rsid wsp:val=&quot;1D5F6196&quot;/&gt;&lt;wsp:rsid wsp:val=&quot;1D6132A5&quot;/&gt;&lt;wsp:rsid wsp:val=&quot;1D8E56D5&quot;/&gt;&lt;wsp:rsid wsp:val=&quot;1E7A43DA&quot;/&gt;&lt;wsp:rsid wsp:val=&quot;1FE7539E&quot;/&gt;&lt;wsp:rsid wsp:val=&quot;20671BE0&quot;/&gt;&lt;wsp:rsid wsp:val=&quot;20963CB8&quot;/&gt;&lt;wsp:rsid wsp:val=&quot;20A81A1B&quot;/&gt;&lt;wsp:rsid wsp:val=&quot;20B07FB6&quot;/&gt;&lt;wsp:rsid wsp:val=&quot;20B646FB&quot;/&gt;&lt;wsp:rsid wsp:val=&quot;213B74B1&quot;/&gt;&lt;wsp:rsid wsp:val=&quot;215A2310&quot;/&gt;&lt;wsp:rsid wsp:val=&quot;21DE318A&quot;/&gt;&lt;wsp:rsid wsp:val=&quot;21EF5B80&quot;/&gt;&lt;wsp:rsid wsp:val=&quot;22576990&quot;/&gt;&lt;wsp:rsid wsp:val=&quot;22F47480&quot;/&gt;&lt;wsp:rsid wsp:val=&quot;23DE1C48&quot;/&gt;&lt;wsp:rsid wsp:val=&quot;240210CD&quot;/&gt;&lt;wsp:rsid wsp:val=&quot;24BF09F7&quot;/&gt;&lt;wsp:rsid wsp:val=&quot;252D53FE&quot;/&gt;&lt;wsp:rsid wsp:val=&quot;25EC2D81&quot;/&gt;&lt;wsp:rsid wsp:val=&quot;277057A2&quot;/&gt;&lt;wsp:rsid wsp:val=&quot;29206EB8&quot;/&gt;&lt;wsp:rsid wsp:val=&quot;29595666&quot;/&gt;&lt;wsp:rsid wsp:val=&quot;29874881&quot;/&gt;&lt;wsp:rsid wsp:val=&quot;29E325E0&quot;/&gt;&lt;wsp:rsid wsp:val=&quot;2A452503&quot;/&gt;&lt;wsp:rsid wsp:val=&quot;2BA936A8&quot;/&gt;&lt;wsp:rsid wsp:val=&quot;2C315A5A&quot;/&gt;&lt;wsp:rsid wsp:val=&quot;2C4B1C25&quot;/&gt;&lt;wsp:rsid wsp:val=&quot;2D9E56F5&quot;/&gt;&lt;wsp:rsid wsp:val=&quot;2E667F96&quot;/&gt;&lt;wsp:rsid wsp:val=&quot;2E8226AB&quot;/&gt;&lt;wsp:rsid wsp:val=&quot;2FD065E6&quot;/&gt;&lt;wsp:rsid wsp:val=&quot;2FD96870&quot;/&gt;&lt;wsp:rsid wsp:val=&quot;30580BC9&quot;/&gt;&lt;wsp:rsid wsp:val=&quot;311E2ED7&quot;/&gt;&lt;wsp:rsid wsp:val=&quot;315619EE&quot;/&gt;&lt;wsp:rsid wsp:val=&quot;315C449C&quot;/&gt;&lt;wsp:rsid wsp:val=&quot;31B82709&quot;/&gt;&lt;wsp:rsid wsp:val=&quot;31D05482&quot;/&gt;&lt;wsp:rsid wsp:val=&quot;32400B34&quot;/&gt;&lt;wsp:rsid wsp:val=&quot;329E6876&quot;/&gt;&lt;wsp:rsid wsp:val=&quot;333015F2&quot;/&gt;&lt;wsp:rsid wsp:val=&quot;334B6320&quot;/&gt;&lt;wsp:rsid wsp:val=&quot;33D934D4&quot;/&gt;&lt;wsp:rsid wsp:val=&quot;33FE2F6A&quot;/&gt;&lt;wsp:rsid wsp:val=&quot;340E07E5&quot;/&gt;&lt;wsp:rsid wsp:val=&quot;34235BF7&quot;/&gt;&lt;wsp:rsid wsp:val=&quot;358C5FA8&quot;/&gt;&lt;wsp:rsid wsp:val=&quot;35C15DF1&quot;/&gt;&lt;wsp:rsid wsp:val=&quot;36074A7F&quot;/&gt;&lt;wsp:rsid wsp:val=&quot;36923549&quot;/&gt;&lt;wsp:rsid wsp:val=&quot;36B75FBF&quot;/&gt;&lt;wsp:rsid wsp:val=&quot;36BD0C45&quot;/&gt;&lt;wsp:rsid wsp:val=&quot;37E00298&quot;/&gt;&lt;wsp:rsid wsp:val=&quot;38B302F9&quot;/&gt;&lt;wsp:rsid wsp:val=&quot;38F12CD3&quot;/&gt;&lt;wsp:rsid wsp:val=&quot;38F94775&quot;/&gt;&lt;wsp:rsid wsp:val=&quot;392971ED&quot;/&gt;&lt;wsp:rsid wsp:val=&quot;39325651&quot;/&gt;&lt;wsp:rsid wsp:val=&quot;3A872856&quot;/&gt;&lt;wsp:rsid wsp:val=&quot;3B3763D1&quot;/&gt;&lt;wsp:rsid wsp:val=&quot;3C2F6E1E&quot;/&gt;&lt;wsp:rsid wsp:val=&quot;3C4F64BA&quot;/&gt;&lt;wsp:rsid wsp:val=&quot;3CDA245A&quot;/&gt;&lt;wsp:rsid wsp:val=&quot;3D1E06B7&quot;/&gt;&lt;wsp:rsid wsp:val=&quot;3EDA0523&quot;/&gt;&lt;wsp:rsid wsp:val=&quot;407A6407&quot;/&gt;&lt;wsp:rsid wsp:val=&quot;4200449D&quot;/&gt;&lt;wsp:rsid wsp:val=&quot;423A3BCC&quot;/&gt;&lt;wsp:rsid wsp:val=&quot;424E57D2&quot;/&gt;&lt;wsp:rsid wsp:val=&quot;42B26C49&quot;/&gt;&lt;wsp:rsid wsp:val=&quot;433A6FE6&quot;/&gt;&lt;wsp:rsid wsp:val=&quot;43480868&quot;/&gt;&lt;wsp:rsid wsp:val=&quot;4350713C&quot;/&gt;&lt;wsp:rsid wsp:val=&quot;436653E0&quot;/&gt;&lt;wsp:rsid wsp:val=&quot;43C4431A&quot;/&gt;&lt;wsp:rsid wsp:val=&quot;44B951CC&quot;/&gt;&lt;wsp:rsid wsp:val=&quot;44CD14E0&quot;/&gt;&lt;wsp:rsid wsp:val=&quot;44F20B0B&quot;/&gt;&lt;wsp:rsid wsp:val=&quot;452E5F4C&quot;/&gt;&lt;wsp:rsid wsp:val=&quot;45612018&quot;/&gt;&lt;wsp:rsid wsp:val=&quot;458946E9&quot;/&gt;&lt;wsp:rsid wsp:val=&quot;45A47C0E&quot;/&gt;&lt;wsp:rsid wsp:val=&quot;46577FD6&quot;/&gt;&lt;wsp:rsid wsp:val=&quot;46D955A7&quot;/&gt;&lt;wsp:rsid wsp:val=&quot;47133957&quot;/&gt;&lt;wsp:rsid wsp:val=&quot;47A07E0C&quot;/&gt;&lt;wsp:rsid wsp:val=&quot;4870272E&quot;/&gt;&lt;wsp:rsid wsp:val=&quot;49DC7715&quot;/&gt;&lt;wsp:rsid wsp:val=&quot;4A023139&quot;/&gt;&lt;wsp:rsid wsp:val=&quot;4A7B576F&quot;/&gt;&lt;wsp:rsid wsp:val=&quot;4AF561A9&quot;/&gt;&lt;wsp:rsid wsp:val=&quot;4C4A0649&quot;/&gt;&lt;wsp:rsid wsp:val=&quot;4C7E5ECA&quot;/&gt;&lt;wsp:rsid wsp:val=&quot;4C876AA5&quot;/&gt;&lt;wsp:rsid wsp:val=&quot;4D0E00FB&quot;/&gt;&lt;wsp:rsid wsp:val=&quot;4D176606&quot;/&gt;&lt;wsp:rsid wsp:val=&quot;4DEC4FB0&quot;/&gt;&lt;wsp:rsid wsp:val=&quot;4E075D8A&quot;/&gt;&lt;wsp:rsid wsp:val=&quot;4EC00FAD&quot;/&gt;&lt;wsp:rsid wsp:val=&quot;4F9843DC&quot;/&gt;&lt;wsp:rsid wsp:val=&quot;4FC62A8C&quot;/&gt;&lt;wsp:rsid wsp:val=&quot;4FE20F0D&quot;/&gt;&lt;wsp:rsid wsp:val=&quot;4FE51552&quot;/&gt;&lt;wsp:rsid wsp:val=&quot;50504C4B&quot;/&gt;&lt;wsp:rsid wsp:val=&quot;509C6E7C&quot;/&gt;&lt;wsp:rsid wsp:val=&quot;5162104E&quot;/&gt;&lt;wsp:rsid wsp:val=&quot;53A039CC&quot;/&gt;&lt;wsp:rsid wsp:val=&quot;53A1505A&quot;/&gt;&lt;wsp:rsid wsp:val=&quot;54063E08&quot;/&gt;&lt;wsp:rsid wsp:val=&quot;543437E8&quot;/&gt;&lt;wsp:rsid wsp:val=&quot;54F73313&quot;/&gt;&lt;wsp:rsid wsp:val=&quot;54F80955&quot;/&gt;&lt;wsp:rsid wsp:val=&quot;555170A7&quot;/&gt;&lt;wsp:rsid wsp:val=&quot;5587536D&quot;/&gt;&lt;wsp:rsid wsp:val=&quot;559B174B&quot;/&gt;&lt;wsp:rsid wsp:val=&quot;55CE0CF4&quot;/&gt;&lt;wsp:rsid wsp:val=&quot;56B22A9C&quot;/&gt;&lt;wsp:rsid wsp:val=&quot;57B72A76&quot;/&gt;&lt;wsp:rsid wsp:val=&quot;57C3426C&quot;/&gt;&lt;wsp:rsid wsp:val=&quot;57CE1F93&quot;/&gt;&lt;wsp:rsid wsp:val=&quot;588743D1&quot;/&gt;&lt;wsp:rsid wsp:val=&quot;5887701A&quot;/&gt;&lt;wsp:rsid wsp:val=&quot;59C0439F&quot;/&gt;&lt;wsp:rsid wsp:val=&quot;5ABE2233&quot;/&gt;&lt;wsp:rsid wsp:val=&quot;5BDF5D95&quot;/&gt;&lt;wsp:rsid wsp:val=&quot;5BFE7528&quot;/&gt;&lt;wsp:rsid wsp:val=&quot;5E2467F1&quot;/&gt;&lt;wsp:rsid wsp:val=&quot;5F1A2B43&quot;/&gt;&lt;wsp:rsid wsp:val=&quot;5FB837BB&quot;/&gt;&lt;wsp:rsid wsp:val=&quot;60CC405A&quot;/&gt;&lt;wsp:rsid wsp:val=&quot;61E215D8&quot;/&gt;&lt;wsp:rsid wsp:val=&quot;621B3775&quot;/&gt;&lt;wsp:rsid wsp:val=&quot;62364782&quot;/&gt;&lt;wsp:rsid wsp:val=&quot;6394356A&quot;/&gt;&lt;wsp:rsid wsp:val=&quot;63C61B2C&quot;/&gt;&lt;wsp:rsid wsp:val=&quot;63D40BE9&quot;/&gt;&lt;wsp:rsid wsp:val=&quot;64102431&quot;/&gt;&lt;wsp:rsid wsp:val=&quot;64A5243A&quot;/&gt;&lt;wsp:rsid wsp:val=&quot;64F531DE&quot;/&gt;&lt;wsp:rsid wsp:val=&quot;65373578&quot;/&gt;&lt;wsp:rsid wsp:val=&quot;671F124A&quot;/&gt;&lt;wsp:rsid wsp:val=&quot;677A33C6&quot;/&gt;&lt;wsp:rsid wsp:val=&quot;681F6961&quot;/&gt;&lt;wsp:rsid wsp:val=&quot;68610A2F&quot;/&gt;&lt;wsp:rsid wsp:val=&quot;68805514&quot;/&gt;&lt;wsp:rsid wsp:val=&quot;69316E2F&quot;/&gt;&lt;wsp:rsid wsp:val=&quot;694E2071&quot;/&gt;&lt;wsp:rsid wsp:val=&quot;69766163&quot;/&gt;&lt;wsp:rsid wsp:val=&quot;697A3B33&quot;/&gt;&lt;wsp:rsid wsp:val=&quot;69D44760&quot;/&gt;&lt;wsp:rsid wsp:val=&quot;6A520EC7&quot;/&gt;&lt;wsp:rsid wsp:val=&quot;6AF87E20&quot;/&gt;&lt;wsp:rsid wsp:val=&quot;6B322639&quot;/&gt;&lt;wsp:rsid wsp:val=&quot;6C636C38&quot;/&gt;&lt;wsp:rsid wsp:val=&quot;6DB34098&quot;/&gt;&lt;wsp:rsid wsp:val=&quot;6DB545B6&quot;/&gt;&lt;wsp:rsid wsp:val=&quot;6DE02FB4&quot;/&gt;&lt;wsp:rsid wsp:val=&quot;6E514CED&quot;/&gt;&lt;wsp:rsid wsp:val=&quot;6EB563D5&quot;/&gt;&lt;wsp:rsid wsp:val=&quot;6ED92677&quot;/&gt;&lt;wsp:rsid wsp:val=&quot;6F225983&quot;/&gt;&lt;wsp:rsid wsp:val=&quot;6FFC5590&quot;/&gt;&lt;wsp:rsid wsp:val=&quot;706D1DD0&quot;/&gt;&lt;wsp:rsid wsp:val=&quot;70856B87&quot;/&gt;&lt;wsp:rsid wsp:val=&quot;70D527EE&quot;/&gt;&lt;wsp:rsid wsp:val=&quot;715B5300&quot;/&gt;&lt;wsp:rsid wsp:val=&quot;71D27F8A&quot;/&gt;&lt;wsp:rsid wsp:val=&quot;72553024&quot;/&gt;&lt;wsp:rsid wsp:val=&quot;73122968&quot;/&gt;&lt;wsp:rsid wsp:val=&quot;731F5D5E&quot;/&gt;&lt;wsp:rsid wsp:val=&quot;73C51AD5&quot;/&gt;&lt;wsp:rsid wsp:val=&quot;741E793C&quot;/&gt;&lt;wsp:rsid wsp:val=&quot;745E3944&quot;/&gt;&lt;wsp:rsid wsp:val=&quot;7635099D&quot;/&gt;&lt;wsp:rsid wsp:val=&quot;77762421&quot;/&gt;&lt;wsp:rsid wsp:val=&quot;77B56B1F&quot;/&gt;&lt;wsp:rsid wsp:val=&quot;780F09F4&quot;/&gt;&lt;wsp:rsid wsp:val=&quot;78A90480&quot;/&gt;&lt;wsp:rsid wsp:val=&quot;7A364017&quot;/&gt;&lt;wsp:rsid wsp:val=&quot;7A8265E1&quot;/&gt;&lt;wsp:rsid wsp:val=&quot;7B686D42&quot;/&gt;&lt;wsp:rsid wsp:val=&quot;7B841746&quot;/&gt;&lt;wsp:rsid wsp:val=&quot;7C6C5AC7&quot;/&gt;&lt;wsp:rsid wsp:val=&quot;7CC6544B&quot;/&gt;&lt;wsp:rsid wsp:val=&quot;7D0239FF&quot;/&gt;&lt;wsp:rsid wsp:val=&quot;7D5E40CD&quot;/&gt;&lt;wsp:rsid wsp:val=&quot;7DCD56F2&quot;/&gt;&lt;wsp:rsid wsp:val=&quot;7F001CE7&quot;/&gt;&lt;wsp:rsid wsp:val=&quot;7FE47E50&quot;/&gt;&lt;/wsp:rsids&gt;&lt;/w:docPr&gt;&lt;w:body&gt;&lt;wx:sect&gt;&lt;w:p wsp:rsidR=&quot;00000000&quot; wsp:rsidRDefault=&quot;00663329&quot; wsp:rsidP=&quot;00663329&quot;&gt;&lt;m:oMathPara&gt;&lt;m:oMath&gt;&lt;m:sSub&gt;&lt;m:sSubPr&gt;&lt;m:ctrlPr&gt;&lt;w:rPr&gt;&lt;w:rFonts w:ascii=&quot;Cambria Math&quot; w:h-ansi=&quot;Cambria Math&quot;/&gt;&lt;wx:font wx:val=&quot;Cambria Math&quot;/&gt;&lt;w:color w:val=&quot;000000&quot;/&gt;&lt;w:sz w:val=&quot;24&quot;/&gt;&lt;/w:rPr&gt;&lt;/m:ctrlPr&gt;&lt;/m:sSubPr&gt;&lt;m:e&gt;&lt;m:r&gt;&lt;w:rPr&gt;&lt;w:rFonts w:ascii=&quot;Cambria Math&quot; w:h-ansi=&quot;Cambria Math&quot;/&gt;&lt;wx:font wx:val=&quot;Cambria Math&quot;/&gt;&lt;w:i/&gt;&lt;w:color w:val=&quot;000000&quot;/&gt;&lt;w:sz w:val=&quot;24&quot;/&gt;&lt;/w:rPr&gt;&lt;m:t&gt;I&lt;/m:t&gt;&lt;/m:r&gt;&lt;/m:e&gt;&lt;m:sub&gt;&lt;m:r&gt;&lt;w:rPr&gt;&lt;w:rFonts w:ascii=&quot;Cambria Math&quot; w:h-ansi=&quot;Cambria Math&quot; w:hint=&quot;fareast&quot;/&gt;&lt;wx:font wx:val=&quot;Cambria Math&quot;/&gt;&lt;w:i/&gt;&lt;w:color w:val=&quot;000000&quot;/&gt;&lt;w:sz w:val=&quot;24&quot;/&gt;&lt;/w:rPr&gt;&lt;m:t&gt;i&lt;/m:t&gt;&lt;/m:r&gt;&lt;/m:sub&gt;&lt;/m:sSub&gt;&lt;m:r&gt;&lt;m:rPr&gt;&lt;m:sty m:val=&quot;p&quot;/&gt;&lt;/m:rPr&gt;&lt;w:rPr&gt;&lt;w:rFonts w:ascii=&quot;Cambria Math&quot; w:h-ansi=&quot;Cambria Math&quot; w:hint=&quot;fareast&quot;/&gt;&lt;wx:font wx:val=&quot;Cambria Math&quot;/&gt;&lt;w:color w:val=&quot;000000&quot;/&gt;&lt;w:sz w:val=&quot;24&quot;/&gt;&lt;/w:rPr&gt;&lt;m:t&gt;=&lt;/m:t&gt;&lt;/m:r&gt;&lt;m:f&gt;&lt;m:fPr&gt;&lt;m:ctrlPr&gt;&lt;w:rPr&gt;&lt;w:rFonts w:ascii=&quot;Cambria Math&quot; w:h-ansi=&quot;Cambria Math&quot;/&gt;&lt;wx:font wx:val=&quot;Cambria Math&quot;/&gt;&lt;w:color w:val=&quot;000000&quot;/&gt;&lt;w:sz w:val=&quot;24&quot;/&gt;&lt;/w:rPr&gt;&lt;/m:ctrlPr&gt;&lt;/m:fPr&gt;&lt;m:num&gt;&lt;m:sSub&gt;&lt;m:sSubPr&gt;&lt;m:ctrlPr&gt;&lt;w:rPr&gt;&lt;w:rFonts w:ascii=&quot;Cambria Math&quot; w:h-ansi=&quot;Cambria Math&quot;/&gt;&lt;wx:font wx:val=&quot;Cambria Math&quot;/&gt;&lt;w:i/&gt;&lt;w:color w:val=&quot;000000&quot;/&gt;&lt;w:sz w:val=&quot;24&quot;/&gt;&lt;/w:rPr&gt;&lt;/m:ctrlPr&gt;&lt;/m:sSubPr&gt;&lt;m:e&gt;&lt;m:r&gt;&lt;w:rPr&gt;&lt;w:rFonts w:ascii=&quot;Cambria Math&quot; w:h-ansi=&quot;Cambria Math&quot;/&gt;&lt;wx:font wx:val=&quot;Cambria Math&quot;/&gt;&lt;w:i/&gt;&lt;w:color w:val=&quot;000000&quot;/&gt;&lt;w:sz w:val=&quot;24&quot;/&gt;&lt;/w:rPr&gt;&lt;m:t&gt;C&lt;/m:t&gt;&lt;/m:r&gt;&lt;/m:e&gt;&lt;m:sub&gt;&lt;m:r&gt;&lt;w:rPr&gt;&lt;w:rFonts w:ascii=&quot;Cambria Math&quot; w:h-ansi=&quot;Cambria Math&quot; w:hint=&quot;fareast&quot;/&gt;&lt;wx:font wx:val=&quot;Cambria Math&quot;/&gt;&lt;w:i/&gt;&lt;w:color w:val=&quot;000000&quot;/&gt;&lt;w:sz w:val=&quot;24&quot;/&gt;&lt;/w:rPr&gt;&lt;m:t&gt;i&lt;/m:t&gt;&lt;/m:r&gt;&lt;/m:sub&gt;&lt;/m:sSub&gt;&lt;/m:num&gt;&lt;m:den&gt;&lt;m:sSub&gt;&lt;m:sSubPr&gt;&lt;m:ctrlPr&gt;&lt;w:rPr&gt;&lt;w:rFonts w:ascii=&quot;Cambria Math&quot; w:h-ansi=&quot;Cambria Math&quot;/&gt;&lt;wx:font wx:val=&quot;Cambria Math&quot;/&gt;&lt;w:i/&gt;&lt;w:color w:val=&quot;000000&quot;/&gt;&lt;w:sz w:val=&quot;24&quot;/&gt;&lt;/w:rPr&gt;&lt;/m:ctrlPr&gt;&lt;/m:sSubPr&gt;&lt;m:e&gt;&lt;m:r&gt;&lt;w:rPr&gt;&lt;w:rFonts w:ascii=&quot;Cambria Math&quot; w:h-ansi=&quot;Cambria Math&quot;/&gt;&lt;wx:font wx:val=&quot;Cambria Math&quot;/&gt;&lt;w:i/&gt;&lt;w:color w:val=&quot;000000&quot;/&gt;&lt;w:sz w:val=&quot;24&quot;/&gt;&lt;/w:rPr&gt;&lt;m:t&gt;C&lt;/m:t&gt;&lt;/m:r&gt;&lt;/m:e&gt;&lt;m:sub&gt;&lt;m:r&gt;&lt;w:rPr&gt;&lt;w:rFonts w:ascii=&quot;Cambria Math&quot; w:h-ansi=&quot;Cambria Math&quot; w:hint=&quot;fareast&quot;/&gt;&lt;wx:font wx:val=&quot;Cambria Math&quot;/&gt;&lt;w:i/&gt;&lt;w:color w:val=&quot;000000&quot;/&gt;&lt;w:sz w:val=&quot;24&quot;/&gt;&lt;/w:rPr&gt;&lt;m:t&gt;oi&lt;/m:t&gt;&lt;/m:r&gt;&lt;/m:sub&gt;&lt;/m:sSub&gt;&lt;/m:den&gt;&lt;/m:f&gt;&lt;m:r&gt;&lt;w:rPr&gt;&lt;w:rFonts w:ascii=&quot;Cambria Math&quot; w:h-ansi=&quot;Cambria Math&quot;/&gt;&lt;wx:font wx:val=&quot;Cambria Math&quot;/&gt;&lt;w:i/&gt;&lt;w:color w:val=&quot;000000&quot;/&gt;&lt;w:sz w:val=&quot;24&quot;/&gt;&lt;/w:rPr&gt;&lt;m:t&gt;×&lt;/m:t&gt;&lt;/m:r&gt;&lt;m:r&gt;&lt;w:rPr&gt;&lt;w:rFonts w:ascii=&quot;Cambria Math&quot; w:h-ansi=&quot;Cambria Math&quot; w:hint=&quot;fareast&quot;/&gt;&lt;wx:font wx:val=&quot;Cambria Math&quot;/&gt;&lt;w:i/&gt;&lt;w:color w:val=&quot;000000&quot;/&gt;&lt;w:sz w:val=&quot;24&quot;/&gt;&lt;/w:rPr&gt;&lt;m:t&gt;100%&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0" chromakey="#FFFFFF" o:title=""/>
                  <o:lock v:ext="edit" aspectratio="t"/>
                  <w10:wrap type="none"/>
                  <w10:anchorlock/>
                </v:shape>
              </w:pict>
            </w:r>
            <w:r>
              <w:rPr>
                <w:rFonts w:hint="default" w:ascii="Times New Roman" w:hAnsi="Times New Roman" w:cs="Times New Roman"/>
                <w:color w:val="auto"/>
                <w:sz w:val="24"/>
                <w:highlight w:val="none"/>
              </w:rPr>
              <w:fldChar w:fldCharType="end"/>
            </w:r>
          </w:p>
          <w:p w14:paraId="03A2438A">
            <w:pPr>
              <w:keepLines w:val="0"/>
              <w:pageBreakBefore w:val="0"/>
              <w:widowControl w:val="0"/>
              <w:kinsoku/>
              <w:wordWrap/>
              <w:overflowPunct/>
              <w:topLinePunct w:val="0"/>
              <w:autoSpaceDE/>
              <w:autoSpaceDN/>
              <w:bidi w:val="0"/>
              <w:adjustRightInd w:val="0"/>
              <w:snapToGrid w:val="0"/>
              <w:spacing w:line="360" w:lineRule="auto"/>
              <w:ind w:firstLine="422" w:firstLineChars="176"/>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式中：I</w:t>
            </w:r>
            <w:r>
              <w:rPr>
                <w:rFonts w:hint="default" w:ascii="Times New Roman" w:hAnsi="Times New Roman" w:cs="Times New Roman"/>
                <w:color w:val="auto"/>
                <w:sz w:val="24"/>
                <w:highlight w:val="none"/>
                <w:vertAlign w:val="subscript"/>
              </w:rPr>
              <w:t>i</w:t>
            </w:r>
            <w:r>
              <w:rPr>
                <w:rFonts w:hint="default" w:ascii="Times New Roman" w:hAnsi="Times New Roman" w:cs="Times New Roman"/>
                <w:color w:val="auto"/>
                <w:sz w:val="24"/>
                <w:highlight w:val="none"/>
              </w:rPr>
              <w:t>-为i污染物的最大占标率，%；</w:t>
            </w:r>
          </w:p>
          <w:p w14:paraId="0E584F1F">
            <w:pPr>
              <w:keepLines w:val="0"/>
              <w:pageBreakBefore w:val="0"/>
              <w:widowControl w:val="0"/>
              <w:kinsoku/>
              <w:wordWrap/>
              <w:overflowPunct/>
              <w:topLinePunct w:val="0"/>
              <w:autoSpaceDE/>
              <w:autoSpaceDN/>
              <w:bidi w:val="0"/>
              <w:adjustRightInd w:val="0"/>
              <w:snapToGrid w:val="0"/>
              <w:spacing w:line="360" w:lineRule="auto"/>
              <w:ind w:firstLine="1142" w:firstLineChars="476"/>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C</w:t>
            </w:r>
            <w:r>
              <w:rPr>
                <w:rFonts w:hint="default" w:ascii="Times New Roman" w:hAnsi="Times New Roman" w:cs="Times New Roman"/>
                <w:color w:val="auto"/>
                <w:sz w:val="24"/>
                <w:highlight w:val="none"/>
                <w:vertAlign w:val="subscript"/>
              </w:rPr>
              <w:t>i</w:t>
            </w:r>
            <w:r>
              <w:rPr>
                <w:rFonts w:hint="default" w:ascii="Times New Roman" w:hAnsi="Times New Roman" w:cs="Times New Roman"/>
                <w:color w:val="auto"/>
                <w:sz w:val="24"/>
                <w:highlight w:val="none"/>
              </w:rPr>
              <w:t>-为i污染因子的最大实测浓度（mg/m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w:t>
            </w:r>
          </w:p>
          <w:p w14:paraId="65207A52">
            <w:pPr>
              <w:keepLines w:val="0"/>
              <w:pageBreakBefore w:val="0"/>
              <w:widowControl w:val="0"/>
              <w:kinsoku/>
              <w:wordWrap/>
              <w:overflowPunct/>
              <w:topLinePunct w:val="0"/>
              <w:autoSpaceDE/>
              <w:autoSpaceDN/>
              <w:bidi w:val="0"/>
              <w:adjustRightInd w:val="0"/>
              <w:snapToGrid w:val="0"/>
              <w:spacing w:line="360" w:lineRule="auto"/>
              <w:ind w:firstLine="1142" w:firstLineChars="476"/>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C</w:t>
            </w:r>
            <w:r>
              <w:rPr>
                <w:rFonts w:hint="default" w:ascii="Times New Roman" w:hAnsi="Times New Roman" w:cs="Times New Roman"/>
                <w:color w:val="auto"/>
                <w:sz w:val="24"/>
                <w:highlight w:val="none"/>
                <w:vertAlign w:val="subscript"/>
              </w:rPr>
              <w:t>Oi</w:t>
            </w:r>
            <w:r>
              <w:rPr>
                <w:rFonts w:hint="default" w:ascii="Times New Roman" w:hAnsi="Times New Roman" w:cs="Times New Roman"/>
                <w:color w:val="auto"/>
                <w:sz w:val="24"/>
                <w:highlight w:val="none"/>
              </w:rPr>
              <w:t>-为i污染物与监测浓度相适应的评价标准(mg/m</w:t>
            </w:r>
            <w:r>
              <w:rPr>
                <w:rFonts w:hint="default" w:ascii="Times New Roman" w:hAnsi="Times New Roman" w:cs="Times New Roman"/>
                <w:color w:val="auto"/>
                <w:sz w:val="24"/>
                <w:highlight w:val="none"/>
                <w:vertAlign w:val="superscript"/>
              </w:rPr>
              <w:t>3</w:t>
            </w:r>
            <w:r>
              <w:rPr>
                <w:rFonts w:hint="default" w:ascii="Times New Roman" w:hAnsi="Times New Roman" w:cs="Times New Roman"/>
                <w:color w:val="auto"/>
                <w:sz w:val="24"/>
                <w:highlight w:val="none"/>
              </w:rPr>
              <w:t>)。</w:t>
            </w:r>
          </w:p>
          <w:p w14:paraId="01DF5CDF">
            <w:pPr>
              <w:keepNext w:val="0"/>
              <w:keepLines w:val="0"/>
              <w:pageBreakBefore w:val="0"/>
              <w:widowControl w:val="0"/>
              <w:kinsoku/>
              <w:wordWrap/>
              <w:overflowPunct/>
              <w:topLinePunct w:val="0"/>
              <w:autoSpaceDE/>
              <w:autoSpaceDN/>
              <w:bidi w:val="0"/>
              <w:adjustRightInd/>
              <w:snapToGrid/>
              <w:spacing w:line="240" w:lineRule="auto"/>
              <w:ind w:firstLine="482" w:firstLineChars="200"/>
              <w:jc w:val="center"/>
              <w:textAlignment w:val="auto"/>
              <w:rPr>
                <w:rFonts w:hint="default" w:ascii="Times New Roman" w:hAnsi="Times New Roman" w:cs="Times New Roman"/>
                <w:color w:val="auto"/>
                <w:sz w:val="24"/>
                <w:highlight w:val="none"/>
              </w:rPr>
            </w:pPr>
            <w:r>
              <w:rPr>
                <w:rFonts w:hint="default" w:ascii="Times New Roman" w:hAnsi="Times New Roman" w:cs="Times New Roman"/>
                <w:b/>
                <w:color w:val="auto"/>
                <w:sz w:val="24"/>
                <w:szCs w:val="24"/>
                <w:highlight w:val="none"/>
              </w:rPr>
              <w:t>表3.1-</w:t>
            </w:r>
            <w:r>
              <w:rPr>
                <w:rFonts w:hint="eastAsia" w:cs="Times New Roman"/>
                <w:b/>
                <w:color w:val="auto"/>
                <w:sz w:val="24"/>
                <w:szCs w:val="24"/>
                <w:highlight w:val="none"/>
                <w:lang w:val="en-US" w:eastAsia="zh-CN"/>
              </w:rPr>
              <w:t>2</w:t>
            </w:r>
            <w:r>
              <w:rPr>
                <w:rFonts w:hint="default" w:ascii="Times New Roman" w:hAnsi="Times New Roman" w:cs="Times New Roman"/>
                <w:b/>
                <w:color w:val="auto"/>
                <w:sz w:val="24"/>
                <w:szCs w:val="24"/>
                <w:highlight w:val="none"/>
              </w:rPr>
              <w:t xml:space="preserve">  监测结果分析一览表</w:t>
            </w:r>
          </w:p>
          <w:tbl>
            <w:tblPr>
              <w:tblStyle w:val="3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1462"/>
              <w:gridCol w:w="1032"/>
              <w:gridCol w:w="1031"/>
              <w:gridCol w:w="1181"/>
              <w:gridCol w:w="1144"/>
              <w:gridCol w:w="900"/>
              <w:gridCol w:w="871"/>
            </w:tblGrid>
            <w:tr w14:paraId="742E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08" w:type="dxa"/>
                  <w:gridSpan w:val="4"/>
                  <w:noWrap w:val="0"/>
                  <w:vAlign w:val="center"/>
                </w:tcPr>
                <w:p w14:paraId="7879FE7D">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采样点及监测项目</w:t>
                  </w:r>
                </w:p>
              </w:tc>
              <w:tc>
                <w:tcPr>
                  <w:tcW w:w="1181" w:type="dxa"/>
                  <w:vMerge w:val="restart"/>
                  <w:noWrap w:val="0"/>
                  <w:vAlign w:val="center"/>
                </w:tcPr>
                <w:p w14:paraId="22CE50F9">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浓度范围（mg/m</w:t>
                  </w:r>
                  <w:r>
                    <w:rPr>
                      <w:rFonts w:hint="default" w:ascii="Times New Roman" w:hAnsi="Times New Roman" w:eastAsia="宋体" w:cs="Times New Roman"/>
                      <w:b/>
                      <w:bCs/>
                      <w:i w:val="0"/>
                      <w:iCs w:val="0"/>
                      <w:color w:val="auto"/>
                      <w:kern w:val="0"/>
                      <w:sz w:val="21"/>
                      <w:szCs w:val="21"/>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u w:val="none"/>
                      <w:lang w:val="en-US" w:eastAsia="zh-CN" w:bidi="ar"/>
                    </w:rPr>
                    <w:t>）</w:t>
                  </w:r>
                </w:p>
              </w:tc>
              <w:tc>
                <w:tcPr>
                  <w:tcW w:w="1144" w:type="dxa"/>
                  <w:vMerge w:val="restart"/>
                  <w:noWrap w:val="0"/>
                  <w:vAlign w:val="center"/>
                </w:tcPr>
                <w:p w14:paraId="2025E967">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标准限值（mg/m</w:t>
                  </w:r>
                  <w:r>
                    <w:rPr>
                      <w:rFonts w:hint="default" w:ascii="Times New Roman" w:hAnsi="Times New Roman" w:eastAsia="宋体" w:cs="Times New Roman"/>
                      <w:b/>
                      <w:bCs/>
                      <w:i w:val="0"/>
                      <w:iCs w:val="0"/>
                      <w:color w:val="auto"/>
                      <w:kern w:val="0"/>
                      <w:sz w:val="21"/>
                      <w:szCs w:val="21"/>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u w:val="none"/>
                      <w:lang w:val="en-US" w:eastAsia="zh-CN" w:bidi="ar"/>
                    </w:rPr>
                    <w:t>）</w:t>
                  </w:r>
                </w:p>
              </w:tc>
              <w:tc>
                <w:tcPr>
                  <w:tcW w:w="900" w:type="dxa"/>
                  <w:vMerge w:val="restart"/>
                  <w:noWrap w:val="0"/>
                  <w:vAlign w:val="center"/>
                </w:tcPr>
                <w:p w14:paraId="6AA77ACF">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超标率</w:t>
                  </w:r>
                </w:p>
                <w:p w14:paraId="214EF01B">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w:t>
                  </w:r>
                </w:p>
              </w:tc>
              <w:tc>
                <w:tcPr>
                  <w:tcW w:w="871" w:type="dxa"/>
                  <w:vMerge w:val="restart"/>
                  <w:noWrap w:val="0"/>
                  <w:vAlign w:val="center"/>
                </w:tcPr>
                <w:p w14:paraId="5E55E69F">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最大占标率</w:t>
                  </w:r>
                  <w:r>
                    <w:rPr>
                      <w:rFonts w:hint="eastAsia" w:ascii="Times New Roman" w:hAnsi="Times New Roman" w:eastAsia="宋体" w:cs="Times New Roman"/>
                      <w:b/>
                      <w:bCs/>
                      <w:i w:val="0"/>
                      <w:iCs w:val="0"/>
                      <w:color w:val="auto"/>
                      <w:kern w:val="0"/>
                      <w:sz w:val="21"/>
                      <w:szCs w:val="21"/>
                      <w:u w:val="none"/>
                      <w:lang w:val="en-US" w:eastAsia="zh-CN" w:bidi="ar"/>
                    </w:rPr>
                    <w:t>（</w:t>
                  </w:r>
                  <w:r>
                    <w:rPr>
                      <w:rFonts w:hint="default" w:ascii="Times New Roman" w:hAnsi="Times New Roman" w:eastAsia="宋体" w:cs="Times New Roman"/>
                      <w:b/>
                      <w:bCs/>
                      <w:i w:val="0"/>
                      <w:iCs w:val="0"/>
                      <w:color w:val="auto"/>
                      <w:kern w:val="0"/>
                      <w:sz w:val="21"/>
                      <w:szCs w:val="21"/>
                      <w:u w:val="none"/>
                      <w:lang w:val="en-US" w:eastAsia="zh-CN" w:bidi="ar"/>
                    </w:rPr>
                    <w:t>%</w:t>
                  </w:r>
                  <w:r>
                    <w:rPr>
                      <w:rFonts w:hint="eastAsia" w:ascii="Times New Roman" w:hAnsi="Times New Roman" w:eastAsia="宋体" w:cs="Times New Roman"/>
                      <w:b/>
                      <w:bCs/>
                      <w:i w:val="0"/>
                      <w:iCs w:val="0"/>
                      <w:color w:val="auto"/>
                      <w:kern w:val="0"/>
                      <w:sz w:val="21"/>
                      <w:szCs w:val="21"/>
                      <w:u w:val="none"/>
                      <w:lang w:val="en-US" w:eastAsia="zh-CN" w:bidi="ar"/>
                    </w:rPr>
                    <w:t>）</w:t>
                  </w:r>
                </w:p>
              </w:tc>
            </w:tr>
            <w:tr w14:paraId="309EE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3" w:type="dxa"/>
                  <w:noWrap w:val="0"/>
                  <w:vAlign w:val="center"/>
                </w:tcPr>
                <w:p w14:paraId="55541743">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采样点</w:t>
                  </w:r>
                </w:p>
              </w:tc>
              <w:tc>
                <w:tcPr>
                  <w:tcW w:w="1462" w:type="dxa"/>
                  <w:noWrap w:val="0"/>
                  <w:vAlign w:val="center"/>
                </w:tcPr>
                <w:p w14:paraId="51A91F69">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经纬度</w:t>
                  </w:r>
                </w:p>
              </w:tc>
              <w:tc>
                <w:tcPr>
                  <w:tcW w:w="1032" w:type="dxa"/>
                  <w:noWrap w:val="0"/>
                  <w:vAlign w:val="center"/>
                </w:tcPr>
                <w:p w14:paraId="192CDD03">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监测项目</w:t>
                  </w:r>
                </w:p>
              </w:tc>
              <w:tc>
                <w:tcPr>
                  <w:tcW w:w="1031" w:type="dxa"/>
                  <w:noWrap w:val="0"/>
                  <w:vAlign w:val="center"/>
                </w:tcPr>
                <w:p w14:paraId="49A82D8D">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评价指标</w:t>
                  </w:r>
                </w:p>
              </w:tc>
              <w:tc>
                <w:tcPr>
                  <w:tcW w:w="1181" w:type="dxa"/>
                  <w:vMerge w:val="continue"/>
                  <w:noWrap w:val="0"/>
                  <w:vAlign w:val="center"/>
                </w:tcPr>
                <w:p w14:paraId="47C36614">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p>
              </w:tc>
              <w:tc>
                <w:tcPr>
                  <w:tcW w:w="1144" w:type="dxa"/>
                  <w:vMerge w:val="continue"/>
                  <w:noWrap w:val="0"/>
                  <w:vAlign w:val="center"/>
                </w:tcPr>
                <w:p w14:paraId="115A905D">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p>
              </w:tc>
              <w:tc>
                <w:tcPr>
                  <w:tcW w:w="900" w:type="dxa"/>
                  <w:vMerge w:val="continue"/>
                  <w:noWrap w:val="0"/>
                  <w:vAlign w:val="center"/>
                </w:tcPr>
                <w:p w14:paraId="6392553D">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p>
              </w:tc>
              <w:tc>
                <w:tcPr>
                  <w:tcW w:w="871" w:type="dxa"/>
                  <w:vMerge w:val="continue"/>
                  <w:noWrap w:val="0"/>
                  <w:vAlign w:val="center"/>
                </w:tcPr>
                <w:p w14:paraId="4C4ED4E1">
                  <w:pPr>
                    <w:spacing w:line="240" w:lineRule="auto"/>
                    <w:jc w:val="center"/>
                    <w:rPr>
                      <w:rFonts w:hint="default" w:ascii="Times New Roman" w:hAnsi="Times New Roman" w:eastAsia="宋体" w:cs="Times New Roman"/>
                      <w:b/>
                      <w:bCs/>
                      <w:i w:val="0"/>
                      <w:iCs w:val="0"/>
                      <w:color w:val="auto"/>
                      <w:sz w:val="21"/>
                      <w:szCs w:val="21"/>
                      <w:u w:val="none"/>
                    </w:rPr>
                  </w:pPr>
                </w:p>
              </w:tc>
            </w:tr>
            <w:tr w14:paraId="688E7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883" w:type="dxa"/>
                  <w:noWrap w:val="0"/>
                  <w:vAlign w:val="center"/>
                </w:tcPr>
                <w:p w14:paraId="072C19F6">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3#乌木镇</w:t>
                  </w:r>
                </w:p>
              </w:tc>
              <w:tc>
                <w:tcPr>
                  <w:tcW w:w="1462" w:type="dxa"/>
                  <w:noWrap w:val="0"/>
                  <w:vAlign w:val="center"/>
                </w:tcPr>
                <w:p w14:paraId="695AC703">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经度：107.26291，纬度：30.73722</w:t>
                  </w:r>
                </w:p>
              </w:tc>
              <w:tc>
                <w:tcPr>
                  <w:tcW w:w="1032" w:type="dxa"/>
                  <w:noWrap w:val="0"/>
                  <w:vAlign w:val="center"/>
                </w:tcPr>
                <w:p w14:paraId="40D7EB5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非甲烷总烃</w:t>
                  </w:r>
                </w:p>
              </w:tc>
              <w:tc>
                <w:tcPr>
                  <w:tcW w:w="1031" w:type="dxa"/>
                  <w:noWrap w:val="0"/>
                  <w:vAlign w:val="center"/>
                </w:tcPr>
                <w:p w14:paraId="23CD501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小时值</w:t>
                  </w:r>
                </w:p>
              </w:tc>
              <w:tc>
                <w:tcPr>
                  <w:tcW w:w="1181" w:type="dxa"/>
                  <w:noWrap w:val="0"/>
                  <w:vAlign w:val="center"/>
                </w:tcPr>
                <w:p w14:paraId="6F64CBE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0.58~1.85</w:t>
                  </w:r>
                </w:p>
              </w:tc>
              <w:tc>
                <w:tcPr>
                  <w:tcW w:w="1144" w:type="dxa"/>
                  <w:noWrap w:val="0"/>
                  <w:vAlign w:val="center"/>
                </w:tcPr>
                <w:p w14:paraId="19ADB89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900" w:type="dxa"/>
                  <w:noWrap w:val="0"/>
                  <w:vAlign w:val="center"/>
                </w:tcPr>
                <w:p w14:paraId="46042CC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871" w:type="dxa"/>
                  <w:noWrap w:val="0"/>
                  <w:vAlign w:val="center"/>
                </w:tcPr>
                <w:p w14:paraId="6F54014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92.5</w:t>
                  </w:r>
                </w:p>
              </w:tc>
            </w:tr>
          </w:tbl>
          <w:p w14:paraId="7904D8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color w:val="auto"/>
                <w:sz w:val="24"/>
                <w:highlight w:val="none"/>
              </w:rPr>
            </w:pPr>
            <w:r>
              <w:rPr>
                <w:rFonts w:hint="default" w:ascii="Times New Roman" w:hAnsi="Times New Roman" w:cs="Times New Roman"/>
                <w:color w:val="auto"/>
                <w:sz w:val="24"/>
                <w:highlight w:val="none"/>
              </w:rPr>
              <w:t>由上表可知，监测期间，项目所在地环境空气质量中非甲烷总烃满足《环境空气质量 非甲烷总烃限值》（DB 13/1577-2012）中的要求。</w:t>
            </w:r>
          </w:p>
          <w:p w14:paraId="1232864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3.1.2地表水环境质量现状</w:t>
            </w:r>
          </w:p>
          <w:p w14:paraId="3946099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highlight w:val="none"/>
              </w:rPr>
            </w:pPr>
            <w:bookmarkStart w:id="11" w:name="_Toc20907"/>
            <w:r>
              <w:rPr>
                <w:rFonts w:hint="default" w:ascii="Times New Roman" w:hAnsi="Times New Roman" w:cs="Times New Roman"/>
                <w:color w:val="auto"/>
                <w:sz w:val="24"/>
                <w:highlight w:val="none"/>
              </w:rPr>
              <w:t>本项目位于大竹县</w:t>
            </w:r>
            <w:r>
              <w:rPr>
                <w:rFonts w:hint="default" w:ascii="Times New Roman" w:hAnsi="Times New Roman" w:cs="Times New Roman"/>
                <w:color w:val="auto"/>
                <w:sz w:val="24"/>
                <w:highlight w:val="none"/>
                <w:lang w:val="en-US" w:eastAsia="zh-CN"/>
              </w:rPr>
              <w:t>川渝合作示范园</w:t>
            </w:r>
            <w:r>
              <w:rPr>
                <w:rFonts w:hint="default" w:ascii="Times New Roman" w:hAnsi="Times New Roman" w:cs="Times New Roman"/>
                <w:color w:val="auto"/>
                <w:sz w:val="24"/>
                <w:highlight w:val="none"/>
              </w:rPr>
              <w:t>，废水最终受纳水体为东柳河。东柳河属于《地表水环境质量标准》（GB3838-2002）中Ⅲ类水域，执行《地表水环境质量标准》（GB3838-2002）中Ⅲ类水质标准。因此，本项目地表水质量现状评价引用达州市生态环境局在东柳河-墩子河设置的1个省控监测断面的监测数据。根据达州市生态环境局公布的202</w:t>
            </w:r>
            <w:r>
              <w:rPr>
                <w:rFonts w:hint="eastAsia" w:ascii="Times New Roman" w:hAnsi="Times New Roman" w:cs="Times New Roman"/>
                <w:color w:val="auto"/>
                <w:sz w:val="24"/>
                <w:highlight w:val="none"/>
                <w:lang w:val="en-US" w:eastAsia="zh-CN"/>
              </w:rPr>
              <w:t>3</w:t>
            </w:r>
            <w:r>
              <w:rPr>
                <w:rFonts w:hint="default" w:ascii="Times New Roman" w:hAnsi="Times New Roman" w:cs="Times New Roman"/>
                <w:color w:val="auto"/>
                <w:sz w:val="24"/>
                <w:highlight w:val="none"/>
              </w:rPr>
              <w:t>年6月</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2023年12月达州市地表水水质月报，结果如下：</w:t>
            </w:r>
          </w:p>
          <w:p w14:paraId="2E4982A7">
            <w:pPr>
              <w:spacing w:line="240" w:lineRule="auto"/>
              <w:jc w:val="center"/>
              <w:rPr>
                <w:rFonts w:hint="default" w:ascii="Times New Roman" w:hAnsi="Times New Roman" w:cs="Times New Roman"/>
                <w:b/>
                <w:color w:val="auto"/>
                <w:kern w:val="0"/>
                <w:sz w:val="24"/>
                <w:highlight w:val="none"/>
              </w:rPr>
            </w:pPr>
            <w:r>
              <w:rPr>
                <w:rFonts w:hint="default" w:ascii="Times New Roman" w:hAnsi="Times New Roman" w:cs="Times New Roman"/>
                <w:b/>
                <w:color w:val="auto"/>
                <w:kern w:val="0"/>
                <w:sz w:val="24"/>
                <w:highlight w:val="none"/>
              </w:rPr>
              <w:t>表3.1-</w:t>
            </w:r>
            <w:r>
              <w:rPr>
                <w:rFonts w:hint="eastAsia" w:cs="Times New Roman"/>
                <w:b/>
                <w:color w:val="auto"/>
                <w:kern w:val="0"/>
                <w:sz w:val="24"/>
                <w:highlight w:val="none"/>
                <w:lang w:val="en-US" w:eastAsia="zh-CN"/>
              </w:rPr>
              <w:t>3</w:t>
            </w:r>
            <w:r>
              <w:rPr>
                <w:rFonts w:hint="default" w:ascii="Times New Roman" w:hAnsi="Times New Roman" w:cs="Times New Roman"/>
                <w:b/>
                <w:color w:val="auto"/>
                <w:kern w:val="0"/>
                <w:sz w:val="24"/>
                <w:highlight w:val="none"/>
              </w:rPr>
              <w:t xml:space="preserve">  大竹县东柳河-墩子河监测断面水质评价结果</w:t>
            </w:r>
          </w:p>
          <w:tbl>
            <w:tblPr>
              <w:tblStyle w:val="35"/>
              <w:tblW w:w="83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1417"/>
              <w:gridCol w:w="709"/>
              <w:gridCol w:w="709"/>
              <w:gridCol w:w="1134"/>
              <w:gridCol w:w="992"/>
              <w:gridCol w:w="992"/>
              <w:gridCol w:w="992"/>
              <w:gridCol w:w="892"/>
            </w:tblGrid>
            <w:tr w14:paraId="764B1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 w:type="dxa"/>
                  <w:noWrap w:val="0"/>
                  <w:vAlign w:val="center"/>
                </w:tcPr>
                <w:p w14:paraId="2CA57E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序号</w:t>
                  </w:r>
                </w:p>
              </w:tc>
              <w:tc>
                <w:tcPr>
                  <w:tcW w:w="1417" w:type="dxa"/>
                  <w:noWrap w:val="0"/>
                  <w:vAlign w:val="center"/>
                </w:tcPr>
                <w:p w14:paraId="0BC3E4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时间</w:t>
                  </w:r>
                </w:p>
              </w:tc>
              <w:tc>
                <w:tcPr>
                  <w:tcW w:w="709" w:type="dxa"/>
                  <w:noWrap w:val="0"/>
                  <w:vAlign w:val="center"/>
                </w:tcPr>
                <w:p w14:paraId="3363AD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河流</w:t>
                  </w:r>
                </w:p>
              </w:tc>
              <w:tc>
                <w:tcPr>
                  <w:tcW w:w="709" w:type="dxa"/>
                  <w:noWrap w:val="0"/>
                  <w:vAlign w:val="center"/>
                </w:tcPr>
                <w:p w14:paraId="747352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断面名称</w:t>
                  </w:r>
                </w:p>
              </w:tc>
              <w:tc>
                <w:tcPr>
                  <w:tcW w:w="1134" w:type="dxa"/>
                  <w:noWrap w:val="0"/>
                  <w:vAlign w:val="center"/>
                </w:tcPr>
                <w:p w14:paraId="7A2087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交界情况</w:t>
                  </w:r>
                </w:p>
              </w:tc>
              <w:tc>
                <w:tcPr>
                  <w:tcW w:w="992" w:type="dxa"/>
                  <w:noWrap w:val="0"/>
                  <w:vAlign w:val="center"/>
                </w:tcPr>
                <w:p w14:paraId="749786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断面性质</w:t>
                  </w:r>
                </w:p>
              </w:tc>
              <w:tc>
                <w:tcPr>
                  <w:tcW w:w="992" w:type="dxa"/>
                  <w:noWrap w:val="0"/>
                  <w:vAlign w:val="center"/>
                </w:tcPr>
                <w:p w14:paraId="6AAFCF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上年同期</w:t>
                  </w:r>
                </w:p>
              </w:tc>
              <w:tc>
                <w:tcPr>
                  <w:tcW w:w="992" w:type="dxa"/>
                  <w:noWrap w:val="0"/>
                  <w:vAlign w:val="center"/>
                </w:tcPr>
                <w:p w14:paraId="68BE6D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上月类别</w:t>
                  </w:r>
                </w:p>
              </w:tc>
              <w:tc>
                <w:tcPr>
                  <w:tcW w:w="892" w:type="dxa"/>
                  <w:noWrap w:val="0"/>
                  <w:vAlign w:val="center"/>
                </w:tcPr>
                <w:p w14:paraId="6E71FB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color w:val="auto"/>
                      <w:kern w:val="0"/>
                      <w:sz w:val="21"/>
                      <w:szCs w:val="21"/>
                      <w:highlight w:val="none"/>
                    </w:rPr>
                  </w:pPr>
                  <w:r>
                    <w:rPr>
                      <w:rFonts w:hint="default" w:ascii="Times New Roman" w:hAnsi="Times New Roman" w:cs="Times New Roman"/>
                      <w:b/>
                      <w:color w:val="auto"/>
                      <w:kern w:val="0"/>
                      <w:sz w:val="21"/>
                      <w:szCs w:val="21"/>
                      <w:highlight w:val="none"/>
                    </w:rPr>
                    <w:t>本月类别</w:t>
                  </w:r>
                </w:p>
              </w:tc>
            </w:tr>
            <w:tr w14:paraId="1851E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8" w:type="dxa"/>
                  <w:noWrap w:val="0"/>
                  <w:vAlign w:val="center"/>
                </w:tcPr>
                <w:p w14:paraId="11929E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1</w:t>
                  </w:r>
                </w:p>
              </w:tc>
              <w:tc>
                <w:tcPr>
                  <w:tcW w:w="1417" w:type="dxa"/>
                  <w:noWrap w:val="0"/>
                  <w:vAlign w:val="center"/>
                </w:tcPr>
                <w:p w14:paraId="6409CA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2023年6月</w:t>
                  </w:r>
                </w:p>
              </w:tc>
              <w:tc>
                <w:tcPr>
                  <w:tcW w:w="709" w:type="dxa"/>
                  <w:vMerge w:val="restart"/>
                  <w:noWrap w:val="0"/>
                  <w:vAlign w:val="center"/>
                </w:tcPr>
                <w:p w14:paraId="13A66C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东柳河</w:t>
                  </w:r>
                </w:p>
              </w:tc>
              <w:tc>
                <w:tcPr>
                  <w:tcW w:w="709" w:type="dxa"/>
                  <w:vMerge w:val="restart"/>
                  <w:noWrap w:val="0"/>
                  <w:vAlign w:val="center"/>
                </w:tcPr>
                <w:p w14:paraId="0264EA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墩子河</w:t>
                  </w:r>
                </w:p>
              </w:tc>
              <w:tc>
                <w:tcPr>
                  <w:tcW w:w="1134" w:type="dxa"/>
                  <w:vMerge w:val="restart"/>
                  <w:noWrap w:val="0"/>
                  <w:vAlign w:val="center"/>
                </w:tcPr>
                <w:p w14:paraId="0A0AAF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县界（大竹县→渠县）</w:t>
                  </w:r>
                </w:p>
              </w:tc>
              <w:tc>
                <w:tcPr>
                  <w:tcW w:w="992" w:type="dxa"/>
                  <w:vMerge w:val="restart"/>
                  <w:noWrap w:val="0"/>
                  <w:vAlign w:val="center"/>
                </w:tcPr>
                <w:p w14:paraId="6D58235D">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省控考核评价</w:t>
                  </w:r>
                </w:p>
              </w:tc>
              <w:tc>
                <w:tcPr>
                  <w:tcW w:w="992" w:type="dxa"/>
                  <w:noWrap w:val="0"/>
                  <w:vAlign w:val="center"/>
                </w:tcPr>
                <w:p w14:paraId="0F508C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Ⅲ</w:t>
                  </w:r>
                </w:p>
              </w:tc>
              <w:tc>
                <w:tcPr>
                  <w:tcW w:w="992" w:type="dxa"/>
                  <w:noWrap w:val="0"/>
                  <w:vAlign w:val="center"/>
                </w:tcPr>
                <w:p w14:paraId="2572F9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Ⅲ</w:t>
                  </w:r>
                </w:p>
              </w:tc>
              <w:tc>
                <w:tcPr>
                  <w:tcW w:w="892" w:type="dxa"/>
                  <w:noWrap w:val="0"/>
                  <w:vAlign w:val="center"/>
                </w:tcPr>
                <w:p w14:paraId="185C72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Ⅲ</w:t>
                  </w:r>
                </w:p>
              </w:tc>
            </w:tr>
            <w:tr w14:paraId="3FF6E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8" w:type="dxa"/>
                  <w:noWrap w:val="0"/>
                  <w:vAlign w:val="center"/>
                </w:tcPr>
                <w:p w14:paraId="354965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w:t>
                  </w:r>
                </w:p>
              </w:tc>
              <w:tc>
                <w:tcPr>
                  <w:tcW w:w="1417" w:type="dxa"/>
                  <w:noWrap w:val="0"/>
                  <w:vAlign w:val="center"/>
                </w:tcPr>
                <w:p w14:paraId="1A23A2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2023年7月</w:t>
                  </w:r>
                </w:p>
              </w:tc>
              <w:tc>
                <w:tcPr>
                  <w:tcW w:w="709" w:type="dxa"/>
                  <w:vMerge w:val="continue"/>
                  <w:noWrap w:val="0"/>
                  <w:vAlign w:val="center"/>
                </w:tcPr>
                <w:p w14:paraId="72DB64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p>
              </w:tc>
              <w:tc>
                <w:tcPr>
                  <w:tcW w:w="709" w:type="dxa"/>
                  <w:vMerge w:val="continue"/>
                  <w:noWrap w:val="0"/>
                  <w:vAlign w:val="center"/>
                </w:tcPr>
                <w:p w14:paraId="745784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p>
              </w:tc>
              <w:tc>
                <w:tcPr>
                  <w:tcW w:w="1134" w:type="dxa"/>
                  <w:vMerge w:val="continue"/>
                  <w:noWrap w:val="0"/>
                  <w:vAlign w:val="center"/>
                </w:tcPr>
                <w:p w14:paraId="502FB4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p>
              </w:tc>
              <w:tc>
                <w:tcPr>
                  <w:tcW w:w="992" w:type="dxa"/>
                  <w:vMerge w:val="continue"/>
                  <w:noWrap w:val="0"/>
                  <w:vAlign w:val="center"/>
                </w:tcPr>
                <w:p w14:paraId="50E0E7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p>
              </w:tc>
              <w:tc>
                <w:tcPr>
                  <w:tcW w:w="992" w:type="dxa"/>
                  <w:noWrap w:val="0"/>
                  <w:vAlign w:val="center"/>
                </w:tcPr>
                <w:p w14:paraId="77D451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Ⅳ</w:t>
                  </w:r>
                </w:p>
              </w:tc>
              <w:tc>
                <w:tcPr>
                  <w:tcW w:w="992" w:type="dxa"/>
                  <w:noWrap w:val="0"/>
                  <w:vAlign w:val="center"/>
                </w:tcPr>
                <w:p w14:paraId="2A2A1F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Ⅲ</w:t>
                  </w:r>
                </w:p>
              </w:tc>
              <w:tc>
                <w:tcPr>
                  <w:tcW w:w="892" w:type="dxa"/>
                  <w:noWrap w:val="0"/>
                  <w:vAlign w:val="center"/>
                </w:tcPr>
                <w:p w14:paraId="32A686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Ⅲ</w:t>
                  </w:r>
                </w:p>
              </w:tc>
            </w:tr>
            <w:tr w14:paraId="78D15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 w:type="dxa"/>
                  <w:noWrap w:val="0"/>
                  <w:vAlign w:val="center"/>
                </w:tcPr>
                <w:p w14:paraId="4D066A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3</w:t>
                  </w:r>
                </w:p>
              </w:tc>
              <w:tc>
                <w:tcPr>
                  <w:tcW w:w="1417" w:type="dxa"/>
                  <w:noWrap w:val="0"/>
                  <w:vAlign w:val="center"/>
                </w:tcPr>
                <w:p w14:paraId="0AEE29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2023年8月</w:t>
                  </w:r>
                </w:p>
              </w:tc>
              <w:tc>
                <w:tcPr>
                  <w:tcW w:w="709" w:type="dxa"/>
                  <w:vMerge w:val="continue"/>
                  <w:noWrap w:val="0"/>
                  <w:vAlign w:val="center"/>
                </w:tcPr>
                <w:p w14:paraId="622EF1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p>
              </w:tc>
              <w:tc>
                <w:tcPr>
                  <w:tcW w:w="709" w:type="dxa"/>
                  <w:vMerge w:val="continue"/>
                  <w:noWrap w:val="0"/>
                  <w:vAlign w:val="center"/>
                </w:tcPr>
                <w:p w14:paraId="3234DC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p>
              </w:tc>
              <w:tc>
                <w:tcPr>
                  <w:tcW w:w="1134" w:type="dxa"/>
                  <w:vMerge w:val="continue"/>
                  <w:noWrap w:val="0"/>
                  <w:vAlign w:val="center"/>
                </w:tcPr>
                <w:p w14:paraId="5CCAB5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p>
              </w:tc>
              <w:tc>
                <w:tcPr>
                  <w:tcW w:w="992" w:type="dxa"/>
                  <w:vMerge w:val="continue"/>
                  <w:noWrap w:val="0"/>
                  <w:vAlign w:val="center"/>
                </w:tcPr>
                <w:p w14:paraId="65FC07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p>
              </w:tc>
              <w:tc>
                <w:tcPr>
                  <w:tcW w:w="992" w:type="dxa"/>
                  <w:noWrap w:val="0"/>
                  <w:vAlign w:val="center"/>
                </w:tcPr>
                <w:p w14:paraId="0ABC70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Ⅲ</w:t>
                  </w:r>
                </w:p>
              </w:tc>
              <w:tc>
                <w:tcPr>
                  <w:tcW w:w="992" w:type="dxa"/>
                  <w:noWrap w:val="0"/>
                  <w:vAlign w:val="center"/>
                </w:tcPr>
                <w:p w14:paraId="655089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Ⅲ</w:t>
                  </w:r>
                </w:p>
              </w:tc>
              <w:tc>
                <w:tcPr>
                  <w:tcW w:w="892" w:type="dxa"/>
                  <w:noWrap w:val="0"/>
                  <w:vAlign w:val="center"/>
                </w:tcPr>
                <w:p w14:paraId="2B84AC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Ⅲ</w:t>
                  </w:r>
                </w:p>
              </w:tc>
            </w:tr>
            <w:tr w14:paraId="6B9A2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 w:type="dxa"/>
                  <w:noWrap w:val="0"/>
                  <w:vAlign w:val="center"/>
                </w:tcPr>
                <w:p w14:paraId="792164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4</w:t>
                  </w:r>
                </w:p>
              </w:tc>
              <w:tc>
                <w:tcPr>
                  <w:tcW w:w="1417" w:type="dxa"/>
                  <w:noWrap w:val="0"/>
                  <w:vAlign w:val="center"/>
                </w:tcPr>
                <w:p w14:paraId="5FAFA9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2023年9月</w:t>
                  </w:r>
                </w:p>
              </w:tc>
              <w:tc>
                <w:tcPr>
                  <w:tcW w:w="709" w:type="dxa"/>
                  <w:vMerge w:val="continue"/>
                  <w:noWrap w:val="0"/>
                  <w:vAlign w:val="center"/>
                </w:tcPr>
                <w:p w14:paraId="3B3FE7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p>
              </w:tc>
              <w:tc>
                <w:tcPr>
                  <w:tcW w:w="709" w:type="dxa"/>
                  <w:vMerge w:val="continue"/>
                  <w:noWrap w:val="0"/>
                  <w:vAlign w:val="center"/>
                </w:tcPr>
                <w:p w14:paraId="35F4F4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p>
              </w:tc>
              <w:tc>
                <w:tcPr>
                  <w:tcW w:w="1134" w:type="dxa"/>
                  <w:vMerge w:val="continue"/>
                  <w:noWrap w:val="0"/>
                  <w:vAlign w:val="center"/>
                </w:tcPr>
                <w:p w14:paraId="76F563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p>
              </w:tc>
              <w:tc>
                <w:tcPr>
                  <w:tcW w:w="992" w:type="dxa"/>
                  <w:vMerge w:val="continue"/>
                  <w:noWrap w:val="0"/>
                  <w:vAlign w:val="center"/>
                </w:tcPr>
                <w:p w14:paraId="7F5388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p>
              </w:tc>
              <w:tc>
                <w:tcPr>
                  <w:tcW w:w="992" w:type="dxa"/>
                  <w:noWrap w:val="0"/>
                  <w:vAlign w:val="center"/>
                </w:tcPr>
                <w:p w14:paraId="3A4FF1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Ⅲ</w:t>
                  </w:r>
                </w:p>
              </w:tc>
              <w:tc>
                <w:tcPr>
                  <w:tcW w:w="992" w:type="dxa"/>
                  <w:noWrap w:val="0"/>
                  <w:vAlign w:val="center"/>
                </w:tcPr>
                <w:p w14:paraId="2D1EB3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Ⅲ</w:t>
                  </w:r>
                </w:p>
              </w:tc>
              <w:tc>
                <w:tcPr>
                  <w:tcW w:w="892" w:type="dxa"/>
                  <w:noWrap w:val="0"/>
                  <w:vAlign w:val="center"/>
                </w:tcPr>
                <w:p w14:paraId="0F6CE7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Ⅲ</w:t>
                  </w:r>
                </w:p>
              </w:tc>
            </w:tr>
            <w:tr w14:paraId="4169B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 w:type="dxa"/>
                  <w:noWrap w:val="0"/>
                  <w:vAlign w:val="center"/>
                </w:tcPr>
                <w:p w14:paraId="78345A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5</w:t>
                  </w:r>
                </w:p>
              </w:tc>
              <w:tc>
                <w:tcPr>
                  <w:tcW w:w="1417" w:type="dxa"/>
                  <w:noWrap w:val="0"/>
                  <w:vAlign w:val="center"/>
                </w:tcPr>
                <w:p w14:paraId="0EDAF9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2023年10月</w:t>
                  </w:r>
                </w:p>
              </w:tc>
              <w:tc>
                <w:tcPr>
                  <w:tcW w:w="709" w:type="dxa"/>
                  <w:vMerge w:val="continue"/>
                  <w:noWrap w:val="0"/>
                  <w:vAlign w:val="center"/>
                </w:tcPr>
                <w:p w14:paraId="4804C4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p>
              </w:tc>
              <w:tc>
                <w:tcPr>
                  <w:tcW w:w="709" w:type="dxa"/>
                  <w:vMerge w:val="continue"/>
                  <w:noWrap w:val="0"/>
                  <w:vAlign w:val="center"/>
                </w:tcPr>
                <w:p w14:paraId="2077AC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p>
              </w:tc>
              <w:tc>
                <w:tcPr>
                  <w:tcW w:w="1134" w:type="dxa"/>
                  <w:vMerge w:val="continue"/>
                  <w:noWrap w:val="0"/>
                  <w:vAlign w:val="center"/>
                </w:tcPr>
                <w:p w14:paraId="39CD25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p>
              </w:tc>
              <w:tc>
                <w:tcPr>
                  <w:tcW w:w="992" w:type="dxa"/>
                  <w:vMerge w:val="continue"/>
                  <w:noWrap w:val="0"/>
                  <w:vAlign w:val="center"/>
                </w:tcPr>
                <w:p w14:paraId="58E861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p>
              </w:tc>
              <w:tc>
                <w:tcPr>
                  <w:tcW w:w="992" w:type="dxa"/>
                  <w:noWrap w:val="0"/>
                  <w:vAlign w:val="center"/>
                </w:tcPr>
                <w:p w14:paraId="7F63F1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Ⅲ</w:t>
                  </w:r>
                </w:p>
              </w:tc>
              <w:tc>
                <w:tcPr>
                  <w:tcW w:w="992" w:type="dxa"/>
                  <w:noWrap w:val="0"/>
                  <w:vAlign w:val="center"/>
                </w:tcPr>
                <w:p w14:paraId="7216B9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Ⅲ</w:t>
                  </w:r>
                </w:p>
              </w:tc>
              <w:tc>
                <w:tcPr>
                  <w:tcW w:w="892" w:type="dxa"/>
                  <w:noWrap w:val="0"/>
                  <w:vAlign w:val="center"/>
                </w:tcPr>
                <w:p w14:paraId="6B19A4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Ⅲ</w:t>
                  </w:r>
                </w:p>
              </w:tc>
            </w:tr>
            <w:tr w14:paraId="3C610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 w:type="dxa"/>
                  <w:noWrap w:val="0"/>
                  <w:vAlign w:val="center"/>
                </w:tcPr>
                <w:p w14:paraId="1F1C82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6</w:t>
                  </w:r>
                </w:p>
              </w:tc>
              <w:tc>
                <w:tcPr>
                  <w:tcW w:w="1417" w:type="dxa"/>
                  <w:noWrap w:val="0"/>
                  <w:vAlign w:val="center"/>
                </w:tcPr>
                <w:p w14:paraId="129EF6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2023年11月</w:t>
                  </w:r>
                </w:p>
              </w:tc>
              <w:tc>
                <w:tcPr>
                  <w:tcW w:w="709" w:type="dxa"/>
                  <w:vMerge w:val="continue"/>
                  <w:noWrap w:val="0"/>
                  <w:vAlign w:val="center"/>
                </w:tcPr>
                <w:p w14:paraId="4E38C5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p>
              </w:tc>
              <w:tc>
                <w:tcPr>
                  <w:tcW w:w="709" w:type="dxa"/>
                  <w:vMerge w:val="continue"/>
                  <w:noWrap w:val="0"/>
                  <w:vAlign w:val="center"/>
                </w:tcPr>
                <w:p w14:paraId="33CFBC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p>
              </w:tc>
              <w:tc>
                <w:tcPr>
                  <w:tcW w:w="1134" w:type="dxa"/>
                  <w:vMerge w:val="continue"/>
                  <w:noWrap w:val="0"/>
                  <w:vAlign w:val="center"/>
                </w:tcPr>
                <w:p w14:paraId="5DBAF9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p>
              </w:tc>
              <w:tc>
                <w:tcPr>
                  <w:tcW w:w="992" w:type="dxa"/>
                  <w:vMerge w:val="continue"/>
                  <w:noWrap w:val="0"/>
                  <w:vAlign w:val="center"/>
                </w:tcPr>
                <w:p w14:paraId="2C4390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p>
              </w:tc>
              <w:tc>
                <w:tcPr>
                  <w:tcW w:w="992" w:type="dxa"/>
                  <w:noWrap w:val="0"/>
                  <w:vAlign w:val="center"/>
                </w:tcPr>
                <w:p w14:paraId="4A8571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Ⅲ</w:t>
                  </w:r>
                </w:p>
              </w:tc>
              <w:tc>
                <w:tcPr>
                  <w:tcW w:w="992" w:type="dxa"/>
                  <w:noWrap w:val="0"/>
                  <w:vAlign w:val="center"/>
                </w:tcPr>
                <w:p w14:paraId="1ECA48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Ⅲ</w:t>
                  </w:r>
                </w:p>
              </w:tc>
              <w:tc>
                <w:tcPr>
                  <w:tcW w:w="892" w:type="dxa"/>
                  <w:noWrap w:val="0"/>
                  <w:vAlign w:val="center"/>
                </w:tcPr>
                <w:p w14:paraId="7BD52A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Ⅲ</w:t>
                  </w:r>
                </w:p>
              </w:tc>
            </w:tr>
            <w:tr w14:paraId="6C6F4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8" w:type="dxa"/>
                  <w:noWrap w:val="0"/>
                  <w:vAlign w:val="center"/>
                </w:tcPr>
                <w:p w14:paraId="6663AF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7</w:t>
                  </w:r>
                </w:p>
              </w:tc>
              <w:tc>
                <w:tcPr>
                  <w:tcW w:w="1417" w:type="dxa"/>
                  <w:noWrap w:val="0"/>
                  <w:vAlign w:val="center"/>
                </w:tcPr>
                <w:p w14:paraId="2CEABF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2023年12月</w:t>
                  </w:r>
                </w:p>
              </w:tc>
              <w:tc>
                <w:tcPr>
                  <w:tcW w:w="709" w:type="dxa"/>
                  <w:vMerge w:val="continue"/>
                  <w:noWrap w:val="0"/>
                  <w:vAlign w:val="center"/>
                </w:tcPr>
                <w:p w14:paraId="609069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p>
              </w:tc>
              <w:tc>
                <w:tcPr>
                  <w:tcW w:w="709" w:type="dxa"/>
                  <w:vMerge w:val="continue"/>
                  <w:noWrap w:val="0"/>
                  <w:vAlign w:val="center"/>
                </w:tcPr>
                <w:p w14:paraId="529181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p>
              </w:tc>
              <w:tc>
                <w:tcPr>
                  <w:tcW w:w="1134" w:type="dxa"/>
                  <w:vMerge w:val="continue"/>
                  <w:noWrap w:val="0"/>
                  <w:vAlign w:val="center"/>
                </w:tcPr>
                <w:p w14:paraId="0CADEA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p>
              </w:tc>
              <w:tc>
                <w:tcPr>
                  <w:tcW w:w="992" w:type="dxa"/>
                  <w:vMerge w:val="continue"/>
                  <w:noWrap w:val="0"/>
                  <w:vAlign w:val="center"/>
                </w:tcPr>
                <w:p w14:paraId="2E394E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p>
              </w:tc>
              <w:tc>
                <w:tcPr>
                  <w:tcW w:w="992" w:type="dxa"/>
                  <w:noWrap w:val="0"/>
                  <w:vAlign w:val="center"/>
                </w:tcPr>
                <w:p w14:paraId="455BE9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Ⅲ</w:t>
                  </w:r>
                </w:p>
              </w:tc>
              <w:tc>
                <w:tcPr>
                  <w:tcW w:w="992" w:type="dxa"/>
                  <w:noWrap w:val="0"/>
                  <w:vAlign w:val="center"/>
                </w:tcPr>
                <w:p w14:paraId="137072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Ⅲ</w:t>
                  </w:r>
                </w:p>
              </w:tc>
              <w:tc>
                <w:tcPr>
                  <w:tcW w:w="892" w:type="dxa"/>
                  <w:noWrap w:val="0"/>
                  <w:vAlign w:val="center"/>
                </w:tcPr>
                <w:p w14:paraId="5173DD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0"/>
                      <w:sz w:val="21"/>
                      <w:szCs w:val="21"/>
                      <w:highlight w:val="none"/>
                    </w:rPr>
                  </w:pPr>
                  <w:r>
                    <w:rPr>
                      <w:rFonts w:hint="default" w:ascii="Times New Roman" w:hAnsi="Times New Roman" w:cs="Times New Roman"/>
                      <w:color w:val="auto"/>
                      <w:kern w:val="0"/>
                      <w:sz w:val="21"/>
                      <w:szCs w:val="21"/>
                      <w:highlight w:val="none"/>
                    </w:rPr>
                    <w:t>Ⅲ</w:t>
                  </w:r>
                </w:p>
              </w:tc>
            </w:tr>
          </w:tbl>
          <w:p w14:paraId="1455B5CF">
            <w:pPr>
              <w:pStyle w:val="14"/>
              <w:keepNext w:val="0"/>
              <w:keepLines w:val="0"/>
              <w:pageBreakBefore w:val="0"/>
              <w:widowControl w:val="0"/>
              <w:kinsoku/>
              <w:wordWrap/>
              <w:overflowPunct/>
              <w:topLinePunct w:val="0"/>
              <w:autoSpaceDE/>
              <w:autoSpaceDN/>
              <w:bidi w:val="0"/>
              <w:spacing w:before="0" w:after="0" w:line="360" w:lineRule="auto"/>
              <w:ind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kern w:val="0"/>
                <w:sz w:val="24"/>
                <w:highlight w:val="none"/>
              </w:rPr>
              <w:t>上表例行监测数据表明：项目区域地表水东柳河的墩子河监测断面近几个月水质满足《地表水环境质量标准》（GB3838-2002）Ⅲ类水质标准。</w:t>
            </w:r>
          </w:p>
          <w:bookmarkEnd w:id="11"/>
          <w:p w14:paraId="7BFB02CA">
            <w:pPr>
              <w:pStyle w:val="194"/>
              <w:keepNext w:val="0"/>
              <w:keepLines w:val="0"/>
              <w:pageBreakBefore w:val="0"/>
              <w:kinsoku/>
              <w:wordWrap/>
              <w:overflowPunct/>
              <w:topLinePunct w:val="0"/>
              <w:autoSpaceDE/>
              <w:autoSpaceDN/>
              <w:bidi w:val="0"/>
              <w:spacing w:line="360" w:lineRule="auto"/>
              <w:ind w:firstLine="0" w:firstLineChars="0"/>
              <w:jc w:val="both"/>
              <w:textAlignment w:val="auto"/>
              <w:rPr>
                <w:rFonts w:hint="default" w:ascii="Times New Roman" w:hAnsi="Times New Roman" w:cs="Times New Roman"/>
                <w:b/>
                <w:bCs/>
                <w:color w:val="auto"/>
              </w:rPr>
            </w:pPr>
            <w:r>
              <w:rPr>
                <w:rFonts w:hint="default" w:ascii="Times New Roman" w:hAnsi="Times New Roman" w:cs="Times New Roman"/>
                <w:b/>
                <w:bCs/>
                <w:color w:val="auto"/>
              </w:rPr>
              <w:t>3.1.3 声环境质量现状</w:t>
            </w:r>
          </w:p>
          <w:p w14:paraId="71D25BE0">
            <w:pPr>
              <w:keepNext w:val="0"/>
              <w:keepLines w:val="0"/>
              <w:pageBreakBefore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kern w:val="0"/>
                <w:sz w:val="24"/>
              </w:rPr>
              <w:t>根据《建设项目环境影响报告表编制技术指南（污染影响类）（试行）》，声环境质量现状应监测项目厂界外周边50m范围内的声环境保护目标。根据现场踏勘，本项目周边50m范围内无声环境保护目标。因此，本次评价不进行声环境质量</w:t>
            </w:r>
            <w:r>
              <w:rPr>
                <w:rFonts w:hint="default" w:ascii="Times New Roman" w:hAnsi="Times New Roman" w:cs="Times New Roman"/>
                <w:color w:val="auto"/>
                <w:sz w:val="24"/>
                <w:szCs w:val="24"/>
              </w:rPr>
              <w:t>现状监测</w:t>
            </w:r>
            <w:r>
              <w:rPr>
                <w:rFonts w:hint="default" w:ascii="Times New Roman" w:hAnsi="Times New Roman" w:cs="Times New Roman"/>
                <w:color w:val="auto"/>
              </w:rPr>
              <w:t>。</w:t>
            </w:r>
          </w:p>
          <w:p w14:paraId="16D82EB8">
            <w:pPr>
              <w:pStyle w:val="194"/>
              <w:keepNext w:val="0"/>
              <w:keepLines w:val="0"/>
              <w:pageBreakBefore w:val="0"/>
              <w:kinsoku/>
              <w:wordWrap/>
              <w:overflowPunct/>
              <w:topLinePunct w:val="0"/>
              <w:autoSpaceDE/>
              <w:autoSpaceDN/>
              <w:bidi w:val="0"/>
              <w:spacing w:line="360" w:lineRule="auto"/>
              <w:ind w:firstLine="0" w:firstLineChars="0"/>
              <w:jc w:val="both"/>
              <w:textAlignment w:val="auto"/>
              <w:rPr>
                <w:rFonts w:hint="default" w:ascii="Times New Roman" w:hAnsi="Times New Roman" w:cs="Times New Roman"/>
                <w:b/>
                <w:bCs/>
                <w:color w:val="auto"/>
              </w:rPr>
            </w:pPr>
            <w:r>
              <w:rPr>
                <w:rFonts w:hint="default" w:ascii="Times New Roman" w:hAnsi="Times New Roman" w:cs="Times New Roman"/>
                <w:b/>
                <w:bCs/>
                <w:color w:val="auto"/>
              </w:rPr>
              <w:t>3.1.4 生态环境质量现状</w:t>
            </w:r>
          </w:p>
          <w:p w14:paraId="377B034E">
            <w:pPr>
              <w:pStyle w:val="53"/>
              <w:keepNext w:val="0"/>
              <w:keepLines w:val="0"/>
              <w:pageBreakBefore w:val="0"/>
              <w:kinsoku/>
              <w:wordWrap/>
              <w:overflowPunct/>
              <w:topLinePunct w:val="0"/>
              <w:autoSpaceDE/>
              <w:autoSpaceDN/>
              <w:bidi w:val="0"/>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本项目位于大竹县</w:t>
            </w:r>
            <w:r>
              <w:rPr>
                <w:rFonts w:hint="default" w:ascii="Times New Roman" w:hAnsi="Times New Roman" w:cs="Times New Roman"/>
                <w:color w:val="auto"/>
                <w:lang w:val="en-US" w:eastAsia="zh-CN"/>
              </w:rPr>
              <w:t>川渝合作示范园</w:t>
            </w:r>
            <w:r>
              <w:rPr>
                <w:rFonts w:hint="default" w:ascii="Times New Roman" w:hAnsi="Times New Roman" w:cs="Times New Roman"/>
                <w:color w:val="auto"/>
              </w:rPr>
              <w:t>，厂址所在地块属于工业用地，不开展生态现状调查。</w:t>
            </w:r>
          </w:p>
          <w:p w14:paraId="0B603133">
            <w:pPr>
              <w:pStyle w:val="194"/>
              <w:keepNext w:val="0"/>
              <w:keepLines w:val="0"/>
              <w:pageBreakBefore w:val="0"/>
              <w:kinsoku/>
              <w:wordWrap/>
              <w:overflowPunct/>
              <w:topLinePunct w:val="0"/>
              <w:autoSpaceDE/>
              <w:autoSpaceDN/>
              <w:bidi w:val="0"/>
              <w:spacing w:line="360" w:lineRule="auto"/>
              <w:ind w:firstLine="0" w:firstLineChars="0"/>
              <w:jc w:val="both"/>
              <w:textAlignment w:val="auto"/>
              <w:rPr>
                <w:rFonts w:hint="default" w:ascii="Times New Roman" w:hAnsi="Times New Roman" w:cs="Times New Roman"/>
                <w:b/>
                <w:bCs/>
                <w:color w:val="auto"/>
              </w:rPr>
            </w:pPr>
            <w:r>
              <w:rPr>
                <w:rFonts w:hint="default" w:ascii="Times New Roman" w:hAnsi="Times New Roman" w:cs="Times New Roman"/>
                <w:b/>
                <w:bCs/>
                <w:color w:val="auto"/>
              </w:rPr>
              <w:t>3.1.5 地下水、土壤环境质量现状</w:t>
            </w:r>
          </w:p>
          <w:p w14:paraId="72446B34">
            <w:pPr>
              <w:pStyle w:val="53"/>
              <w:keepNext w:val="0"/>
              <w:keepLines w:val="0"/>
              <w:pageBreakBefore w:val="0"/>
              <w:kinsoku/>
              <w:wordWrap/>
              <w:overflowPunct/>
              <w:topLinePunct w:val="0"/>
              <w:autoSpaceDE/>
              <w:autoSpaceDN/>
              <w:bidi w:val="0"/>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kern w:val="0"/>
              </w:rPr>
              <w:t>本项目在做好防渗措施的情况下不存在地下水和土壤污染途径，根据《建设项目环境影响报告表编制技术指南》（污染影响类）（试行），原则上不开展地下水和土壤环境质量现状调查。</w:t>
            </w:r>
          </w:p>
        </w:tc>
      </w:tr>
      <w:tr w14:paraId="5B0D1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9" w:type="dxa"/>
            <w:noWrap w:val="0"/>
            <w:vAlign w:val="center"/>
          </w:tcPr>
          <w:p w14:paraId="53E56C62">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环境</w:t>
            </w:r>
          </w:p>
          <w:p w14:paraId="18E62D8F">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保护</w:t>
            </w:r>
          </w:p>
          <w:p w14:paraId="546AAD4D">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目标</w:t>
            </w:r>
          </w:p>
        </w:tc>
        <w:tc>
          <w:tcPr>
            <w:tcW w:w="8795" w:type="dxa"/>
            <w:noWrap w:val="0"/>
            <w:vAlign w:val="center"/>
          </w:tcPr>
          <w:p w14:paraId="2D0DF5A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color w:val="auto"/>
                <w:kern w:val="0"/>
                <w:sz w:val="24"/>
                <w:highlight w:val="none"/>
              </w:rPr>
            </w:pPr>
            <w:r>
              <w:rPr>
                <w:rFonts w:hint="default" w:ascii="Times New Roman" w:hAnsi="Times New Roman" w:cs="Times New Roman"/>
                <w:b/>
                <w:color w:val="auto"/>
                <w:kern w:val="0"/>
                <w:sz w:val="24"/>
                <w:highlight w:val="none"/>
              </w:rPr>
              <w:t>3.2环境保护目标</w:t>
            </w:r>
          </w:p>
          <w:p w14:paraId="079196E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FF"/>
                <w:kern w:val="0"/>
                <w:sz w:val="24"/>
                <w:highlight w:val="none"/>
              </w:rPr>
            </w:pPr>
            <w:r>
              <w:rPr>
                <w:rFonts w:hint="eastAsia" w:cs="Times New Roman"/>
                <w:color w:val="0000FF"/>
                <w:sz w:val="24"/>
                <w:highlight w:val="none"/>
                <w:lang w:val="en-US" w:eastAsia="zh-CN"/>
              </w:rPr>
              <w:t>本项目</w:t>
            </w:r>
            <w:r>
              <w:rPr>
                <w:rFonts w:hint="default" w:ascii="Times New Roman" w:hAnsi="Times New Roman" w:cs="Times New Roman"/>
                <w:color w:val="0000FF"/>
                <w:sz w:val="24"/>
                <w:highlight w:val="none"/>
                <w:lang w:val="en-US" w:eastAsia="zh-CN"/>
              </w:rPr>
              <w:t>位于四川省达州市大竹县经开区川渝合作（达州•大竹）示范园区A区三期标准化厂房1、2号楼</w:t>
            </w:r>
            <w:r>
              <w:rPr>
                <w:rFonts w:hint="eastAsia" w:cs="Times New Roman"/>
                <w:color w:val="0000FF"/>
                <w:sz w:val="24"/>
                <w:highlight w:val="none"/>
                <w:lang w:val="en-US" w:eastAsia="zh-CN"/>
              </w:rPr>
              <w:t>。</w:t>
            </w:r>
            <w:r>
              <w:rPr>
                <w:rFonts w:hint="default" w:ascii="Times New Roman" w:hAnsi="Times New Roman" w:cs="Times New Roman"/>
                <w:color w:val="0000FF"/>
                <w:kern w:val="0"/>
                <w:sz w:val="24"/>
                <w:highlight w:val="none"/>
              </w:rPr>
              <w:t>经现场调查，项目厂界外500m范围内无自然保护区、风景名胜区、文化区和人口较集中的区域等保护目标，周边主要为</w:t>
            </w:r>
            <w:r>
              <w:rPr>
                <w:rFonts w:hint="default" w:ascii="Times New Roman" w:hAnsi="Times New Roman" w:cs="Times New Roman"/>
                <w:color w:val="0000FF"/>
                <w:kern w:val="0"/>
                <w:sz w:val="24"/>
                <w:highlight w:val="none"/>
                <w:lang w:val="en-US" w:eastAsia="zh-CN"/>
              </w:rPr>
              <w:t>工业用地</w:t>
            </w:r>
            <w:r>
              <w:rPr>
                <w:rFonts w:hint="eastAsia" w:cs="Times New Roman"/>
                <w:color w:val="0000FF"/>
                <w:kern w:val="0"/>
                <w:sz w:val="24"/>
                <w:highlight w:val="none"/>
                <w:lang w:val="en-US" w:eastAsia="zh-CN"/>
              </w:rPr>
              <w:t>，南方分布有少量零散住户</w:t>
            </w:r>
            <w:r>
              <w:rPr>
                <w:rFonts w:hint="default" w:ascii="Times New Roman" w:hAnsi="Times New Roman" w:cs="Times New Roman"/>
                <w:color w:val="0000FF"/>
                <w:kern w:val="0"/>
                <w:sz w:val="24"/>
                <w:highlight w:val="none"/>
              </w:rPr>
              <w:t>。</w:t>
            </w:r>
            <w:r>
              <w:rPr>
                <w:rFonts w:hint="default" w:ascii="Times New Roman" w:hAnsi="Times New Roman" w:cs="Times New Roman"/>
                <w:bCs/>
                <w:color w:val="0000FF"/>
                <w:sz w:val="24"/>
                <w:highlight w:val="none"/>
              </w:rPr>
              <w:t>项目</w:t>
            </w:r>
            <w:r>
              <w:rPr>
                <w:rFonts w:hint="eastAsia" w:cs="Times New Roman"/>
                <w:bCs/>
                <w:color w:val="0000FF"/>
                <w:sz w:val="24"/>
                <w:highlight w:val="none"/>
                <w:lang w:val="en-US" w:eastAsia="zh-CN"/>
              </w:rPr>
              <w:t>外环境</w:t>
            </w:r>
            <w:r>
              <w:rPr>
                <w:rFonts w:hint="default" w:ascii="Times New Roman" w:hAnsi="Times New Roman" w:cs="Times New Roman"/>
                <w:bCs/>
                <w:color w:val="0000FF"/>
                <w:sz w:val="24"/>
                <w:highlight w:val="none"/>
              </w:rPr>
              <w:t>关系表见表3.2-1，</w:t>
            </w:r>
            <w:r>
              <w:rPr>
                <w:rFonts w:hint="default" w:ascii="Times New Roman" w:hAnsi="Times New Roman" w:cs="Times New Roman"/>
                <w:color w:val="0000FF"/>
                <w:kern w:val="0"/>
                <w:sz w:val="24"/>
                <w:highlight w:val="none"/>
              </w:rPr>
              <w:t>环境保护目标见表3.2-2。</w:t>
            </w:r>
          </w:p>
          <w:p w14:paraId="635793D9">
            <w:pPr>
              <w:spacing w:line="240" w:lineRule="auto"/>
              <w:jc w:val="center"/>
              <w:rPr>
                <w:rFonts w:hint="default" w:ascii="Times New Roman" w:hAnsi="Times New Roman" w:cs="Times New Roman"/>
                <w:b/>
                <w:color w:val="auto"/>
                <w:kern w:val="0"/>
                <w:sz w:val="24"/>
                <w:highlight w:val="none"/>
              </w:rPr>
            </w:pPr>
            <w:r>
              <w:rPr>
                <w:rFonts w:hint="default" w:ascii="Times New Roman" w:hAnsi="Times New Roman" w:cs="Times New Roman"/>
                <w:b/>
                <w:color w:val="auto"/>
                <w:kern w:val="0"/>
                <w:sz w:val="24"/>
                <w:highlight w:val="none"/>
              </w:rPr>
              <w:t>表3.2-1   项目</w:t>
            </w:r>
            <w:r>
              <w:rPr>
                <w:rFonts w:hint="eastAsia" w:cs="Times New Roman"/>
                <w:b/>
                <w:color w:val="auto"/>
                <w:kern w:val="0"/>
                <w:sz w:val="24"/>
                <w:highlight w:val="none"/>
                <w:lang w:val="en-US" w:eastAsia="zh-CN"/>
              </w:rPr>
              <w:t>外环境</w:t>
            </w:r>
            <w:r>
              <w:rPr>
                <w:rFonts w:hint="default" w:ascii="Times New Roman" w:hAnsi="Times New Roman" w:cs="Times New Roman"/>
                <w:b/>
                <w:color w:val="auto"/>
                <w:kern w:val="0"/>
                <w:sz w:val="24"/>
                <w:highlight w:val="none"/>
              </w:rPr>
              <w:t>关系表</w:t>
            </w:r>
          </w:p>
          <w:tbl>
            <w:tblPr>
              <w:tblStyle w:val="3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3150"/>
              <w:gridCol w:w="1233"/>
              <w:gridCol w:w="1250"/>
              <w:gridCol w:w="667"/>
              <w:gridCol w:w="1142"/>
            </w:tblGrid>
            <w:tr w14:paraId="53586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062" w:type="dxa"/>
                  <w:noWrap w:val="0"/>
                  <w:vAlign w:val="center"/>
                </w:tcPr>
                <w:p w14:paraId="3B530B4C">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序号</w:t>
                  </w:r>
                </w:p>
              </w:tc>
              <w:tc>
                <w:tcPr>
                  <w:tcW w:w="3150" w:type="dxa"/>
                  <w:noWrap w:val="0"/>
                  <w:vAlign w:val="center"/>
                </w:tcPr>
                <w:p w14:paraId="28A1AC68">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名称</w:t>
                  </w:r>
                </w:p>
              </w:tc>
              <w:tc>
                <w:tcPr>
                  <w:tcW w:w="1233" w:type="dxa"/>
                  <w:noWrap w:val="0"/>
                  <w:vAlign w:val="center"/>
                </w:tcPr>
                <w:p w14:paraId="75833D3A">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方位</w:t>
                  </w:r>
                </w:p>
              </w:tc>
              <w:tc>
                <w:tcPr>
                  <w:tcW w:w="1250" w:type="dxa"/>
                  <w:noWrap w:val="0"/>
                  <w:vAlign w:val="center"/>
                </w:tcPr>
                <w:p w14:paraId="42447FA8">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与项目距离（m）</w:t>
                  </w:r>
                </w:p>
              </w:tc>
              <w:tc>
                <w:tcPr>
                  <w:tcW w:w="667" w:type="dxa"/>
                  <w:noWrap w:val="0"/>
                  <w:vAlign w:val="center"/>
                </w:tcPr>
                <w:p w14:paraId="0359782F">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性质</w:t>
                  </w:r>
                </w:p>
              </w:tc>
              <w:tc>
                <w:tcPr>
                  <w:tcW w:w="1142" w:type="dxa"/>
                  <w:noWrap w:val="0"/>
                  <w:vAlign w:val="center"/>
                </w:tcPr>
                <w:p w14:paraId="606C92E9">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备注</w:t>
                  </w:r>
                </w:p>
              </w:tc>
            </w:tr>
            <w:tr w14:paraId="25A77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2" w:type="dxa"/>
                  <w:noWrap w:val="0"/>
                  <w:vAlign w:val="center"/>
                </w:tcPr>
                <w:p w14:paraId="286F294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3150" w:type="dxa"/>
                  <w:noWrap w:val="0"/>
                  <w:vAlign w:val="center"/>
                </w:tcPr>
                <w:p w14:paraId="465BCE7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四川安浦联电子有限公司</w:t>
                  </w:r>
                </w:p>
              </w:tc>
              <w:tc>
                <w:tcPr>
                  <w:tcW w:w="1233" w:type="dxa"/>
                  <w:noWrap w:val="0"/>
                  <w:vAlign w:val="center"/>
                </w:tcPr>
                <w:p w14:paraId="6A1B119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东侧</w:t>
                  </w:r>
                </w:p>
              </w:tc>
              <w:tc>
                <w:tcPr>
                  <w:tcW w:w="1250" w:type="dxa"/>
                  <w:noWrap w:val="0"/>
                  <w:vAlign w:val="center"/>
                </w:tcPr>
                <w:p w14:paraId="577FC55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667" w:type="dxa"/>
                  <w:noWrap w:val="0"/>
                  <w:vAlign w:val="center"/>
                </w:tcPr>
                <w:p w14:paraId="31034E9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42" w:type="dxa"/>
                  <w:noWrap w:val="0"/>
                  <w:vAlign w:val="center"/>
                </w:tcPr>
                <w:p w14:paraId="11D84A3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工业用地</w:t>
                  </w:r>
                </w:p>
              </w:tc>
            </w:tr>
            <w:tr w14:paraId="4A1F2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2" w:type="dxa"/>
                  <w:noWrap w:val="0"/>
                  <w:vAlign w:val="center"/>
                </w:tcPr>
                <w:p w14:paraId="29C45F5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3150" w:type="dxa"/>
                  <w:noWrap w:val="0"/>
                  <w:vAlign w:val="center"/>
                </w:tcPr>
                <w:p w14:paraId="6AEF52D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四川英诺维材料科技有限公司工厂建设项目</w:t>
                  </w:r>
                </w:p>
              </w:tc>
              <w:tc>
                <w:tcPr>
                  <w:tcW w:w="1233" w:type="dxa"/>
                  <w:noWrap w:val="0"/>
                  <w:vAlign w:val="center"/>
                </w:tcPr>
                <w:p w14:paraId="3497DF7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东北侧</w:t>
                  </w:r>
                </w:p>
              </w:tc>
              <w:tc>
                <w:tcPr>
                  <w:tcW w:w="1250" w:type="dxa"/>
                  <w:noWrap w:val="0"/>
                  <w:vAlign w:val="center"/>
                </w:tcPr>
                <w:p w14:paraId="34F3B66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667" w:type="dxa"/>
                  <w:noWrap w:val="0"/>
                  <w:vAlign w:val="center"/>
                </w:tcPr>
                <w:p w14:paraId="7219FA6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42" w:type="dxa"/>
                  <w:noWrap w:val="0"/>
                  <w:vAlign w:val="center"/>
                </w:tcPr>
                <w:p w14:paraId="4675A4B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工业用地</w:t>
                  </w:r>
                </w:p>
              </w:tc>
            </w:tr>
            <w:tr w14:paraId="09843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2" w:type="dxa"/>
                  <w:noWrap w:val="0"/>
                  <w:vAlign w:val="center"/>
                </w:tcPr>
                <w:p w14:paraId="1A63507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3150" w:type="dxa"/>
                  <w:noWrap w:val="0"/>
                  <w:vAlign w:val="center"/>
                </w:tcPr>
                <w:p w14:paraId="5874E01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四川川环科技股份有限公司</w:t>
                  </w:r>
                </w:p>
              </w:tc>
              <w:tc>
                <w:tcPr>
                  <w:tcW w:w="1233" w:type="dxa"/>
                  <w:noWrap w:val="0"/>
                  <w:vAlign w:val="center"/>
                </w:tcPr>
                <w:p w14:paraId="5160A7C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东北侧</w:t>
                  </w:r>
                </w:p>
              </w:tc>
              <w:tc>
                <w:tcPr>
                  <w:tcW w:w="1250" w:type="dxa"/>
                  <w:noWrap w:val="0"/>
                  <w:vAlign w:val="center"/>
                </w:tcPr>
                <w:p w14:paraId="1DA9B5E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310</w:t>
                  </w:r>
                </w:p>
              </w:tc>
              <w:tc>
                <w:tcPr>
                  <w:tcW w:w="667" w:type="dxa"/>
                  <w:noWrap w:val="0"/>
                  <w:vAlign w:val="center"/>
                </w:tcPr>
                <w:p w14:paraId="3AD789D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42" w:type="dxa"/>
                  <w:noWrap w:val="0"/>
                  <w:vAlign w:val="center"/>
                </w:tcPr>
                <w:p w14:paraId="56BE047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工业用地</w:t>
                  </w:r>
                </w:p>
              </w:tc>
            </w:tr>
            <w:tr w14:paraId="7049C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2" w:type="dxa"/>
                  <w:noWrap w:val="0"/>
                  <w:vAlign w:val="center"/>
                </w:tcPr>
                <w:p w14:paraId="5D76B45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4</w:t>
                  </w:r>
                </w:p>
              </w:tc>
              <w:tc>
                <w:tcPr>
                  <w:tcW w:w="3150" w:type="dxa"/>
                  <w:noWrap w:val="0"/>
                  <w:vAlign w:val="center"/>
                </w:tcPr>
                <w:p w14:paraId="4B73205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老厂区</w:t>
                  </w:r>
                </w:p>
              </w:tc>
              <w:tc>
                <w:tcPr>
                  <w:tcW w:w="1233" w:type="dxa"/>
                  <w:noWrap w:val="0"/>
                  <w:vAlign w:val="center"/>
                </w:tcPr>
                <w:p w14:paraId="0F790D3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东北侧</w:t>
                  </w:r>
                </w:p>
              </w:tc>
              <w:tc>
                <w:tcPr>
                  <w:tcW w:w="1250" w:type="dxa"/>
                  <w:noWrap w:val="0"/>
                  <w:vAlign w:val="center"/>
                </w:tcPr>
                <w:p w14:paraId="2F1A6A2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290</w:t>
                  </w:r>
                </w:p>
              </w:tc>
              <w:tc>
                <w:tcPr>
                  <w:tcW w:w="667" w:type="dxa"/>
                  <w:noWrap w:val="0"/>
                  <w:vAlign w:val="center"/>
                </w:tcPr>
                <w:p w14:paraId="4E12CCC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42" w:type="dxa"/>
                  <w:noWrap w:val="0"/>
                  <w:vAlign w:val="center"/>
                </w:tcPr>
                <w:p w14:paraId="555893B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工业用地</w:t>
                  </w:r>
                </w:p>
              </w:tc>
            </w:tr>
            <w:tr w14:paraId="7CA8B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2" w:type="dxa"/>
                  <w:noWrap w:val="0"/>
                  <w:vAlign w:val="center"/>
                </w:tcPr>
                <w:p w14:paraId="4D8DF19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5</w:t>
                  </w:r>
                </w:p>
              </w:tc>
              <w:tc>
                <w:tcPr>
                  <w:tcW w:w="3150" w:type="dxa"/>
                  <w:noWrap w:val="0"/>
                  <w:vAlign w:val="center"/>
                </w:tcPr>
                <w:p w14:paraId="4264DAD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工业用地</w:t>
                  </w:r>
                </w:p>
              </w:tc>
              <w:tc>
                <w:tcPr>
                  <w:tcW w:w="1233" w:type="dxa"/>
                  <w:noWrap w:val="0"/>
                  <w:vAlign w:val="center"/>
                </w:tcPr>
                <w:p w14:paraId="252CBC2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北侧</w:t>
                  </w:r>
                </w:p>
              </w:tc>
              <w:tc>
                <w:tcPr>
                  <w:tcW w:w="1250" w:type="dxa"/>
                  <w:noWrap w:val="0"/>
                  <w:vAlign w:val="center"/>
                </w:tcPr>
                <w:p w14:paraId="0127A8C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0</w:t>
                  </w:r>
                </w:p>
              </w:tc>
              <w:tc>
                <w:tcPr>
                  <w:tcW w:w="667" w:type="dxa"/>
                  <w:noWrap w:val="0"/>
                  <w:vAlign w:val="center"/>
                </w:tcPr>
                <w:p w14:paraId="0DB108C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42" w:type="dxa"/>
                  <w:noWrap w:val="0"/>
                  <w:vAlign w:val="center"/>
                </w:tcPr>
                <w:p w14:paraId="67C4D54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工业用地</w:t>
                  </w:r>
                </w:p>
              </w:tc>
            </w:tr>
            <w:tr w14:paraId="48EA4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2" w:type="dxa"/>
                  <w:noWrap w:val="0"/>
                  <w:vAlign w:val="center"/>
                </w:tcPr>
                <w:p w14:paraId="0519FE3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6</w:t>
                  </w:r>
                </w:p>
              </w:tc>
              <w:tc>
                <w:tcPr>
                  <w:tcW w:w="3150" w:type="dxa"/>
                  <w:noWrap w:val="0"/>
                  <w:vAlign w:val="center"/>
                </w:tcPr>
                <w:p w14:paraId="6169970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工业用地</w:t>
                  </w:r>
                </w:p>
              </w:tc>
              <w:tc>
                <w:tcPr>
                  <w:tcW w:w="1233" w:type="dxa"/>
                  <w:noWrap w:val="0"/>
                  <w:vAlign w:val="center"/>
                </w:tcPr>
                <w:p w14:paraId="7B1AF05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西侧</w:t>
                  </w:r>
                </w:p>
              </w:tc>
              <w:tc>
                <w:tcPr>
                  <w:tcW w:w="1250" w:type="dxa"/>
                  <w:noWrap w:val="0"/>
                  <w:vAlign w:val="center"/>
                </w:tcPr>
                <w:p w14:paraId="7F387B2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667" w:type="dxa"/>
                  <w:noWrap w:val="0"/>
                  <w:vAlign w:val="center"/>
                </w:tcPr>
                <w:p w14:paraId="163E3DF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42" w:type="dxa"/>
                  <w:noWrap w:val="0"/>
                  <w:vAlign w:val="center"/>
                </w:tcPr>
                <w:p w14:paraId="6CC6EB6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工业用地</w:t>
                  </w:r>
                </w:p>
              </w:tc>
            </w:tr>
            <w:tr w14:paraId="04125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2" w:type="dxa"/>
                  <w:noWrap w:val="0"/>
                  <w:vAlign w:val="center"/>
                </w:tcPr>
                <w:p w14:paraId="5455D93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7</w:t>
                  </w:r>
                </w:p>
              </w:tc>
              <w:tc>
                <w:tcPr>
                  <w:tcW w:w="3150" w:type="dxa"/>
                  <w:noWrap w:val="0"/>
                  <w:vAlign w:val="center"/>
                </w:tcPr>
                <w:p w14:paraId="55ECBE8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空地（工业用地）</w:t>
                  </w:r>
                </w:p>
              </w:tc>
              <w:tc>
                <w:tcPr>
                  <w:tcW w:w="1233" w:type="dxa"/>
                  <w:noWrap w:val="0"/>
                  <w:vAlign w:val="center"/>
                </w:tcPr>
                <w:p w14:paraId="6F2B03D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南侧</w:t>
                  </w:r>
                </w:p>
              </w:tc>
              <w:tc>
                <w:tcPr>
                  <w:tcW w:w="1250" w:type="dxa"/>
                  <w:noWrap w:val="0"/>
                  <w:vAlign w:val="center"/>
                </w:tcPr>
                <w:p w14:paraId="30AB005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667" w:type="dxa"/>
                  <w:noWrap w:val="0"/>
                  <w:vAlign w:val="center"/>
                </w:tcPr>
                <w:p w14:paraId="03A80A2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42" w:type="dxa"/>
                  <w:noWrap w:val="0"/>
                  <w:vAlign w:val="center"/>
                </w:tcPr>
                <w:p w14:paraId="1FA4720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工业用地</w:t>
                  </w:r>
                </w:p>
              </w:tc>
            </w:tr>
            <w:tr w14:paraId="63F82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2" w:type="dxa"/>
                  <w:noWrap w:val="0"/>
                  <w:vAlign w:val="center"/>
                </w:tcPr>
                <w:p w14:paraId="4AF5D2F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8</w:t>
                  </w:r>
                </w:p>
              </w:tc>
              <w:tc>
                <w:tcPr>
                  <w:tcW w:w="3150" w:type="dxa"/>
                  <w:noWrap w:val="0"/>
                  <w:vAlign w:val="center"/>
                </w:tcPr>
                <w:p w14:paraId="242D3AF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空地（工业用地）</w:t>
                  </w:r>
                </w:p>
              </w:tc>
              <w:tc>
                <w:tcPr>
                  <w:tcW w:w="1233" w:type="dxa"/>
                  <w:noWrap w:val="0"/>
                  <w:vAlign w:val="center"/>
                </w:tcPr>
                <w:p w14:paraId="5B9A43D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东南侧</w:t>
                  </w:r>
                </w:p>
              </w:tc>
              <w:tc>
                <w:tcPr>
                  <w:tcW w:w="1250" w:type="dxa"/>
                  <w:noWrap w:val="0"/>
                  <w:vAlign w:val="center"/>
                </w:tcPr>
                <w:p w14:paraId="6B6B897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667" w:type="dxa"/>
                  <w:noWrap w:val="0"/>
                  <w:vAlign w:val="center"/>
                </w:tcPr>
                <w:p w14:paraId="7685835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42" w:type="dxa"/>
                  <w:noWrap w:val="0"/>
                  <w:vAlign w:val="center"/>
                </w:tcPr>
                <w:p w14:paraId="6A0F9E0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工业用地</w:t>
                  </w:r>
                </w:p>
              </w:tc>
            </w:tr>
            <w:tr w14:paraId="2D5AD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62" w:type="dxa"/>
                  <w:noWrap w:val="0"/>
                  <w:vAlign w:val="center"/>
                </w:tcPr>
                <w:p w14:paraId="2ABD071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3150" w:type="dxa"/>
                  <w:noWrap w:val="0"/>
                  <w:vAlign w:val="center"/>
                </w:tcPr>
                <w:p w14:paraId="19F476F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耕地</w:t>
                  </w:r>
                </w:p>
              </w:tc>
              <w:tc>
                <w:tcPr>
                  <w:tcW w:w="1233" w:type="dxa"/>
                  <w:noWrap w:val="0"/>
                  <w:vAlign w:val="center"/>
                </w:tcPr>
                <w:p w14:paraId="31853F3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南侧</w:t>
                  </w:r>
                </w:p>
              </w:tc>
              <w:tc>
                <w:tcPr>
                  <w:tcW w:w="1250" w:type="dxa"/>
                  <w:noWrap w:val="0"/>
                  <w:vAlign w:val="center"/>
                </w:tcPr>
                <w:p w14:paraId="62138F1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w:t>
                  </w:r>
                </w:p>
              </w:tc>
              <w:tc>
                <w:tcPr>
                  <w:tcW w:w="667" w:type="dxa"/>
                  <w:noWrap w:val="0"/>
                  <w:vAlign w:val="center"/>
                </w:tcPr>
                <w:p w14:paraId="3AC0224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1142" w:type="dxa"/>
                  <w:noWrap w:val="0"/>
                  <w:vAlign w:val="center"/>
                </w:tcPr>
                <w:p w14:paraId="4F2DF2C6">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耕地</w:t>
                  </w:r>
                </w:p>
              </w:tc>
            </w:tr>
          </w:tbl>
          <w:p w14:paraId="2B082D4E">
            <w:pPr>
              <w:spacing w:line="240" w:lineRule="auto"/>
              <w:jc w:val="center"/>
              <w:rPr>
                <w:rFonts w:hint="default" w:ascii="Times New Roman" w:hAnsi="Times New Roman" w:cs="Times New Roman"/>
                <w:b/>
                <w:color w:val="auto"/>
                <w:kern w:val="0"/>
                <w:sz w:val="24"/>
                <w:highlight w:val="none"/>
              </w:rPr>
            </w:pPr>
            <w:r>
              <w:rPr>
                <w:rFonts w:hint="default" w:ascii="Times New Roman" w:hAnsi="Times New Roman" w:cs="Times New Roman"/>
                <w:b/>
                <w:color w:val="auto"/>
                <w:kern w:val="0"/>
                <w:sz w:val="24"/>
                <w:highlight w:val="none"/>
              </w:rPr>
              <w:t>表3.2-2  环境保护目标</w:t>
            </w:r>
          </w:p>
          <w:tbl>
            <w:tblPr>
              <w:tblStyle w:val="35"/>
              <w:tblW w:w="850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4"/>
              <w:gridCol w:w="1185"/>
              <w:gridCol w:w="945"/>
              <w:gridCol w:w="774"/>
              <w:gridCol w:w="1116"/>
              <w:gridCol w:w="957"/>
              <w:gridCol w:w="933"/>
              <w:gridCol w:w="945"/>
              <w:gridCol w:w="945"/>
            </w:tblGrid>
            <w:tr w14:paraId="2F7ED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04" w:type="dxa"/>
                  <w:vMerge w:val="restart"/>
                  <w:tcBorders>
                    <w:top w:val="single" w:color="000000" w:sz="8" w:space="0"/>
                    <w:left w:val="single" w:color="000000" w:sz="8" w:space="0"/>
                    <w:bottom w:val="single" w:color="000000" w:sz="8" w:space="0"/>
                    <w:right w:val="single" w:color="000000" w:sz="8" w:space="0"/>
                  </w:tcBorders>
                  <w:noWrap w:val="0"/>
                  <w:vAlign w:val="center"/>
                </w:tcPr>
                <w:p w14:paraId="1A0B57F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敏感要素</w:t>
                  </w:r>
                </w:p>
              </w:tc>
              <w:tc>
                <w:tcPr>
                  <w:tcW w:w="1185" w:type="dxa"/>
                  <w:vMerge w:val="restart"/>
                  <w:tcBorders>
                    <w:top w:val="single" w:color="000000" w:sz="8" w:space="0"/>
                    <w:left w:val="single" w:color="000000" w:sz="8" w:space="0"/>
                    <w:bottom w:val="single" w:color="000000" w:sz="8" w:space="0"/>
                    <w:right w:val="single" w:color="000000" w:sz="8" w:space="0"/>
                  </w:tcBorders>
                  <w:noWrap w:val="0"/>
                  <w:vAlign w:val="center"/>
                </w:tcPr>
                <w:p w14:paraId="445BDE2C">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名称</w:t>
                  </w:r>
                </w:p>
              </w:tc>
              <w:tc>
                <w:tcPr>
                  <w:tcW w:w="1719" w:type="dxa"/>
                  <w:gridSpan w:val="2"/>
                  <w:tcBorders>
                    <w:top w:val="single" w:color="000000" w:sz="8" w:space="0"/>
                    <w:left w:val="single" w:color="000000" w:sz="8" w:space="0"/>
                    <w:bottom w:val="single" w:color="000000" w:sz="8" w:space="0"/>
                    <w:right w:val="single" w:color="000000" w:sz="8" w:space="0"/>
                  </w:tcBorders>
                  <w:noWrap w:val="0"/>
                  <w:vAlign w:val="center"/>
                </w:tcPr>
                <w:p w14:paraId="41CE7612">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坐标/m</w:t>
                  </w:r>
                </w:p>
              </w:tc>
              <w:tc>
                <w:tcPr>
                  <w:tcW w:w="1116" w:type="dxa"/>
                  <w:vMerge w:val="restart"/>
                  <w:tcBorders>
                    <w:top w:val="single" w:color="000000" w:sz="8" w:space="0"/>
                    <w:left w:val="single" w:color="000000" w:sz="8" w:space="0"/>
                    <w:bottom w:val="single" w:color="000000" w:sz="8" w:space="0"/>
                    <w:right w:val="single" w:color="000000" w:sz="8" w:space="0"/>
                  </w:tcBorders>
                  <w:noWrap w:val="0"/>
                  <w:vAlign w:val="center"/>
                </w:tcPr>
                <w:p w14:paraId="137E97B8">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保护对象</w:t>
                  </w:r>
                </w:p>
              </w:tc>
              <w:tc>
                <w:tcPr>
                  <w:tcW w:w="957" w:type="dxa"/>
                  <w:vMerge w:val="restart"/>
                  <w:tcBorders>
                    <w:top w:val="single" w:color="000000" w:sz="8" w:space="0"/>
                    <w:left w:val="single" w:color="000000" w:sz="8" w:space="0"/>
                    <w:bottom w:val="single" w:color="000000" w:sz="8" w:space="0"/>
                    <w:right w:val="single" w:color="000000" w:sz="8" w:space="0"/>
                  </w:tcBorders>
                  <w:noWrap w:val="0"/>
                  <w:vAlign w:val="center"/>
                </w:tcPr>
                <w:p w14:paraId="315C5FE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保护内容</w:t>
                  </w:r>
                </w:p>
              </w:tc>
              <w:tc>
                <w:tcPr>
                  <w:tcW w:w="933" w:type="dxa"/>
                  <w:vMerge w:val="restart"/>
                  <w:tcBorders>
                    <w:top w:val="single" w:color="000000" w:sz="8" w:space="0"/>
                    <w:left w:val="single" w:color="000000" w:sz="8" w:space="0"/>
                    <w:bottom w:val="single" w:color="000000" w:sz="8" w:space="0"/>
                    <w:right w:val="single" w:color="000000" w:sz="8" w:space="0"/>
                  </w:tcBorders>
                  <w:noWrap w:val="0"/>
                  <w:vAlign w:val="center"/>
                </w:tcPr>
                <w:p w14:paraId="50BCC1B8">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环境功能</w:t>
                  </w:r>
                </w:p>
              </w:tc>
              <w:tc>
                <w:tcPr>
                  <w:tcW w:w="945" w:type="dxa"/>
                  <w:vMerge w:val="restart"/>
                  <w:tcBorders>
                    <w:top w:val="single" w:color="000000" w:sz="8" w:space="0"/>
                    <w:left w:val="single" w:color="000000" w:sz="8" w:space="0"/>
                    <w:bottom w:val="single" w:color="000000" w:sz="8" w:space="0"/>
                    <w:right w:val="single" w:color="000000" w:sz="8" w:space="0"/>
                  </w:tcBorders>
                  <w:noWrap w:val="0"/>
                  <w:vAlign w:val="center"/>
                </w:tcPr>
                <w:p w14:paraId="415CCCB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相对厂址方位</w:t>
                  </w:r>
                </w:p>
              </w:tc>
              <w:tc>
                <w:tcPr>
                  <w:tcW w:w="945" w:type="dxa"/>
                  <w:vMerge w:val="restart"/>
                  <w:tcBorders>
                    <w:top w:val="single" w:color="000000" w:sz="8" w:space="0"/>
                    <w:left w:val="single" w:color="000000" w:sz="8" w:space="0"/>
                    <w:bottom w:val="single" w:color="000000" w:sz="8" w:space="0"/>
                    <w:right w:val="single" w:color="000000" w:sz="8" w:space="0"/>
                  </w:tcBorders>
                  <w:noWrap w:val="0"/>
                  <w:vAlign w:val="center"/>
                </w:tcPr>
                <w:p w14:paraId="75EDA97A">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与厂界距离/m</w:t>
                  </w:r>
                </w:p>
              </w:tc>
            </w:tr>
            <w:tr w14:paraId="7A6BD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04" w:type="dxa"/>
                  <w:vMerge w:val="continue"/>
                  <w:tcBorders>
                    <w:top w:val="single" w:color="000000" w:sz="8" w:space="0"/>
                    <w:left w:val="single" w:color="000000" w:sz="8" w:space="0"/>
                    <w:bottom w:val="single" w:color="000000" w:sz="8" w:space="0"/>
                    <w:right w:val="single" w:color="000000" w:sz="8" w:space="0"/>
                  </w:tcBorders>
                  <w:noWrap w:val="0"/>
                  <w:vAlign w:val="center"/>
                </w:tcPr>
                <w:p w14:paraId="773EECEA">
                  <w:pPr>
                    <w:jc w:val="center"/>
                    <w:rPr>
                      <w:rFonts w:hint="default" w:ascii="Times New Roman" w:hAnsi="Times New Roman" w:eastAsia="宋体" w:cs="Times New Roman"/>
                      <w:b/>
                      <w:bCs/>
                      <w:i w:val="0"/>
                      <w:iCs w:val="0"/>
                      <w:color w:val="auto"/>
                      <w:sz w:val="21"/>
                      <w:szCs w:val="21"/>
                      <w:u w:val="none"/>
                    </w:rPr>
                  </w:pPr>
                </w:p>
              </w:tc>
              <w:tc>
                <w:tcPr>
                  <w:tcW w:w="1185" w:type="dxa"/>
                  <w:vMerge w:val="continue"/>
                  <w:tcBorders>
                    <w:top w:val="single" w:color="000000" w:sz="8" w:space="0"/>
                    <w:left w:val="single" w:color="000000" w:sz="8" w:space="0"/>
                    <w:bottom w:val="single" w:color="000000" w:sz="8" w:space="0"/>
                    <w:right w:val="single" w:color="000000" w:sz="8" w:space="0"/>
                  </w:tcBorders>
                  <w:noWrap w:val="0"/>
                  <w:vAlign w:val="center"/>
                </w:tcPr>
                <w:p w14:paraId="4577837B">
                  <w:pPr>
                    <w:jc w:val="center"/>
                    <w:rPr>
                      <w:rFonts w:hint="default" w:ascii="Times New Roman" w:hAnsi="Times New Roman" w:eastAsia="宋体" w:cs="Times New Roman"/>
                      <w:b/>
                      <w:bCs/>
                      <w:i w:val="0"/>
                      <w:iCs w:val="0"/>
                      <w:color w:val="auto"/>
                      <w:sz w:val="21"/>
                      <w:szCs w:val="21"/>
                      <w:u w:val="none"/>
                    </w:rPr>
                  </w:pPr>
                </w:p>
              </w:tc>
              <w:tc>
                <w:tcPr>
                  <w:tcW w:w="945" w:type="dxa"/>
                  <w:tcBorders>
                    <w:top w:val="nil"/>
                    <w:left w:val="single" w:color="000000" w:sz="8" w:space="0"/>
                    <w:bottom w:val="single" w:color="000000" w:sz="8" w:space="0"/>
                    <w:right w:val="single" w:color="000000" w:sz="8" w:space="0"/>
                  </w:tcBorders>
                  <w:noWrap w:val="0"/>
                  <w:vAlign w:val="center"/>
                </w:tcPr>
                <w:p w14:paraId="56124B96">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X</w:t>
                  </w:r>
                </w:p>
              </w:tc>
              <w:tc>
                <w:tcPr>
                  <w:tcW w:w="774" w:type="dxa"/>
                  <w:tcBorders>
                    <w:top w:val="nil"/>
                    <w:left w:val="single" w:color="000000" w:sz="8" w:space="0"/>
                    <w:bottom w:val="single" w:color="000000" w:sz="8" w:space="0"/>
                    <w:right w:val="single" w:color="000000" w:sz="8" w:space="0"/>
                  </w:tcBorders>
                  <w:noWrap w:val="0"/>
                  <w:vAlign w:val="center"/>
                </w:tcPr>
                <w:p w14:paraId="0F4E1E5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Y</w:t>
                  </w:r>
                </w:p>
              </w:tc>
              <w:tc>
                <w:tcPr>
                  <w:tcW w:w="1116" w:type="dxa"/>
                  <w:vMerge w:val="continue"/>
                  <w:tcBorders>
                    <w:top w:val="single" w:color="000000" w:sz="8" w:space="0"/>
                    <w:left w:val="single" w:color="000000" w:sz="8" w:space="0"/>
                    <w:bottom w:val="single" w:color="000000" w:sz="8" w:space="0"/>
                    <w:right w:val="single" w:color="000000" w:sz="8" w:space="0"/>
                  </w:tcBorders>
                  <w:noWrap w:val="0"/>
                  <w:vAlign w:val="center"/>
                </w:tcPr>
                <w:p w14:paraId="58223BB6">
                  <w:pPr>
                    <w:jc w:val="center"/>
                    <w:rPr>
                      <w:rFonts w:hint="default" w:ascii="Times New Roman" w:hAnsi="Times New Roman" w:eastAsia="宋体" w:cs="Times New Roman"/>
                      <w:b/>
                      <w:bCs/>
                      <w:i w:val="0"/>
                      <w:iCs w:val="0"/>
                      <w:color w:val="auto"/>
                      <w:sz w:val="21"/>
                      <w:szCs w:val="21"/>
                      <w:u w:val="none"/>
                    </w:rPr>
                  </w:pPr>
                </w:p>
              </w:tc>
              <w:tc>
                <w:tcPr>
                  <w:tcW w:w="957" w:type="dxa"/>
                  <w:vMerge w:val="continue"/>
                  <w:tcBorders>
                    <w:top w:val="single" w:color="000000" w:sz="8" w:space="0"/>
                    <w:left w:val="single" w:color="000000" w:sz="8" w:space="0"/>
                    <w:bottom w:val="single" w:color="000000" w:sz="8" w:space="0"/>
                    <w:right w:val="single" w:color="000000" w:sz="8" w:space="0"/>
                  </w:tcBorders>
                  <w:noWrap w:val="0"/>
                  <w:vAlign w:val="center"/>
                </w:tcPr>
                <w:p w14:paraId="27789159">
                  <w:pPr>
                    <w:jc w:val="center"/>
                    <w:rPr>
                      <w:rFonts w:hint="default" w:ascii="Times New Roman" w:hAnsi="Times New Roman" w:eastAsia="宋体" w:cs="Times New Roman"/>
                      <w:b/>
                      <w:bCs/>
                      <w:i w:val="0"/>
                      <w:iCs w:val="0"/>
                      <w:color w:val="auto"/>
                      <w:sz w:val="21"/>
                      <w:szCs w:val="21"/>
                      <w:u w:val="none"/>
                    </w:rPr>
                  </w:pPr>
                </w:p>
              </w:tc>
              <w:tc>
                <w:tcPr>
                  <w:tcW w:w="933" w:type="dxa"/>
                  <w:vMerge w:val="continue"/>
                  <w:tcBorders>
                    <w:top w:val="single" w:color="000000" w:sz="8" w:space="0"/>
                    <w:left w:val="single" w:color="000000" w:sz="8" w:space="0"/>
                    <w:bottom w:val="single" w:color="000000" w:sz="8" w:space="0"/>
                    <w:right w:val="single" w:color="000000" w:sz="8" w:space="0"/>
                  </w:tcBorders>
                  <w:noWrap w:val="0"/>
                  <w:vAlign w:val="center"/>
                </w:tcPr>
                <w:p w14:paraId="249E61AC">
                  <w:pPr>
                    <w:jc w:val="center"/>
                    <w:rPr>
                      <w:rFonts w:hint="default" w:ascii="Times New Roman" w:hAnsi="Times New Roman" w:eastAsia="宋体" w:cs="Times New Roman"/>
                      <w:b/>
                      <w:bCs/>
                      <w:i w:val="0"/>
                      <w:iCs w:val="0"/>
                      <w:color w:val="auto"/>
                      <w:sz w:val="21"/>
                      <w:szCs w:val="21"/>
                      <w:u w:val="none"/>
                    </w:rPr>
                  </w:pPr>
                </w:p>
              </w:tc>
              <w:tc>
                <w:tcPr>
                  <w:tcW w:w="945" w:type="dxa"/>
                  <w:vMerge w:val="continue"/>
                  <w:tcBorders>
                    <w:top w:val="single" w:color="000000" w:sz="8" w:space="0"/>
                    <w:left w:val="single" w:color="000000" w:sz="8" w:space="0"/>
                    <w:bottom w:val="single" w:color="000000" w:sz="8" w:space="0"/>
                    <w:right w:val="single" w:color="000000" w:sz="8" w:space="0"/>
                  </w:tcBorders>
                  <w:noWrap w:val="0"/>
                  <w:vAlign w:val="center"/>
                </w:tcPr>
                <w:p w14:paraId="4EA87ECD">
                  <w:pPr>
                    <w:jc w:val="center"/>
                    <w:rPr>
                      <w:rFonts w:hint="default" w:ascii="Times New Roman" w:hAnsi="Times New Roman" w:eastAsia="宋体" w:cs="Times New Roman"/>
                      <w:b/>
                      <w:bCs/>
                      <w:i w:val="0"/>
                      <w:iCs w:val="0"/>
                      <w:color w:val="auto"/>
                      <w:sz w:val="21"/>
                      <w:szCs w:val="21"/>
                      <w:u w:val="none"/>
                    </w:rPr>
                  </w:pPr>
                </w:p>
              </w:tc>
              <w:tc>
                <w:tcPr>
                  <w:tcW w:w="945" w:type="dxa"/>
                  <w:vMerge w:val="continue"/>
                  <w:tcBorders>
                    <w:top w:val="single" w:color="000000" w:sz="8" w:space="0"/>
                    <w:left w:val="single" w:color="000000" w:sz="8" w:space="0"/>
                    <w:bottom w:val="single" w:color="000000" w:sz="8" w:space="0"/>
                    <w:right w:val="single" w:color="000000" w:sz="8" w:space="0"/>
                  </w:tcBorders>
                  <w:noWrap w:val="0"/>
                  <w:vAlign w:val="center"/>
                </w:tcPr>
                <w:p w14:paraId="1541661C">
                  <w:pPr>
                    <w:jc w:val="center"/>
                    <w:rPr>
                      <w:rFonts w:hint="default" w:ascii="Times New Roman" w:hAnsi="Times New Roman" w:eastAsia="宋体" w:cs="Times New Roman"/>
                      <w:b/>
                      <w:bCs/>
                      <w:i w:val="0"/>
                      <w:iCs w:val="0"/>
                      <w:color w:val="auto"/>
                      <w:sz w:val="21"/>
                      <w:szCs w:val="21"/>
                      <w:u w:val="none"/>
                    </w:rPr>
                  </w:pPr>
                </w:p>
              </w:tc>
            </w:tr>
            <w:tr w14:paraId="6CA92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04" w:type="dxa"/>
                  <w:vMerge w:val="restart"/>
                  <w:tcBorders>
                    <w:top w:val="nil"/>
                    <w:left w:val="single" w:color="000000" w:sz="8" w:space="0"/>
                    <w:bottom w:val="single" w:color="000000" w:sz="8" w:space="0"/>
                    <w:right w:val="single" w:color="000000" w:sz="8" w:space="0"/>
                  </w:tcBorders>
                  <w:noWrap w:val="0"/>
                  <w:vAlign w:val="center"/>
                </w:tcPr>
                <w:p w14:paraId="2BE6F0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大气环境</w:t>
                  </w:r>
                </w:p>
              </w:tc>
              <w:tc>
                <w:tcPr>
                  <w:tcW w:w="1185" w:type="dxa"/>
                  <w:tcBorders>
                    <w:top w:val="nil"/>
                    <w:left w:val="single" w:color="000000" w:sz="8" w:space="0"/>
                    <w:bottom w:val="single" w:color="000000" w:sz="8" w:space="0"/>
                    <w:right w:val="single" w:color="000000" w:sz="8" w:space="0"/>
                  </w:tcBorders>
                  <w:noWrap w:val="0"/>
                  <w:vAlign w:val="center"/>
                </w:tcPr>
                <w:p w14:paraId="67AB4C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零散住户</w:t>
                  </w:r>
                </w:p>
              </w:tc>
              <w:tc>
                <w:tcPr>
                  <w:tcW w:w="945" w:type="dxa"/>
                  <w:tcBorders>
                    <w:top w:val="nil"/>
                    <w:left w:val="single" w:color="000000" w:sz="8" w:space="0"/>
                    <w:bottom w:val="single" w:color="000000" w:sz="8" w:space="0"/>
                    <w:right w:val="single" w:color="000000" w:sz="8" w:space="0"/>
                  </w:tcBorders>
                  <w:noWrap w:val="0"/>
                  <w:vAlign w:val="center"/>
                </w:tcPr>
                <w:p w14:paraId="23F463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-108</w:t>
                  </w:r>
                </w:p>
              </w:tc>
              <w:tc>
                <w:tcPr>
                  <w:tcW w:w="774" w:type="dxa"/>
                  <w:tcBorders>
                    <w:top w:val="nil"/>
                    <w:left w:val="single" w:color="000000" w:sz="8" w:space="0"/>
                    <w:bottom w:val="single" w:color="000000" w:sz="8" w:space="0"/>
                    <w:right w:val="single" w:color="000000" w:sz="8" w:space="0"/>
                  </w:tcBorders>
                  <w:noWrap w:val="0"/>
                  <w:vAlign w:val="center"/>
                </w:tcPr>
                <w:p w14:paraId="6E1071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-125</w:t>
                  </w:r>
                </w:p>
              </w:tc>
              <w:tc>
                <w:tcPr>
                  <w:tcW w:w="1116" w:type="dxa"/>
                  <w:tcBorders>
                    <w:top w:val="nil"/>
                    <w:left w:val="single" w:color="000000" w:sz="8" w:space="0"/>
                    <w:bottom w:val="single" w:color="000000" w:sz="8" w:space="0"/>
                    <w:right w:val="single" w:color="000000" w:sz="8" w:space="0"/>
                  </w:tcBorders>
                  <w:noWrap w:val="0"/>
                  <w:vAlign w:val="center"/>
                </w:tcPr>
                <w:p w14:paraId="0AFF80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零散住户</w:t>
                  </w:r>
                </w:p>
              </w:tc>
              <w:tc>
                <w:tcPr>
                  <w:tcW w:w="957" w:type="dxa"/>
                  <w:tcBorders>
                    <w:top w:val="nil"/>
                    <w:left w:val="single" w:color="000000" w:sz="8" w:space="0"/>
                    <w:bottom w:val="single" w:color="000000" w:sz="8" w:space="0"/>
                    <w:right w:val="single" w:color="000000" w:sz="8" w:space="0"/>
                  </w:tcBorders>
                  <w:noWrap w:val="0"/>
                  <w:vAlign w:val="center"/>
                </w:tcPr>
                <w:p w14:paraId="7C322D5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约1户，2人</w:t>
                  </w:r>
                </w:p>
              </w:tc>
              <w:tc>
                <w:tcPr>
                  <w:tcW w:w="933" w:type="dxa"/>
                  <w:vMerge w:val="restart"/>
                  <w:tcBorders>
                    <w:top w:val="nil"/>
                    <w:left w:val="single" w:color="000000" w:sz="8" w:space="0"/>
                    <w:bottom w:val="single" w:color="000000" w:sz="8" w:space="0"/>
                    <w:right w:val="single" w:color="000000" w:sz="8" w:space="0"/>
                  </w:tcBorders>
                  <w:noWrap w:val="0"/>
                  <w:vAlign w:val="center"/>
                </w:tcPr>
                <w:p w14:paraId="3CCFB4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二类环境空气功能区</w:t>
                  </w:r>
                </w:p>
              </w:tc>
              <w:tc>
                <w:tcPr>
                  <w:tcW w:w="945" w:type="dxa"/>
                  <w:tcBorders>
                    <w:top w:val="nil"/>
                    <w:left w:val="single" w:color="000000" w:sz="8" w:space="0"/>
                    <w:bottom w:val="single" w:color="000000" w:sz="8" w:space="0"/>
                    <w:right w:val="single" w:color="000000" w:sz="8" w:space="0"/>
                  </w:tcBorders>
                  <w:noWrap w:val="0"/>
                  <w:vAlign w:val="center"/>
                </w:tcPr>
                <w:p w14:paraId="0FB5AA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WS</w:t>
                  </w:r>
                </w:p>
              </w:tc>
              <w:tc>
                <w:tcPr>
                  <w:tcW w:w="945" w:type="dxa"/>
                  <w:tcBorders>
                    <w:top w:val="nil"/>
                    <w:left w:val="single" w:color="000000" w:sz="8" w:space="0"/>
                    <w:bottom w:val="single" w:color="000000" w:sz="8" w:space="0"/>
                    <w:right w:val="single" w:color="000000" w:sz="8" w:space="0"/>
                  </w:tcBorders>
                  <w:noWrap w:val="0"/>
                  <w:vAlign w:val="center"/>
                </w:tcPr>
                <w:p w14:paraId="6E2485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109</w:t>
                  </w:r>
                </w:p>
              </w:tc>
            </w:tr>
            <w:tr w14:paraId="5AA36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04" w:type="dxa"/>
                  <w:vMerge w:val="continue"/>
                  <w:tcBorders>
                    <w:top w:val="nil"/>
                    <w:left w:val="single" w:color="000000" w:sz="8" w:space="0"/>
                    <w:bottom w:val="single" w:color="000000" w:sz="8" w:space="0"/>
                    <w:right w:val="single" w:color="000000" w:sz="8" w:space="0"/>
                  </w:tcBorders>
                  <w:noWrap w:val="0"/>
                  <w:vAlign w:val="center"/>
                </w:tcPr>
                <w:p w14:paraId="3525F688">
                  <w:pPr>
                    <w:jc w:val="center"/>
                    <w:rPr>
                      <w:rFonts w:hint="default" w:ascii="Times New Roman" w:hAnsi="Times New Roman" w:eastAsia="宋体" w:cs="Times New Roman"/>
                      <w:i w:val="0"/>
                      <w:iCs w:val="0"/>
                      <w:color w:val="auto"/>
                      <w:sz w:val="21"/>
                      <w:szCs w:val="21"/>
                      <w:u w:val="none"/>
                    </w:rPr>
                  </w:pPr>
                </w:p>
              </w:tc>
              <w:tc>
                <w:tcPr>
                  <w:tcW w:w="1185" w:type="dxa"/>
                  <w:tcBorders>
                    <w:top w:val="nil"/>
                    <w:left w:val="single" w:color="000000" w:sz="8" w:space="0"/>
                    <w:bottom w:val="single" w:color="000000" w:sz="8" w:space="0"/>
                    <w:right w:val="single" w:color="000000" w:sz="8" w:space="0"/>
                  </w:tcBorders>
                  <w:noWrap w:val="0"/>
                  <w:vAlign w:val="center"/>
                </w:tcPr>
                <w:p w14:paraId="5E45D1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零散住户</w:t>
                  </w:r>
                </w:p>
              </w:tc>
              <w:tc>
                <w:tcPr>
                  <w:tcW w:w="945" w:type="dxa"/>
                  <w:tcBorders>
                    <w:top w:val="nil"/>
                    <w:left w:val="single" w:color="000000" w:sz="8" w:space="0"/>
                    <w:bottom w:val="single" w:color="000000" w:sz="8" w:space="0"/>
                    <w:right w:val="single" w:color="000000" w:sz="8" w:space="0"/>
                  </w:tcBorders>
                  <w:noWrap w:val="0"/>
                  <w:vAlign w:val="center"/>
                </w:tcPr>
                <w:p w14:paraId="06A8DD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-236</w:t>
                  </w:r>
                </w:p>
              </w:tc>
              <w:tc>
                <w:tcPr>
                  <w:tcW w:w="774" w:type="dxa"/>
                  <w:tcBorders>
                    <w:top w:val="nil"/>
                    <w:left w:val="single" w:color="000000" w:sz="8" w:space="0"/>
                    <w:bottom w:val="single" w:color="000000" w:sz="8" w:space="0"/>
                    <w:right w:val="single" w:color="000000" w:sz="8" w:space="0"/>
                  </w:tcBorders>
                  <w:noWrap w:val="0"/>
                  <w:vAlign w:val="center"/>
                </w:tcPr>
                <w:p w14:paraId="70EA2E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-168</w:t>
                  </w:r>
                </w:p>
              </w:tc>
              <w:tc>
                <w:tcPr>
                  <w:tcW w:w="1116" w:type="dxa"/>
                  <w:tcBorders>
                    <w:top w:val="nil"/>
                    <w:left w:val="single" w:color="000000" w:sz="8" w:space="0"/>
                    <w:bottom w:val="single" w:color="000000" w:sz="8" w:space="0"/>
                    <w:right w:val="single" w:color="000000" w:sz="8" w:space="0"/>
                  </w:tcBorders>
                  <w:noWrap w:val="0"/>
                  <w:vAlign w:val="center"/>
                </w:tcPr>
                <w:p w14:paraId="0DFF08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零散住户</w:t>
                  </w:r>
                </w:p>
              </w:tc>
              <w:tc>
                <w:tcPr>
                  <w:tcW w:w="957" w:type="dxa"/>
                  <w:tcBorders>
                    <w:top w:val="nil"/>
                    <w:left w:val="single" w:color="000000" w:sz="8" w:space="0"/>
                    <w:bottom w:val="single" w:color="000000" w:sz="8" w:space="0"/>
                    <w:right w:val="single" w:color="000000" w:sz="8" w:space="0"/>
                  </w:tcBorders>
                  <w:noWrap w:val="0"/>
                  <w:vAlign w:val="center"/>
                </w:tcPr>
                <w:p w14:paraId="1EB01B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约5户，12人</w:t>
                  </w:r>
                </w:p>
              </w:tc>
              <w:tc>
                <w:tcPr>
                  <w:tcW w:w="933" w:type="dxa"/>
                  <w:vMerge w:val="continue"/>
                  <w:tcBorders>
                    <w:top w:val="nil"/>
                    <w:left w:val="single" w:color="000000" w:sz="8" w:space="0"/>
                    <w:bottom w:val="single" w:color="000000" w:sz="8" w:space="0"/>
                    <w:right w:val="single" w:color="000000" w:sz="8" w:space="0"/>
                  </w:tcBorders>
                  <w:noWrap w:val="0"/>
                  <w:vAlign w:val="center"/>
                </w:tcPr>
                <w:p w14:paraId="1C2CF10D">
                  <w:pPr>
                    <w:jc w:val="center"/>
                    <w:rPr>
                      <w:rFonts w:hint="default" w:ascii="Times New Roman" w:hAnsi="Times New Roman" w:eastAsia="宋体" w:cs="Times New Roman"/>
                      <w:i w:val="0"/>
                      <w:iCs w:val="0"/>
                      <w:color w:val="auto"/>
                      <w:sz w:val="21"/>
                      <w:szCs w:val="21"/>
                      <w:u w:val="none"/>
                    </w:rPr>
                  </w:pPr>
                </w:p>
              </w:tc>
              <w:tc>
                <w:tcPr>
                  <w:tcW w:w="945" w:type="dxa"/>
                  <w:tcBorders>
                    <w:top w:val="nil"/>
                    <w:left w:val="single" w:color="000000" w:sz="8" w:space="0"/>
                    <w:bottom w:val="single" w:color="000000" w:sz="8" w:space="0"/>
                    <w:right w:val="single" w:color="000000" w:sz="8" w:space="0"/>
                  </w:tcBorders>
                  <w:noWrap w:val="0"/>
                  <w:vAlign w:val="center"/>
                </w:tcPr>
                <w:p w14:paraId="0ED45B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WS</w:t>
                  </w:r>
                </w:p>
              </w:tc>
              <w:tc>
                <w:tcPr>
                  <w:tcW w:w="945" w:type="dxa"/>
                  <w:tcBorders>
                    <w:top w:val="nil"/>
                    <w:left w:val="single" w:color="000000" w:sz="8" w:space="0"/>
                    <w:bottom w:val="single" w:color="000000" w:sz="8" w:space="0"/>
                    <w:right w:val="single" w:color="000000" w:sz="8" w:space="0"/>
                  </w:tcBorders>
                  <w:noWrap w:val="0"/>
                  <w:vAlign w:val="center"/>
                </w:tcPr>
                <w:p w14:paraId="51DECF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232</w:t>
                  </w:r>
                </w:p>
              </w:tc>
            </w:tr>
            <w:tr w14:paraId="39B58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04" w:type="dxa"/>
                  <w:vMerge w:val="continue"/>
                  <w:tcBorders>
                    <w:top w:val="nil"/>
                    <w:left w:val="single" w:color="000000" w:sz="8" w:space="0"/>
                    <w:bottom w:val="single" w:color="000000" w:sz="8" w:space="0"/>
                    <w:right w:val="single" w:color="000000" w:sz="8" w:space="0"/>
                  </w:tcBorders>
                  <w:noWrap w:val="0"/>
                  <w:vAlign w:val="center"/>
                </w:tcPr>
                <w:p w14:paraId="33F765F6">
                  <w:pPr>
                    <w:jc w:val="center"/>
                    <w:rPr>
                      <w:rFonts w:hint="default" w:ascii="Times New Roman" w:hAnsi="Times New Roman" w:eastAsia="宋体" w:cs="Times New Roman"/>
                      <w:i w:val="0"/>
                      <w:iCs w:val="0"/>
                      <w:color w:val="auto"/>
                      <w:sz w:val="21"/>
                      <w:szCs w:val="21"/>
                      <w:u w:val="none"/>
                    </w:rPr>
                  </w:pPr>
                </w:p>
              </w:tc>
              <w:tc>
                <w:tcPr>
                  <w:tcW w:w="1185" w:type="dxa"/>
                  <w:tcBorders>
                    <w:top w:val="nil"/>
                    <w:left w:val="single" w:color="000000" w:sz="8" w:space="0"/>
                    <w:bottom w:val="single" w:color="000000" w:sz="8" w:space="0"/>
                    <w:right w:val="single" w:color="000000" w:sz="8" w:space="0"/>
                  </w:tcBorders>
                  <w:noWrap w:val="0"/>
                  <w:vAlign w:val="center"/>
                </w:tcPr>
                <w:p w14:paraId="6E04C3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零散住户</w:t>
                  </w:r>
                </w:p>
              </w:tc>
              <w:tc>
                <w:tcPr>
                  <w:tcW w:w="945" w:type="dxa"/>
                  <w:tcBorders>
                    <w:top w:val="nil"/>
                    <w:left w:val="single" w:color="000000" w:sz="8" w:space="0"/>
                    <w:bottom w:val="single" w:color="000000" w:sz="8" w:space="0"/>
                    <w:right w:val="single" w:color="000000" w:sz="8" w:space="0"/>
                  </w:tcBorders>
                  <w:noWrap w:val="0"/>
                  <w:vAlign w:val="center"/>
                </w:tcPr>
                <w:p w14:paraId="4F12EB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-180</w:t>
                  </w:r>
                </w:p>
              </w:tc>
              <w:tc>
                <w:tcPr>
                  <w:tcW w:w="774" w:type="dxa"/>
                  <w:tcBorders>
                    <w:top w:val="nil"/>
                    <w:left w:val="single" w:color="000000" w:sz="8" w:space="0"/>
                    <w:bottom w:val="single" w:color="000000" w:sz="8" w:space="0"/>
                    <w:right w:val="single" w:color="000000" w:sz="8" w:space="0"/>
                  </w:tcBorders>
                  <w:noWrap w:val="0"/>
                  <w:vAlign w:val="center"/>
                </w:tcPr>
                <w:p w14:paraId="68DC9BF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-271</w:t>
                  </w:r>
                </w:p>
              </w:tc>
              <w:tc>
                <w:tcPr>
                  <w:tcW w:w="1116" w:type="dxa"/>
                  <w:tcBorders>
                    <w:top w:val="nil"/>
                    <w:left w:val="single" w:color="000000" w:sz="8" w:space="0"/>
                    <w:bottom w:val="single" w:color="000000" w:sz="8" w:space="0"/>
                    <w:right w:val="single" w:color="000000" w:sz="8" w:space="0"/>
                  </w:tcBorders>
                  <w:noWrap w:val="0"/>
                  <w:vAlign w:val="center"/>
                </w:tcPr>
                <w:p w14:paraId="3A1ED3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零散住户</w:t>
                  </w:r>
                </w:p>
              </w:tc>
              <w:tc>
                <w:tcPr>
                  <w:tcW w:w="957" w:type="dxa"/>
                  <w:tcBorders>
                    <w:top w:val="nil"/>
                    <w:left w:val="single" w:color="000000" w:sz="8" w:space="0"/>
                    <w:bottom w:val="single" w:color="000000" w:sz="8" w:space="0"/>
                    <w:right w:val="single" w:color="000000" w:sz="8" w:space="0"/>
                  </w:tcBorders>
                  <w:noWrap w:val="0"/>
                  <w:vAlign w:val="center"/>
                </w:tcPr>
                <w:p w14:paraId="236E8B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约2户，5人</w:t>
                  </w:r>
                </w:p>
              </w:tc>
              <w:tc>
                <w:tcPr>
                  <w:tcW w:w="933" w:type="dxa"/>
                  <w:vMerge w:val="continue"/>
                  <w:tcBorders>
                    <w:top w:val="nil"/>
                    <w:left w:val="single" w:color="000000" w:sz="8" w:space="0"/>
                    <w:bottom w:val="single" w:color="000000" w:sz="8" w:space="0"/>
                    <w:right w:val="single" w:color="000000" w:sz="8" w:space="0"/>
                  </w:tcBorders>
                  <w:noWrap w:val="0"/>
                  <w:vAlign w:val="center"/>
                </w:tcPr>
                <w:p w14:paraId="4673E0F9">
                  <w:pPr>
                    <w:jc w:val="center"/>
                    <w:rPr>
                      <w:rFonts w:hint="default" w:ascii="Times New Roman" w:hAnsi="Times New Roman" w:eastAsia="宋体" w:cs="Times New Roman"/>
                      <w:i w:val="0"/>
                      <w:iCs w:val="0"/>
                      <w:color w:val="auto"/>
                      <w:sz w:val="21"/>
                      <w:szCs w:val="21"/>
                      <w:u w:val="none"/>
                    </w:rPr>
                  </w:pPr>
                </w:p>
              </w:tc>
              <w:tc>
                <w:tcPr>
                  <w:tcW w:w="945" w:type="dxa"/>
                  <w:tcBorders>
                    <w:top w:val="nil"/>
                    <w:left w:val="single" w:color="000000" w:sz="8" w:space="0"/>
                    <w:bottom w:val="single" w:color="000000" w:sz="8" w:space="0"/>
                    <w:right w:val="single" w:color="000000" w:sz="8" w:space="0"/>
                  </w:tcBorders>
                  <w:noWrap w:val="0"/>
                  <w:vAlign w:val="center"/>
                </w:tcPr>
                <w:p w14:paraId="1C0BC6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WS</w:t>
                  </w:r>
                </w:p>
              </w:tc>
              <w:tc>
                <w:tcPr>
                  <w:tcW w:w="945" w:type="dxa"/>
                  <w:tcBorders>
                    <w:top w:val="nil"/>
                    <w:left w:val="single" w:color="000000" w:sz="8" w:space="0"/>
                    <w:bottom w:val="single" w:color="000000" w:sz="8" w:space="0"/>
                    <w:right w:val="single" w:color="000000" w:sz="8" w:space="0"/>
                  </w:tcBorders>
                  <w:noWrap w:val="0"/>
                  <w:vAlign w:val="center"/>
                </w:tcPr>
                <w:p w14:paraId="490A59A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264</w:t>
                  </w:r>
                </w:p>
              </w:tc>
            </w:tr>
            <w:tr w14:paraId="29ABD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04" w:type="dxa"/>
                  <w:vMerge w:val="continue"/>
                  <w:tcBorders>
                    <w:top w:val="nil"/>
                    <w:left w:val="single" w:color="000000" w:sz="8" w:space="0"/>
                    <w:bottom w:val="single" w:color="000000" w:sz="8" w:space="0"/>
                    <w:right w:val="single" w:color="000000" w:sz="8" w:space="0"/>
                  </w:tcBorders>
                  <w:noWrap w:val="0"/>
                  <w:vAlign w:val="center"/>
                </w:tcPr>
                <w:p w14:paraId="25B2A4F8">
                  <w:pPr>
                    <w:jc w:val="center"/>
                    <w:rPr>
                      <w:rFonts w:hint="default" w:ascii="Times New Roman" w:hAnsi="Times New Roman" w:eastAsia="宋体" w:cs="Times New Roman"/>
                      <w:i w:val="0"/>
                      <w:iCs w:val="0"/>
                      <w:color w:val="auto"/>
                      <w:sz w:val="21"/>
                      <w:szCs w:val="21"/>
                      <w:u w:val="none"/>
                    </w:rPr>
                  </w:pPr>
                </w:p>
              </w:tc>
              <w:tc>
                <w:tcPr>
                  <w:tcW w:w="1185" w:type="dxa"/>
                  <w:tcBorders>
                    <w:top w:val="nil"/>
                    <w:left w:val="single" w:color="000000" w:sz="8" w:space="0"/>
                    <w:bottom w:val="single" w:color="000000" w:sz="8" w:space="0"/>
                    <w:right w:val="single" w:color="000000" w:sz="8" w:space="0"/>
                  </w:tcBorders>
                  <w:noWrap w:val="0"/>
                  <w:vAlign w:val="center"/>
                </w:tcPr>
                <w:p w14:paraId="26727C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王家院子住户</w:t>
                  </w:r>
                </w:p>
              </w:tc>
              <w:tc>
                <w:tcPr>
                  <w:tcW w:w="945" w:type="dxa"/>
                  <w:tcBorders>
                    <w:top w:val="nil"/>
                    <w:left w:val="single" w:color="000000" w:sz="8" w:space="0"/>
                    <w:bottom w:val="single" w:color="000000" w:sz="8" w:space="0"/>
                    <w:right w:val="single" w:color="000000" w:sz="8" w:space="0"/>
                  </w:tcBorders>
                  <w:noWrap w:val="0"/>
                  <w:vAlign w:val="center"/>
                </w:tcPr>
                <w:p w14:paraId="2EB8A69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-420</w:t>
                  </w:r>
                </w:p>
              </w:tc>
              <w:tc>
                <w:tcPr>
                  <w:tcW w:w="774" w:type="dxa"/>
                  <w:tcBorders>
                    <w:top w:val="nil"/>
                    <w:left w:val="single" w:color="000000" w:sz="8" w:space="0"/>
                    <w:bottom w:val="single" w:color="000000" w:sz="8" w:space="0"/>
                    <w:right w:val="single" w:color="000000" w:sz="8" w:space="0"/>
                  </w:tcBorders>
                  <w:noWrap w:val="0"/>
                  <w:vAlign w:val="center"/>
                </w:tcPr>
                <w:p w14:paraId="7939AED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-322</w:t>
                  </w:r>
                </w:p>
              </w:tc>
              <w:tc>
                <w:tcPr>
                  <w:tcW w:w="1116" w:type="dxa"/>
                  <w:tcBorders>
                    <w:top w:val="nil"/>
                    <w:left w:val="single" w:color="000000" w:sz="8" w:space="0"/>
                    <w:bottom w:val="single" w:color="000000" w:sz="8" w:space="0"/>
                    <w:right w:val="single" w:color="000000" w:sz="8" w:space="0"/>
                  </w:tcBorders>
                  <w:noWrap w:val="0"/>
                  <w:vAlign w:val="center"/>
                </w:tcPr>
                <w:p w14:paraId="6A2169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王家院子住户</w:t>
                  </w:r>
                </w:p>
              </w:tc>
              <w:tc>
                <w:tcPr>
                  <w:tcW w:w="957" w:type="dxa"/>
                  <w:tcBorders>
                    <w:top w:val="nil"/>
                    <w:left w:val="single" w:color="000000" w:sz="8" w:space="0"/>
                    <w:bottom w:val="single" w:color="000000" w:sz="8" w:space="0"/>
                    <w:right w:val="single" w:color="000000" w:sz="8" w:space="0"/>
                  </w:tcBorders>
                  <w:noWrap w:val="0"/>
                  <w:vAlign w:val="center"/>
                </w:tcPr>
                <w:p w14:paraId="1B195DD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约3户，8人</w:t>
                  </w:r>
                </w:p>
              </w:tc>
              <w:tc>
                <w:tcPr>
                  <w:tcW w:w="933" w:type="dxa"/>
                  <w:vMerge w:val="continue"/>
                  <w:tcBorders>
                    <w:top w:val="nil"/>
                    <w:left w:val="single" w:color="000000" w:sz="8" w:space="0"/>
                    <w:bottom w:val="single" w:color="000000" w:sz="8" w:space="0"/>
                    <w:right w:val="single" w:color="000000" w:sz="8" w:space="0"/>
                  </w:tcBorders>
                  <w:noWrap w:val="0"/>
                  <w:vAlign w:val="center"/>
                </w:tcPr>
                <w:p w14:paraId="78E73324">
                  <w:pPr>
                    <w:jc w:val="center"/>
                    <w:rPr>
                      <w:rFonts w:hint="default" w:ascii="Times New Roman" w:hAnsi="Times New Roman" w:eastAsia="宋体" w:cs="Times New Roman"/>
                      <w:i w:val="0"/>
                      <w:iCs w:val="0"/>
                      <w:color w:val="auto"/>
                      <w:sz w:val="21"/>
                      <w:szCs w:val="21"/>
                      <w:u w:val="none"/>
                    </w:rPr>
                  </w:pPr>
                </w:p>
              </w:tc>
              <w:tc>
                <w:tcPr>
                  <w:tcW w:w="945" w:type="dxa"/>
                  <w:tcBorders>
                    <w:top w:val="nil"/>
                    <w:left w:val="single" w:color="000000" w:sz="8" w:space="0"/>
                    <w:bottom w:val="single" w:color="000000" w:sz="8" w:space="0"/>
                    <w:right w:val="single" w:color="000000" w:sz="8" w:space="0"/>
                  </w:tcBorders>
                  <w:noWrap w:val="0"/>
                  <w:vAlign w:val="center"/>
                </w:tcPr>
                <w:p w14:paraId="7A9A5D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WS</w:t>
                  </w:r>
                </w:p>
              </w:tc>
              <w:tc>
                <w:tcPr>
                  <w:tcW w:w="945" w:type="dxa"/>
                  <w:tcBorders>
                    <w:top w:val="nil"/>
                    <w:left w:val="single" w:color="000000" w:sz="8" w:space="0"/>
                    <w:bottom w:val="single" w:color="000000" w:sz="8" w:space="0"/>
                    <w:right w:val="single" w:color="000000" w:sz="8" w:space="0"/>
                  </w:tcBorders>
                  <w:noWrap w:val="0"/>
                  <w:vAlign w:val="center"/>
                </w:tcPr>
                <w:p w14:paraId="5F741D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494</w:t>
                  </w:r>
                </w:p>
              </w:tc>
            </w:tr>
            <w:tr w14:paraId="3C648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04" w:type="dxa"/>
                  <w:vMerge w:val="continue"/>
                  <w:tcBorders>
                    <w:top w:val="nil"/>
                    <w:left w:val="single" w:color="000000" w:sz="8" w:space="0"/>
                    <w:bottom w:val="single" w:color="000000" w:sz="8" w:space="0"/>
                    <w:right w:val="single" w:color="000000" w:sz="8" w:space="0"/>
                  </w:tcBorders>
                  <w:noWrap w:val="0"/>
                  <w:vAlign w:val="center"/>
                </w:tcPr>
                <w:p w14:paraId="1D875DB3">
                  <w:pPr>
                    <w:jc w:val="center"/>
                    <w:rPr>
                      <w:rFonts w:hint="default" w:ascii="Times New Roman" w:hAnsi="Times New Roman" w:eastAsia="宋体" w:cs="Times New Roman"/>
                      <w:i w:val="0"/>
                      <w:iCs w:val="0"/>
                      <w:color w:val="auto"/>
                      <w:sz w:val="21"/>
                      <w:szCs w:val="21"/>
                      <w:u w:val="none"/>
                    </w:rPr>
                  </w:pPr>
                </w:p>
              </w:tc>
              <w:tc>
                <w:tcPr>
                  <w:tcW w:w="1185" w:type="dxa"/>
                  <w:tcBorders>
                    <w:top w:val="nil"/>
                    <w:left w:val="single" w:color="000000" w:sz="8" w:space="0"/>
                    <w:bottom w:val="single" w:color="000000" w:sz="8" w:space="0"/>
                    <w:right w:val="single" w:color="000000" w:sz="8" w:space="0"/>
                  </w:tcBorders>
                  <w:noWrap w:val="0"/>
                  <w:vAlign w:val="center"/>
                </w:tcPr>
                <w:p w14:paraId="303923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何家院子住户</w:t>
                  </w:r>
                </w:p>
              </w:tc>
              <w:tc>
                <w:tcPr>
                  <w:tcW w:w="945" w:type="dxa"/>
                  <w:tcBorders>
                    <w:top w:val="nil"/>
                    <w:left w:val="single" w:color="000000" w:sz="8" w:space="0"/>
                    <w:bottom w:val="single" w:color="000000" w:sz="8" w:space="0"/>
                    <w:right w:val="single" w:color="000000" w:sz="8" w:space="0"/>
                  </w:tcBorders>
                  <w:noWrap w:val="0"/>
                  <w:vAlign w:val="center"/>
                </w:tcPr>
                <w:p w14:paraId="52ECC1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774" w:type="dxa"/>
                  <w:tcBorders>
                    <w:top w:val="nil"/>
                    <w:left w:val="single" w:color="000000" w:sz="8" w:space="0"/>
                    <w:bottom w:val="single" w:color="000000" w:sz="8" w:space="0"/>
                    <w:right w:val="single" w:color="000000" w:sz="8" w:space="0"/>
                  </w:tcBorders>
                  <w:noWrap w:val="0"/>
                  <w:vAlign w:val="center"/>
                </w:tcPr>
                <w:p w14:paraId="6C2C5B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-413</w:t>
                  </w:r>
                </w:p>
              </w:tc>
              <w:tc>
                <w:tcPr>
                  <w:tcW w:w="1116" w:type="dxa"/>
                  <w:tcBorders>
                    <w:top w:val="nil"/>
                    <w:left w:val="single" w:color="000000" w:sz="8" w:space="0"/>
                    <w:bottom w:val="single" w:color="000000" w:sz="8" w:space="0"/>
                    <w:right w:val="single" w:color="000000" w:sz="8" w:space="0"/>
                  </w:tcBorders>
                  <w:noWrap w:val="0"/>
                  <w:vAlign w:val="center"/>
                </w:tcPr>
                <w:p w14:paraId="1D5C7D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何家院子住户</w:t>
                  </w:r>
                </w:p>
              </w:tc>
              <w:tc>
                <w:tcPr>
                  <w:tcW w:w="957" w:type="dxa"/>
                  <w:tcBorders>
                    <w:top w:val="nil"/>
                    <w:left w:val="single" w:color="000000" w:sz="8" w:space="0"/>
                    <w:bottom w:val="single" w:color="000000" w:sz="8" w:space="0"/>
                    <w:right w:val="single" w:color="000000" w:sz="8" w:space="0"/>
                  </w:tcBorders>
                  <w:noWrap w:val="0"/>
                  <w:vAlign w:val="center"/>
                </w:tcPr>
                <w:p w14:paraId="247A83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约2户，6人</w:t>
                  </w:r>
                </w:p>
              </w:tc>
              <w:tc>
                <w:tcPr>
                  <w:tcW w:w="933" w:type="dxa"/>
                  <w:vMerge w:val="continue"/>
                  <w:tcBorders>
                    <w:top w:val="nil"/>
                    <w:left w:val="single" w:color="000000" w:sz="8" w:space="0"/>
                    <w:bottom w:val="single" w:color="000000" w:sz="8" w:space="0"/>
                    <w:right w:val="single" w:color="000000" w:sz="8" w:space="0"/>
                  </w:tcBorders>
                  <w:noWrap w:val="0"/>
                  <w:vAlign w:val="center"/>
                </w:tcPr>
                <w:p w14:paraId="453C5025">
                  <w:pPr>
                    <w:jc w:val="center"/>
                    <w:rPr>
                      <w:rFonts w:hint="default" w:ascii="Times New Roman" w:hAnsi="Times New Roman" w:eastAsia="宋体" w:cs="Times New Roman"/>
                      <w:i w:val="0"/>
                      <w:iCs w:val="0"/>
                      <w:color w:val="auto"/>
                      <w:sz w:val="21"/>
                      <w:szCs w:val="21"/>
                      <w:u w:val="none"/>
                    </w:rPr>
                  </w:pPr>
                </w:p>
              </w:tc>
              <w:tc>
                <w:tcPr>
                  <w:tcW w:w="945" w:type="dxa"/>
                  <w:tcBorders>
                    <w:top w:val="nil"/>
                    <w:left w:val="single" w:color="000000" w:sz="8" w:space="0"/>
                    <w:bottom w:val="single" w:color="000000" w:sz="8" w:space="0"/>
                    <w:right w:val="single" w:color="000000" w:sz="8" w:space="0"/>
                  </w:tcBorders>
                  <w:noWrap w:val="0"/>
                  <w:vAlign w:val="center"/>
                </w:tcPr>
                <w:p w14:paraId="23D478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w:t>
                  </w:r>
                </w:p>
              </w:tc>
              <w:tc>
                <w:tcPr>
                  <w:tcW w:w="945" w:type="dxa"/>
                  <w:tcBorders>
                    <w:top w:val="nil"/>
                    <w:left w:val="single" w:color="000000" w:sz="8" w:space="0"/>
                    <w:bottom w:val="single" w:color="000000" w:sz="8" w:space="0"/>
                    <w:right w:val="single" w:color="000000" w:sz="8" w:space="0"/>
                  </w:tcBorders>
                  <w:noWrap w:val="0"/>
                  <w:vAlign w:val="center"/>
                </w:tcPr>
                <w:p w14:paraId="0424C38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367</w:t>
                  </w:r>
                </w:p>
              </w:tc>
            </w:tr>
            <w:tr w14:paraId="29097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704" w:type="dxa"/>
                  <w:vMerge w:val="continue"/>
                  <w:tcBorders>
                    <w:top w:val="nil"/>
                    <w:left w:val="single" w:color="000000" w:sz="8" w:space="0"/>
                    <w:bottom w:val="single" w:color="000000" w:sz="8" w:space="0"/>
                    <w:right w:val="single" w:color="000000" w:sz="8" w:space="0"/>
                  </w:tcBorders>
                  <w:noWrap w:val="0"/>
                  <w:vAlign w:val="center"/>
                </w:tcPr>
                <w:p w14:paraId="316FCC81">
                  <w:pPr>
                    <w:jc w:val="center"/>
                    <w:rPr>
                      <w:rFonts w:hint="default" w:ascii="Times New Roman" w:hAnsi="Times New Roman" w:eastAsia="宋体" w:cs="Times New Roman"/>
                      <w:i w:val="0"/>
                      <w:iCs w:val="0"/>
                      <w:color w:val="auto"/>
                      <w:sz w:val="21"/>
                      <w:szCs w:val="21"/>
                      <w:u w:val="none"/>
                    </w:rPr>
                  </w:pPr>
                </w:p>
              </w:tc>
              <w:tc>
                <w:tcPr>
                  <w:tcW w:w="1185" w:type="dxa"/>
                  <w:tcBorders>
                    <w:top w:val="nil"/>
                    <w:left w:val="single" w:color="000000" w:sz="8" w:space="0"/>
                    <w:bottom w:val="single" w:color="000000" w:sz="8" w:space="0"/>
                    <w:right w:val="single" w:color="000000" w:sz="8" w:space="0"/>
                  </w:tcBorders>
                  <w:noWrap w:val="0"/>
                  <w:vAlign w:val="center"/>
                </w:tcPr>
                <w:p w14:paraId="6754DD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大竹县康仁医院</w:t>
                  </w:r>
                </w:p>
              </w:tc>
              <w:tc>
                <w:tcPr>
                  <w:tcW w:w="945" w:type="dxa"/>
                  <w:tcBorders>
                    <w:top w:val="nil"/>
                    <w:left w:val="single" w:color="000000" w:sz="8" w:space="0"/>
                    <w:bottom w:val="single" w:color="000000" w:sz="8" w:space="0"/>
                    <w:right w:val="single" w:color="000000" w:sz="8" w:space="0"/>
                  </w:tcBorders>
                  <w:noWrap w:val="0"/>
                  <w:vAlign w:val="center"/>
                </w:tcPr>
                <w:p w14:paraId="74829A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255</w:t>
                  </w:r>
                </w:p>
              </w:tc>
              <w:tc>
                <w:tcPr>
                  <w:tcW w:w="774" w:type="dxa"/>
                  <w:tcBorders>
                    <w:top w:val="nil"/>
                    <w:left w:val="single" w:color="000000" w:sz="8" w:space="0"/>
                    <w:bottom w:val="single" w:color="000000" w:sz="8" w:space="0"/>
                    <w:right w:val="single" w:color="000000" w:sz="8" w:space="0"/>
                  </w:tcBorders>
                  <w:noWrap w:val="0"/>
                  <w:vAlign w:val="center"/>
                </w:tcPr>
                <w:p w14:paraId="5CDAA61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310</w:t>
                  </w:r>
                </w:p>
              </w:tc>
              <w:tc>
                <w:tcPr>
                  <w:tcW w:w="1116" w:type="dxa"/>
                  <w:tcBorders>
                    <w:top w:val="nil"/>
                    <w:left w:val="single" w:color="000000" w:sz="8" w:space="0"/>
                    <w:bottom w:val="single" w:color="000000" w:sz="8" w:space="0"/>
                    <w:right w:val="single" w:color="000000" w:sz="8" w:space="0"/>
                  </w:tcBorders>
                  <w:noWrap w:val="0"/>
                  <w:vAlign w:val="center"/>
                </w:tcPr>
                <w:p w14:paraId="34BD35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医院</w:t>
                  </w:r>
                </w:p>
              </w:tc>
              <w:tc>
                <w:tcPr>
                  <w:tcW w:w="957" w:type="dxa"/>
                  <w:tcBorders>
                    <w:top w:val="nil"/>
                    <w:left w:val="single" w:color="000000" w:sz="8" w:space="0"/>
                    <w:bottom w:val="single" w:color="000000" w:sz="8" w:space="0"/>
                    <w:right w:val="single" w:color="000000" w:sz="8" w:space="0"/>
                  </w:tcBorders>
                  <w:noWrap w:val="0"/>
                  <w:vAlign w:val="center"/>
                </w:tcPr>
                <w:p w14:paraId="3AC66E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床位70张</w:t>
                  </w:r>
                </w:p>
              </w:tc>
              <w:tc>
                <w:tcPr>
                  <w:tcW w:w="933" w:type="dxa"/>
                  <w:vMerge w:val="continue"/>
                  <w:tcBorders>
                    <w:top w:val="nil"/>
                    <w:left w:val="single" w:color="000000" w:sz="8" w:space="0"/>
                    <w:bottom w:val="single" w:color="000000" w:sz="8" w:space="0"/>
                    <w:right w:val="single" w:color="000000" w:sz="8" w:space="0"/>
                  </w:tcBorders>
                  <w:noWrap w:val="0"/>
                  <w:vAlign w:val="center"/>
                </w:tcPr>
                <w:p w14:paraId="03490A1E">
                  <w:pPr>
                    <w:jc w:val="center"/>
                    <w:rPr>
                      <w:rFonts w:hint="default" w:ascii="Times New Roman" w:hAnsi="Times New Roman" w:eastAsia="宋体" w:cs="Times New Roman"/>
                      <w:i w:val="0"/>
                      <w:iCs w:val="0"/>
                      <w:color w:val="auto"/>
                      <w:sz w:val="21"/>
                      <w:szCs w:val="21"/>
                      <w:u w:val="none"/>
                    </w:rPr>
                  </w:pPr>
                </w:p>
              </w:tc>
              <w:tc>
                <w:tcPr>
                  <w:tcW w:w="945" w:type="dxa"/>
                  <w:tcBorders>
                    <w:top w:val="nil"/>
                    <w:left w:val="single" w:color="000000" w:sz="8" w:space="0"/>
                    <w:bottom w:val="single" w:color="000000" w:sz="8" w:space="0"/>
                    <w:right w:val="single" w:color="000000" w:sz="8" w:space="0"/>
                  </w:tcBorders>
                  <w:noWrap w:val="0"/>
                  <w:vAlign w:val="center"/>
                </w:tcPr>
                <w:p w14:paraId="648768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EN</w:t>
                  </w:r>
                </w:p>
              </w:tc>
              <w:tc>
                <w:tcPr>
                  <w:tcW w:w="945" w:type="dxa"/>
                  <w:tcBorders>
                    <w:top w:val="nil"/>
                    <w:left w:val="single" w:color="000000" w:sz="8" w:space="0"/>
                    <w:bottom w:val="single" w:color="000000" w:sz="8" w:space="0"/>
                    <w:right w:val="single" w:color="000000" w:sz="8" w:space="0"/>
                  </w:tcBorders>
                  <w:noWrap w:val="0"/>
                  <w:vAlign w:val="center"/>
                </w:tcPr>
                <w:p w14:paraId="35EC09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320</w:t>
                  </w:r>
                </w:p>
              </w:tc>
            </w:tr>
            <w:tr w14:paraId="0BBEC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704" w:type="dxa"/>
                  <w:vMerge w:val="continue"/>
                  <w:tcBorders>
                    <w:top w:val="nil"/>
                    <w:left w:val="single" w:color="000000" w:sz="8" w:space="0"/>
                    <w:bottom w:val="single" w:color="000000" w:sz="8" w:space="0"/>
                    <w:right w:val="single" w:color="000000" w:sz="8" w:space="0"/>
                  </w:tcBorders>
                  <w:noWrap w:val="0"/>
                  <w:vAlign w:val="center"/>
                </w:tcPr>
                <w:p w14:paraId="0D2DC3CB">
                  <w:pPr>
                    <w:jc w:val="center"/>
                    <w:rPr>
                      <w:rFonts w:hint="default" w:ascii="Times New Roman" w:hAnsi="Times New Roman" w:eastAsia="宋体" w:cs="Times New Roman"/>
                      <w:i w:val="0"/>
                      <w:iCs w:val="0"/>
                      <w:color w:val="auto"/>
                      <w:sz w:val="21"/>
                      <w:szCs w:val="21"/>
                      <w:u w:val="none"/>
                    </w:rPr>
                  </w:pPr>
                </w:p>
              </w:tc>
              <w:tc>
                <w:tcPr>
                  <w:tcW w:w="1185" w:type="dxa"/>
                  <w:tcBorders>
                    <w:top w:val="nil"/>
                    <w:left w:val="single" w:color="000000" w:sz="8" w:space="0"/>
                    <w:bottom w:val="single" w:color="000000" w:sz="8" w:space="0"/>
                    <w:right w:val="single" w:color="000000" w:sz="8" w:space="0"/>
                  </w:tcBorders>
                  <w:noWrap w:val="0"/>
                  <w:vAlign w:val="center"/>
                </w:tcPr>
                <w:p w14:paraId="4AE5F0B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金龙社区党群服务中心</w:t>
                  </w:r>
                </w:p>
              </w:tc>
              <w:tc>
                <w:tcPr>
                  <w:tcW w:w="945" w:type="dxa"/>
                  <w:tcBorders>
                    <w:top w:val="nil"/>
                    <w:left w:val="single" w:color="000000" w:sz="8" w:space="0"/>
                    <w:bottom w:val="single" w:color="000000" w:sz="8" w:space="0"/>
                    <w:right w:val="single" w:color="000000" w:sz="8" w:space="0"/>
                  </w:tcBorders>
                  <w:noWrap w:val="0"/>
                  <w:vAlign w:val="center"/>
                </w:tcPr>
                <w:p w14:paraId="0747BA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250</w:t>
                  </w:r>
                </w:p>
              </w:tc>
              <w:tc>
                <w:tcPr>
                  <w:tcW w:w="774" w:type="dxa"/>
                  <w:tcBorders>
                    <w:top w:val="nil"/>
                    <w:left w:val="single" w:color="000000" w:sz="8" w:space="0"/>
                    <w:bottom w:val="single" w:color="000000" w:sz="8" w:space="0"/>
                    <w:right w:val="single" w:color="000000" w:sz="8" w:space="0"/>
                  </w:tcBorders>
                  <w:noWrap w:val="0"/>
                  <w:vAlign w:val="center"/>
                </w:tcPr>
                <w:p w14:paraId="49B5E7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1116" w:type="dxa"/>
                  <w:tcBorders>
                    <w:top w:val="nil"/>
                    <w:left w:val="single" w:color="000000" w:sz="8" w:space="0"/>
                    <w:bottom w:val="single" w:color="000000" w:sz="8" w:space="0"/>
                    <w:right w:val="single" w:color="000000" w:sz="8" w:space="0"/>
                  </w:tcBorders>
                  <w:noWrap w:val="0"/>
                  <w:vAlign w:val="center"/>
                </w:tcPr>
                <w:p w14:paraId="363253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金龙社区党群服务中心</w:t>
                  </w:r>
                </w:p>
              </w:tc>
              <w:tc>
                <w:tcPr>
                  <w:tcW w:w="957" w:type="dxa"/>
                  <w:tcBorders>
                    <w:top w:val="nil"/>
                    <w:left w:val="single" w:color="000000" w:sz="8" w:space="0"/>
                    <w:bottom w:val="single" w:color="000000" w:sz="8" w:space="0"/>
                    <w:right w:val="single" w:color="000000" w:sz="8" w:space="0"/>
                  </w:tcBorders>
                  <w:noWrap w:val="0"/>
                  <w:vAlign w:val="center"/>
                </w:tcPr>
                <w:p w14:paraId="6EC6C8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空置</w:t>
                  </w:r>
                </w:p>
              </w:tc>
              <w:tc>
                <w:tcPr>
                  <w:tcW w:w="933" w:type="dxa"/>
                  <w:vMerge w:val="continue"/>
                  <w:tcBorders>
                    <w:top w:val="nil"/>
                    <w:left w:val="single" w:color="000000" w:sz="8" w:space="0"/>
                    <w:bottom w:val="single" w:color="000000" w:sz="8" w:space="0"/>
                    <w:right w:val="single" w:color="000000" w:sz="8" w:space="0"/>
                  </w:tcBorders>
                  <w:noWrap w:val="0"/>
                  <w:vAlign w:val="center"/>
                </w:tcPr>
                <w:p w14:paraId="22C752A9">
                  <w:pPr>
                    <w:jc w:val="center"/>
                    <w:rPr>
                      <w:rFonts w:hint="default" w:ascii="Times New Roman" w:hAnsi="Times New Roman" w:eastAsia="宋体" w:cs="Times New Roman"/>
                      <w:i w:val="0"/>
                      <w:iCs w:val="0"/>
                      <w:color w:val="auto"/>
                      <w:sz w:val="21"/>
                      <w:szCs w:val="21"/>
                      <w:u w:val="none"/>
                    </w:rPr>
                  </w:pPr>
                </w:p>
              </w:tc>
              <w:tc>
                <w:tcPr>
                  <w:tcW w:w="945" w:type="dxa"/>
                  <w:tcBorders>
                    <w:top w:val="nil"/>
                    <w:left w:val="single" w:color="000000" w:sz="8" w:space="0"/>
                    <w:bottom w:val="single" w:color="000000" w:sz="8" w:space="0"/>
                    <w:right w:val="single" w:color="000000" w:sz="8" w:space="0"/>
                  </w:tcBorders>
                  <w:noWrap w:val="0"/>
                  <w:vAlign w:val="center"/>
                </w:tcPr>
                <w:p w14:paraId="62C8D5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ES</w:t>
                  </w:r>
                </w:p>
              </w:tc>
              <w:tc>
                <w:tcPr>
                  <w:tcW w:w="945" w:type="dxa"/>
                  <w:tcBorders>
                    <w:top w:val="nil"/>
                    <w:left w:val="single" w:color="000000" w:sz="8" w:space="0"/>
                    <w:bottom w:val="single" w:color="000000" w:sz="8" w:space="0"/>
                    <w:right w:val="single" w:color="000000" w:sz="8" w:space="0"/>
                  </w:tcBorders>
                  <w:noWrap w:val="0"/>
                  <w:vAlign w:val="center"/>
                </w:tcPr>
                <w:p w14:paraId="3FBFC1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215</w:t>
                  </w:r>
                </w:p>
              </w:tc>
            </w:tr>
            <w:tr w14:paraId="3C6D2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04" w:type="dxa"/>
                  <w:tcBorders>
                    <w:top w:val="nil"/>
                    <w:left w:val="single" w:color="000000" w:sz="8" w:space="0"/>
                    <w:bottom w:val="single" w:color="000000" w:sz="8" w:space="0"/>
                    <w:right w:val="single" w:color="000000" w:sz="8" w:space="0"/>
                  </w:tcBorders>
                  <w:noWrap w:val="0"/>
                  <w:vAlign w:val="center"/>
                </w:tcPr>
                <w:p w14:paraId="201AA5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地表水</w:t>
                  </w:r>
                </w:p>
              </w:tc>
              <w:tc>
                <w:tcPr>
                  <w:tcW w:w="4977" w:type="dxa"/>
                  <w:gridSpan w:val="5"/>
                  <w:tcBorders>
                    <w:top w:val="nil"/>
                    <w:left w:val="single" w:color="000000" w:sz="8" w:space="0"/>
                    <w:bottom w:val="single" w:color="000000" w:sz="8" w:space="0"/>
                    <w:right w:val="single" w:color="000000" w:sz="8" w:space="0"/>
                  </w:tcBorders>
                  <w:noWrap w:val="0"/>
                  <w:vAlign w:val="center"/>
                </w:tcPr>
                <w:p w14:paraId="6FB5F6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东柳河</w:t>
                  </w:r>
                </w:p>
              </w:tc>
              <w:tc>
                <w:tcPr>
                  <w:tcW w:w="933" w:type="dxa"/>
                  <w:tcBorders>
                    <w:top w:val="nil"/>
                    <w:left w:val="single" w:color="000000" w:sz="8" w:space="0"/>
                    <w:bottom w:val="single" w:color="000000" w:sz="8" w:space="0"/>
                    <w:right w:val="single" w:color="000000" w:sz="8" w:space="0"/>
                  </w:tcBorders>
                  <w:noWrap w:val="0"/>
                  <w:vAlign w:val="center"/>
                </w:tcPr>
                <w:p w14:paraId="1709C0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Ⅲ类水域功能</w:t>
                  </w:r>
                </w:p>
              </w:tc>
              <w:tc>
                <w:tcPr>
                  <w:tcW w:w="945" w:type="dxa"/>
                  <w:tcBorders>
                    <w:top w:val="nil"/>
                    <w:left w:val="single" w:color="000000" w:sz="8" w:space="0"/>
                    <w:bottom w:val="single" w:color="000000" w:sz="8" w:space="0"/>
                    <w:right w:val="single" w:color="000000" w:sz="8" w:space="0"/>
                  </w:tcBorders>
                  <w:noWrap w:val="0"/>
                  <w:vAlign w:val="center"/>
                </w:tcPr>
                <w:p w14:paraId="6B6EFE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E</w:t>
                  </w:r>
                </w:p>
              </w:tc>
              <w:tc>
                <w:tcPr>
                  <w:tcW w:w="945" w:type="dxa"/>
                  <w:tcBorders>
                    <w:top w:val="nil"/>
                    <w:left w:val="single" w:color="000000" w:sz="8" w:space="0"/>
                    <w:bottom w:val="single" w:color="000000" w:sz="8" w:space="0"/>
                    <w:right w:val="single" w:color="000000" w:sz="8" w:space="0"/>
                  </w:tcBorders>
                  <w:noWrap w:val="0"/>
                  <w:vAlign w:val="center"/>
                </w:tcPr>
                <w:p w14:paraId="54C226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710</w:t>
                  </w:r>
                </w:p>
              </w:tc>
            </w:tr>
            <w:tr w14:paraId="38D5E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04" w:type="dxa"/>
                  <w:tcBorders>
                    <w:top w:val="nil"/>
                    <w:left w:val="single" w:color="000000" w:sz="8" w:space="0"/>
                    <w:bottom w:val="single" w:color="000000" w:sz="8" w:space="0"/>
                    <w:right w:val="single" w:color="000000" w:sz="8" w:space="0"/>
                  </w:tcBorders>
                  <w:noWrap w:val="0"/>
                  <w:vAlign w:val="center"/>
                </w:tcPr>
                <w:p w14:paraId="3F967A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声环境</w:t>
                  </w:r>
                </w:p>
              </w:tc>
              <w:tc>
                <w:tcPr>
                  <w:tcW w:w="4977" w:type="dxa"/>
                  <w:gridSpan w:val="5"/>
                  <w:tcBorders>
                    <w:top w:val="nil"/>
                    <w:left w:val="single" w:color="000000" w:sz="8" w:space="0"/>
                    <w:bottom w:val="single" w:color="000000" w:sz="8" w:space="0"/>
                    <w:right w:val="single" w:color="000000" w:sz="8" w:space="0"/>
                  </w:tcBorders>
                  <w:noWrap w:val="0"/>
                  <w:vAlign w:val="center"/>
                </w:tcPr>
                <w:p w14:paraId="162F06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本项目厂界50m范围内无居民点</w:t>
                  </w:r>
                </w:p>
              </w:tc>
              <w:tc>
                <w:tcPr>
                  <w:tcW w:w="933" w:type="dxa"/>
                  <w:tcBorders>
                    <w:top w:val="nil"/>
                    <w:left w:val="single" w:color="000000" w:sz="8" w:space="0"/>
                    <w:bottom w:val="single" w:color="000000" w:sz="8" w:space="0"/>
                    <w:right w:val="single" w:color="000000" w:sz="8" w:space="0"/>
                  </w:tcBorders>
                  <w:noWrap w:val="0"/>
                  <w:vAlign w:val="center"/>
                </w:tcPr>
                <w:p w14:paraId="4122A0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2类声环境功能区</w:t>
                  </w:r>
                </w:p>
              </w:tc>
              <w:tc>
                <w:tcPr>
                  <w:tcW w:w="945" w:type="dxa"/>
                  <w:tcBorders>
                    <w:top w:val="nil"/>
                    <w:left w:val="single" w:color="000000" w:sz="8" w:space="0"/>
                    <w:bottom w:val="single" w:color="000000" w:sz="8" w:space="0"/>
                    <w:right w:val="single" w:color="000000" w:sz="8" w:space="0"/>
                  </w:tcBorders>
                  <w:noWrap w:val="0"/>
                  <w:vAlign w:val="center"/>
                </w:tcPr>
                <w:p w14:paraId="42DF8FE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45" w:type="dxa"/>
                  <w:tcBorders>
                    <w:top w:val="nil"/>
                    <w:left w:val="single" w:color="000000" w:sz="8" w:space="0"/>
                    <w:bottom w:val="single" w:color="000000" w:sz="8" w:space="0"/>
                    <w:right w:val="single" w:color="000000" w:sz="8" w:space="0"/>
                  </w:tcBorders>
                  <w:noWrap w:val="0"/>
                  <w:vAlign w:val="center"/>
                </w:tcPr>
                <w:p w14:paraId="6F83A8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52380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04" w:type="dxa"/>
                  <w:tcBorders>
                    <w:top w:val="nil"/>
                    <w:left w:val="single" w:color="000000" w:sz="8" w:space="0"/>
                    <w:bottom w:val="single" w:color="000000" w:sz="8" w:space="0"/>
                    <w:right w:val="single" w:color="000000" w:sz="8" w:space="0"/>
                  </w:tcBorders>
                  <w:noWrap w:val="0"/>
                  <w:vAlign w:val="center"/>
                </w:tcPr>
                <w:p w14:paraId="1FE06DB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地下水环境</w:t>
                  </w:r>
                </w:p>
              </w:tc>
              <w:tc>
                <w:tcPr>
                  <w:tcW w:w="7800" w:type="dxa"/>
                  <w:gridSpan w:val="8"/>
                  <w:tcBorders>
                    <w:top w:val="nil"/>
                    <w:left w:val="single" w:color="000000" w:sz="8" w:space="0"/>
                    <w:bottom w:val="single" w:color="000000" w:sz="8" w:space="0"/>
                    <w:right w:val="single" w:color="000000" w:sz="8" w:space="0"/>
                  </w:tcBorders>
                  <w:noWrap w:val="0"/>
                  <w:vAlign w:val="center"/>
                </w:tcPr>
                <w:p w14:paraId="6D19AD71">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本项目厂界外500m范围内无地下水集中式饮用水水源和热水、矿泉水、温泉等特殊地下水资源。</w:t>
                  </w:r>
                </w:p>
              </w:tc>
            </w:tr>
            <w:tr w14:paraId="2FA20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04" w:type="dxa"/>
                  <w:tcBorders>
                    <w:top w:val="nil"/>
                    <w:left w:val="single" w:color="000000" w:sz="8" w:space="0"/>
                    <w:bottom w:val="single" w:color="000000" w:sz="8" w:space="0"/>
                    <w:right w:val="single" w:color="000000" w:sz="8" w:space="0"/>
                  </w:tcBorders>
                  <w:noWrap w:val="0"/>
                  <w:vAlign w:val="center"/>
                </w:tcPr>
                <w:p w14:paraId="4F3B99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生态环境</w:t>
                  </w:r>
                </w:p>
              </w:tc>
              <w:tc>
                <w:tcPr>
                  <w:tcW w:w="7800" w:type="dxa"/>
                  <w:gridSpan w:val="8"/>
                  <w:tcBorders>
                    <w:top w:val="nil"/>
                    <w:left w:val="single" w:color="000000" w:sz="8" w:space="0"/>
                    <w:bottom w:val="single" w:color="000000" w:sz="8" w:space="0"/>
                    <w:right w:val="single" w:color="000000" w:sz="8" w:space="0"/>
                  </w:tcBorders>
                  <w:noWrap w:val="0"/>
                  <w:vAlign w:val="center"/>
                </w:tcPr>
                <w:p w14:paraId="45909720">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根据现场调查，项目区域内不涉及自然保护区、森林公园及风景名胜区、生活饮用水水源保护区及其他需要特别保护的区域，区域内无国家保护的重点野生动植物，无名木古树及珍稀动植物等，无特殊文物保护单位。</w:t>
                  </w:r>
                </w:p>
              </w:tc>
            </w:tr>
            <w:tr w14:paraId="5561F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8504" w:type="dxa"/>
                  <w:gridSpan w:val="9"/>
                  <w:tcBorders>
                    <w:top w:val="nil"/>
                    <w:left w:val="single" w:color="000000" w:sz="8" w:space="0"/>
                    <w:bottom w:val="single" w:color="000000" w:sz="8" w:space="0"/>
                    <w:right w:val="single" w:color="000000" w:sz="8" w:space="0"/>
                  </w:tcBorders>
                  <w:noWrap w:val="0"/>
                  <w:vAlign w:val="center"/>
                </w:tcPr>
                <w:p w14:paraId="2310C206">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注：以项目厂址中央为坐标原点（107°14′38.861″，30°43′43.190″）。</w:t>
                  </w:r>
                </w:p>
              </w:tc>
            </w:tr>
          </w:tbl>
          <w:p w14:paraId="2D666D80">
            <w:pPr>
              <w:adjustRightInd w:val="0"/>
              <w:snapToGrid w:val="0"/>
              <w:jc w:val="both"/>
              <w:rPr>
                <w:rFonts w:hint="default" w:ascii="Times New Roman" w:hAnsi="Times New Roman" w:cs="Times New Roman"/>
                <w:color w:val="auto"/>
                <w:kern w:val="0"/>
                <w:szCs w:val="21"/>
                <w:highlight w:val="none"/>
              </w:rPr>
            </w:pPr>
          </w:p>
        </w:tc>
      </w:tr>
      <w:tr w14:paraId="735ED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9" w:type="dxa"/>
            <w:noWrap w:val="0"/>
            <w:tcMar>
              <w:left w:w="28" w:type="dxa"/>
              <w:right w:w="28" w:type="dxa"/>
            </w:tcMar>
            <w:vAlign w:val="center"/>
          </w:tcPr>
          <w:p w14:paraId="6FCC367A">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污染</w:t>
            </w:r>
          </w:p>
          <w:p w14:paraId="29D82E5F">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物排</w:t>
            </w:r>
          </w:p>
          <w:p w14:paraId="22497BE2">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放控</w:t>
            </w:r>
          </w:p>
          <w:p w14:paraId="5058907C">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制标</w:t>
            </w:r>
          </w:p>
          <w:p w14:paraId="768701D6">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准</w:t>
            </w:r>
          </w:p>
        </w:tc>
        <w:tc>
          <w:tcPr>
            <w:tcW w:w="8795" w:type="dxa"/>
            <w:noWrap w:val="0"/>
            <w:vAlign w:val="center"/>
          </w:tcPr>
          <w:p w14:paraId="15F355F6">
            <w:pPr>
              <w:keepNext w:val="0"/>
              <w:keepLines w:val="0"/>
              <w:pageBreakBefore w:val="0"/>
              <w:widowControl w:val="0"/>
              <w:kinsoku/>
              <w:wordWrap/>
              <w:overflowPunct/>
              <w:topLinePunct w:val="0"/>
              <w:autoSpaceDE/>
              <w:autoSpaceDN/>
              <w:bidi w:val="0"/>
              <w:adjustRightInd w:val="0"/>
              <w:snapToGrid w:val="0"/>
              <w:spacing w:line="312" w:lineRule="auto"/>
              <w:textAlignment w:val="auto"/>
              <w:rPr>
                <w:rFonts w:hint="default" w:ascii="Times New Roman" w:hAnsi="Times New Roman" w:cs="Times New Roman"/>
                <w:b/>
                <w:bCs/>
                <w:color w:val="auto"/>
                <w:sz w:val="24"/>
              </w:rPr>
            </w:pPr>
            <w:r>
              <w:rPr>
                <w:rFonts w:hint="default" w:ascii="Times New Roman" w:hAnsi="Times New Roman" w:cs="Times New Roman"/>
                <w:b/>
                <w:color w:val="auto"/>
                <w:kern w:val="0"/>
                <w:sz w:val="24"/>
              </w:rPr>
              <w:t>3.3污染物排放控制标准</w:t>
            </w:r>
          </w:p>
          <w:p w14:paraId="51A7813A">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3.3.1废气</w:t>
            </w:r>
            <w:r>
              <w:rPr>
                <w:rFonts w:hint="default" w:ascii="Times New Roman" w:hAnsi="Times New Roman" w:cs="Times New Roman"/>
                <w:b/>
                <w:bCs/>
                <w:color w:val="auto"/>
                <w:sz w:val="24"/>
                <w:lang w:val="en-US" w:eastAsia="zh-CN"/>
              </w:rPr>
              <w:t>污染物</w:t>
            </w:r>
            <w:r>
              <w:rPr>
                <w:rFonts w:hint="default" w:ascii="Times New Roman" w:hAnsi="Times New Roman" w:cs="Times New Roman"/>
                <w:b/>
                <w:bCs/>
                <w:color w:val="auto"/>
                <w:sz w:val="24"/>
              </w:rPr>
              <w:t>排放标准</w:t>
            </w:r>
          </w:p>
          <w:p w14:paraId="12E2828D">
            <w:pPr>
              <w:pStyle w:val="49"/>
              <w:keepNext w:val="0"/>
              <w:keepLines w:val="0"/>
              <w:pageBreakBefore w:val="0"/>
              <w:widowControl w:val="0"/>
              <w:kinsoku/>
              <w:wordWrap/>
              <w:overflowPunct/>
              <w:topLinePunct w:val="0"/>
              <w:autoSpaceDE/>
              <w:autoSpaceDN/>
              <w:bidi w:val="0"/>
              <w:ind w:firstLine="480"/>
              <w:textAlignment w:val="auto"/>
              <w:rPr>
                <w:rFonts w:hint="default" w:ascii="Times New Roman" w:hAnsi="Times New Roman" w:cs="Times New Roman"/>
                <w:color w:val="0000FF"/>
                <w:szCs w:val="24"/>
                <w:highlight w:val="none"/>
                <w:lang w:val="en-US" w:eastAsia="zh-CN"/>
              </w:rPr>
            </w:pPr>
            <w:bookmarkStart w:id="12" w:name="_Toc21308"/>
            <w:r>
              <w:rPr>
                <w:rFonts w:hint="eastAsia" w:ascii="Times New Roman" w:hAnsi="Times New Roman" w:cs="Times New Roman"/>
                <w:bCs/>
                <w:color w:val="0000FF"/>
                <w:lang w:val="en-US" w:eastAsia="zh-CN"/>
              </w:rPr>
              <w:t>本项目</w:t>
            </w:r>
            <w:r>
              <w:rPr>
                <w:rFonts w:hint="eastAsia" w:cs="Times New Roman"/>
                <w:bCs/>
                <w:color w:val="0000FF"/>
                <w:lang w:val="en-US" w:eastAsia="zh-CN"/>
              </w:rPr>
              <w:t>DA001排气筒</w:t>
            </w:r>
            <w:r>
              <w:rPr>
                <w:rFonts w:hint="default" w:ascii="Times New Roman" w:hAnsi="Times New Roman" w:cs="Times New Roman"/>
                <w:bCs/>
                <w:color w:val="0000FF"/>
                <w:lang w:val="en-US" w:eastAsia="zh-CN"/>
              </w:rPr>
              <w:t>同时</w:t>
            </w:r>
            <w:r>
              <w:rPr>
                <w:rFonts w:hint="eastAsia" w:cs="Times New Roman"/>
                <w:bCs/>
                <w:color w:val="0000FF"/>
                <w:lang w:val="en-US" w:eastAsia="zh-CN"/>
              </w:rPr>
              <w:t>收集路由器</w:t>
            </w:r>
            <w:r>
              <w:rPr>
                <w:rFonts w:hint="default" w:ascii="Times New Roman" w:hAnsi="Times New Roman" w:cs="Times New Roman"/>
                <w:bCs/>
                <w:color w:val="0000FF"/>
                <w:lang w:val="en-US" w:eastAsia="zh-CN"/>
              </w:rPr>
              <w:t>移印</w:t>
            </w:r>
            <w:r>
              <w:rPr>
                <w:rFonts w:hint="eastAsia" w:cs="Times New Roman"/>
                <w:bCs/>
                <w:color w:val="0000FF"/>
                <w:lang w:val="en-US" w:eastAsia="zh-CN"/>
              </w:rPr>
              <w:t>废气</w:t>
            </w:r>
            <w:r>
              <w:rPr>
                <w:rFonts w:hint="default" w:ascii="Times New Roman" w:hAnsi="Times New Roman" w:cs="Times New Roman"/>
                <w:bCs/>
                <w:color w:val="0000FF"/>
                <w:lang w:val="en-US" w:eastAsia="zh-CN"/>
              </w:rPr>
              <w:t>和注塑</w:t>
            </w:r>
            <w:r>
              <w:rPr>
                <w:rFonts w:hint="eastAsia" w:cs="Times New Roman"/>
                <w:bCs/>
                <w:color w:val="0000FF"/>
                <w:lang w:val="en-US" w:eastAsia="zh-CN"/>
              </w:rPr>
              <w:t>废气。由于</w:t>
            </w:r>
            <w:r>
              <w:rPr>
                <w:rFonts w:hint="default" w:ascii="Times New Roman" w:hAnsi="Times New Roman" w:cs="Times New Roman"/>
                <w:color w:val="0000FF"/>
                <w:szCs w:val="24"/>
                <w:highlight w:val="none"/>
                <w:vertAlign w:val="baseline"/>
                <w:lang w:val="en-US" w:eastAsia="zh-CN"/>
              </w:rPr>
              <w:t>《四川省固定污染源大气挥发性有机物排放标准》（DB51/2377-2017）</w:t>
            </w:r>
            <w:r>
              <w:rPr>
                <w:rFonts w:hint="default" w:ascii="Times New Roman" w:hAnsi="Times New Roman" w:cs="Times New Roman"/>
                <w:color w:val="0000FF"/>
                <w:szCs w:val="24"/>
                <w:highlight w:val="none"/>
                <w:lang w:val="en-US" w:eastAsia="zh-CN"/>
              </w:rPr>
              <w:t>表3</w:t>
            </w:r>
            <w:r>
              <w:rPr>
                <w:rFonts w:hint="eastAsia" w:ascii="Times New Roman" w:hAnsi="Times New Roman" w:cs="Times New Roman"/>
                <w:color w:val="0000FF"/>
                <w:szCs w:val="24"/>
                <w:highlight w:val="none"/>
                <w:lang w:val="en-US" w:eastAsia="zh-CN"/>
              </w:rPr>
              <w:t>印刷</w:t>
            </w:r>
            <w:r>
              <w:rPr>
                <w:rFonts w:hint="default" w:ascii="Times New Roman" w:hAnsi="Times New Roman" w:cs="Times New Roman"/>
                <w:color w:val="0000FF"/>
                <w:szCs w:val="24"/>
                <w:highlight w:val="none"/>
                <w:lang w:val="en-US" w:eastAsia="zh-CN"/>
              </w:rPr>
              <w:t>排放限值要求</w:t>
            </w:r>
            <w:r>
              <w:rPr>
                <w:rFonts w:hint="eastAsia" w:ascii="Times New Roman" w:hAnsi="Times New Roman" w:cs="Times New Roman"/>
                <w:color w:val="0000FF"/>
                <w:szCs w:val="24"/>
                <w:highlight w:val="none"/>
                <w:lang w:val="en-US" w:eastAsia="zh-CN"/>
              </w:rPr>
              <w:t>中的非甲烷总烃执行标准严于</w:t>
            </w:r>
            <w:r>
              <w:rPr>
                <w:rFonts w:hint="default" w:ascii="Times New Roman" w:hAnsi="Times New Roman" w:cs="Times New Roman"/>
                <w:color w:val="0000FF"/>
                <w:szCs w:val="24"/>
                <w:highlight w:val="none"/>
              </w:rPr>
              <w:t>《合成树脂工业污染物排放标准》（GB 31572-2015）</w:t>
            </w:r>
            <w:r>
              <w:rPr>
                <w:rFonts w:hint="default" w:ascii="Times New Roman" w:hAnsi="Times New Roman" w:cs="Times New Roman"/>
                <w:color w:val="0000FF"/>
                <w:szCs w:val="24"/>
                <w:highlight w:val="none"/>
                <w:lang w:val="en-US" w:eastAsia="zh-CN"/>
              </w:rPr>
              <w:t>表</w:t>
            </w:r>
            <w:r>
              <w:rPr>
                <w:rFonts w:hint="eastAsia" w:ascii="Times New Roman" w:hAnsi="Times New Roman" w:cs="Times New Roman"/>
                <w:color w:val="0000FF"/>
                <w:szCs w:val="24"/>
                <w:highlight w:val="none"/>
                <w:lang w:val="en-US" w:eastAsia="zh-CN"/>
              </w:rPr>
              <w:t>5</w:t>
            </w:r>
            <w:r>
              <w:rPr>
                <w:rFonts w:hint="default" w:ascii="Times New Roman" w:hAnsi="Times New Roman" w:cs="Times New Roman"/>
                <w:color w:val="0000FF"/>
                <w:szCs w:val="24"/>
                <w:highlight w:val="none"/>
                <w:lang w:val="en-US" w:eastAsia="zh-CN"/>
              </w:rPr>
              <w:t>大气污染物</w:t>
            </w:r>
            <w:r>
              <w:rPr>
                <w:rFonts w:hint="eastAsia" w:ascii="Times New Roman" w:hAnsi="Times New Roman" w:cs="Times New Roman"/>
                <w:color w:val="0000FF"/>
                <w:szCs w:val="24"/>
                <w:highlight w:val="none"/>
                <w:lang w:val="en-US" w:eastAsia="zh-CN"/>
              </w:rPr>
              <w:t>特别</w:t>
            </w:r>
            <w:r>
              <w:rPr>
                <w:rFonts w:hint="default" w:ascii="Times New Roman" w:hAnsi="Times New Roman" w:cs="Times New Roman"/>
                <w:color w:val="0000FF"/>
                <w:szCs w:val="24"/>
                <w:highlight w:val="none"/>
                <w:lang w:val="en-US" w:eastAsia="zh-CN"/>
              </w:rPr>
              <w:t>排放限值标准</w:t>
            </w:r>
            <w:r>
              <w:rPr>
                <w:rFonts w:hint="eastAsia" w:ascii="Times New Roman" w:hAnsi="Times New Roman" w:cs="Times New Roman"/>
                <w:color w:val="0000FF"/>
                <w:szCs w:val="24"/>
                <w:highlight w:val="none"/>
                <w:lang w:val="en-US" w:eastAsia="zh-CN"/>
              </w:rPr>
              <w:t>，因此</w:t>
            </w:r>
            <w:r>
              <w:rPr>
                <w:rFonts w:hint="eastAsia" w:cs="Times New Roman"/>
                <w:bCs/>
                <w:color w:val="0000FF"/>
                <w:lang w:val="en-US" w:eastAsia="zh-CN"/>
              </w:rPr>
              <w:t>DA001排气筒中</w:t>
            </w:r>
            <w:r>
              <w:rPr>
                <w:rFonts w:hint="default" w:ascii="Times New Roman" w:hAnsi="Times New Roman" w:cs="Times New Roman"/>
                <w:color w:val="0000FF"/>
                <w:szCs w:val="24"/>
                <w:highlight w:val="none"/>
                <w:lang w:val="en-US" w:eastAsia="zh-CN"/>
              </w:rPr>
              <w:t>的</w:t>
            </w:r>
            <w:r>
              <w:rPr>
                <w:rFonts w:hint="eastAsia" w:cs="Times New Roman"/>
                <w:color w:val="0000FF"/>
                <w:szCs w:val="24"/>
                <w:highlight w:val="none"/>
                <w:lang w:val="en-US" w:eastAsia="zh-CN"/>
              </w:rPr>
              <w:t>非甲烷总烃</w:t>
            </w:r>
            <w:r>
              <w:rPr>
                <w:rFonts w:hint="default" w:ascii="Times New Roman" w:hAnsi="Times New Roman" w:cs="Times New Roman"/>
                <w:color w:val="0000FF"/>
                <w:szCs w:val="24"/>
                <w:highlight w:val="none"/>
                <w:vertAlign w:val="baseline"/>
                <w:lang w:val="en-US" w:eastAsia="zh-CN"/>
              </w:rPr>
              <w:t>执行《四川省固定污染源大气挥发性有机物排放标准》（DB51/2377-2017）</w:t>
            </w:r>
            <w:r>
              <w:rPr>
                <w:rFonts w:hint="eastAsia" w:ascii="Times New Roman" w:hAnsi="Times New Roman" w:cs="Times New Roman"/>
                <w:color w:val="0000FF"/>
                <w:szCs w:val="24"/>
                <w:highlight w:val="none"/>
                <w:vertAlign w:val="baseline"/>
                <w:lang w:val="en-US" w:eastAsia="zh-CN"/>
              </w:rPr>
              <w:t>中</w:t>
            </w:r>
            <w:r>
              <w:rPr>
                <w:rFonts w:hint="default" w:ascii="Times New Roman" w:hAnsi="Times New Roman" w:cs="Times New Roman"/>
                <w:color w:val="0000FF"/>
                <w:szCs w:val="24"/>
                <w:highlight w:val="none"/>
                <w:lang w:val="en-US" w:eastAsia="zh-CN"/>
              </w:rPr>
              <w:t>表3</w:t>
            </w:r>
            <w:r>
              <w:rPr>
                <w:rFonts w:hint="eastAsia" w:ascii="Times New Roman" w:hAnsi="Times New Roman" w:cs="Times New Roman"/>
                <w:color w:val="0000FF"/>
                <w:szCs w:val="24"/>
                <w:highlight w:val="none"/>
                <w:lang w:val="en-US" w:eastAsia="zh-CN"/>
              </w:rPr>
              <w:t>印刷</w:t>
            </w:r>
            <w:r>
              <w:rPr>
                <w:rFonts w:hint="default" w:ascii="Times New Roman" w:hAnsi="Times New Roman" w:cs="Times New Roman"/>
                <w:color w:val="0000FF"/>
                <w:szCs w:val="24"/>
                <w:highlight w:val="none"/>
                <w:lang w:val="en-US" w:eastAsia="zh-CN"/>
              </w:rPr>
              <w:t>排放限值要求</w:t>
            </w:r>
            <w:r>
              <w:rPr>
                <w:rFonts w:hint="eastAsia" w:cs="Times New Roman"/>
                <w:color w:val="0000FF"/>
                <w:szCs w:val="24"/>
                <w:highlight w:val="none"/>
                <w:lang w:val="en-US" w:eastAsia="zh-CN"/>
              </w:rPr>
              <w:t>，产生的三甲苯执行</w:t>
            </w:r>
            <w:r>
              <w:rPr>
                <w:rFonts w:hint="default" w:ascii="Times New Roman" w:hAnsi="Times New Roman" w:cs="Times New Roman"/>
                <w:color w:val="0000FF"/>
                <w:szCs w:val="24"/>
                <w:highlight w:val="none"/>
                <w:vertAlign w:val="baseline"/>
                <w:lang w:val="en-US" w:eastAsia="zh-CN"/>
              </w:rPr>
              <w:t>《四川省固定污染源大气挥发性有机物排放标准》（DB51/2377-2017）</w:t>
            </w:r>
            <w:r>
              <w:rPr>
                <w:rFonts w:hint="eastAsia" w:ascii="Times New Roman" w:hAnsi="Times New Roman" w:cs="Times New Roman"/>
                <w:color w:val="0000FF"/>
                <w:szCs w:val="24"/>
                <w:highlight w:val="none"/>
                <w:vertAlign w:val="baseline"/>
                <w:lang w:val="en-US" w:eastAsia="zh-CN"/>
              </w:rPr>
              <w:t>中</w:t>
            </w:r>
            <w:r>
              <w:rPr>
                <w:rFonts w:hint="default" w:ascii="Times New Roman" w:hAnsi="Times New Roman" w:cs="Times New Roman"/>
                <w:color w:val="0000FF"/>
                <w:szCs w:val="24"/>
                <w:highlight w:val="none"/>
                <w:lang w:val="en-US" w:eastAsia="zh-CN"/>
              </w:rPr>
              <w:t>表</w:t>
            </w:r>
            <w:r>
              <w:rPr>
                <w:rFonts w:hint="eastAsia" w:ascii="Times New Roman" w:hAnsi="Times New Roman" w:cs="Times New Roman"/>
                <w:color w:val="0000FF"/>
                <w:szCs w:val="24"/>
                <w:highlight w:val="none"/>
                <w:lang w:val="en-US" w:eastAsia="zh-CN"/>
              </w:rPr>
              <w:t>4排放限值，</w:t>
            </w:r>
            <w:r>
              <w:rPr>
                <w:rFonts w:hint="default" w:ascii="Times New Roman" w:hAnsi="Times New Roman" w:cs="Times New Roman"/>
                <w:color w:val="0000FF"/>
                <w:szCs w:val="24"/>
                <w:highlight w:val="none"/>
                <w:lang w:val="en-US" w:eastAsia="zh-CN"/>
              </w:rPr>
              <w:t>其余污染因子执行</w:t>
            </w:r>
            <w:r>
              <w:rPr>
                <w:rFonts w:hint="default" w:ascii="Times New Roman" w:hAnsi="Times New Roman" w:cs="Times New Roman"/>
                <w:color w:val="0000FF"/>
                <w:szCs w:val="24"/>
                <w:highlight w:val="none"/>
              </w:rPr>
              <w:t>《合成树脂工业污染物排放标准》（GB 31572-2015）</w:t>
            </w:r>
            <w:r>
              <w:rPr>
                <w:rFonts w:hint="default" w:ascii="Times New Roman" w:hAnsi="Times New Roman" w:cs="Times New Roman"/>
                <w:color w:val="0000FF"/>
                <w:szCs w:val="24"/>
                <w:highlight w:val="none"/>
                <w:lang w:val="en-US" w:eastAsia="zh-CN"/>
              </w:rPr>
              <w:t>表</w:t>
            </w:r>
            <w:r>
              <w:rPr>
                <w:rFonts w:hint="eastAsia" w:ascii="Times New Roman" w:hAnsi="Times New Roman" w:cs="Times New Roman"/>
                <w:color w:val="0000FF"/>
                <w:szCs w:val="24"/>
                <w:highlight w:val="none"/>
                <w:lang w:val="en-US" w:eastAsia="zh-CN"/>
              </w:rPr>
              <w:t>5</w:t>
            </w:r>
            <w:r>
              <w:rPr>
                <w:rFonts w:hint="default" w:ascii="Times New Roman" w:hAnsi="Times New Roman" w:cs="Times New Roman"/>
                <w:color w:val="0000FF"/>
                <w:szCs w:val="24"/>
                <w:highlight w:val="none"/>
                <w:lang w:val="en-US" w:eastAsia="zh-CN"/>
              </w:rPr>
              <w:t>大气污染物</w:t>
            </w:r>
            <w:r>
              <w:rPr>
                <w:rFonts w:hint="eastAsia" w:ascii="Times New Roman" w:hAnsi="Times New Roman" w:cs="Times New Roman"/>
                <w:color w:val="0000FF"/>
                <w:szCs w:val="24"/>
                <w:highlight w:val="none"/>
                <w:lang w:val="en-US" w:eastAsia="zh-CN"/>
              </w:rPr>
              <w:t>特别</w:t>
            </w:r>
            <w:r>
              <w:rPr>
                <w:rFonts w:hint="default" w:ascii="Times New Roman" w:hAnsi="Times New Roman" w:cs="Times New Roman"/>
                <w:color w:val="0000FF"/>
                <w:szCs w:val="24"/>
                <w:highlight w:val="none"/>
                <w:lang w:val="en-US" w:eastAsia="zh-CN"/>
              </w:rPr>
              <w:t>排放限值标准</w:t>
            </w:r>
            <w:r>
              <w:rPr>
                <w:rFonts w:hint="eastAsia" w:ascii="Times New Roman" w:hAnsi="Times New Roman" w:cs="Times New Roman"/>
                <w:color w:val="0000FF"/>
                <w:szCs w:val="24"/>
                <w:highlight w:val="none"/>
                <w:lang w:val="en-US" w:eastAsia="zh-CN"/>
              </w:rPr>
              <w:t>。</w:t>
            </w:r>
          </w:p>
          <w:p w14:paraId="4A2285CB">
            <w:pPr>
              <w:pStyle w:val="49"/>
              <w:keepNext w:val="0"/>
              <w:keepLines w:val="0"/>
              <w:pageBreakBefore w:val="0"/>
              <w:widowControl w:val="0"/>
              <w:kinsoku/>
              <w:wordWrap/>
              <w:overflowPunct/>
              <w:topLinePunct w:val="0"/>
              <w:autoSpaceDE/>
              <w:autoSpaceDN/>
              <w:bidi w:val="0"/>
              <w:ind w:firstLine="480"/>
              <w:textAlignment w:val="auto"/>
              <w:rPr>
                <w:rFonts w:hint="default" w:ascii="Times New Roman" w:hAnsi="Times New Roman" w:cs="Times New Roman"/>
                <w:color w:val="0000FF"/>
                <w:szCs w:val="24"/>
                <w:highlight w:val="none"/>
                <w:lang w:val="en-US" w:eastAsia="zh-CN"/>
              </w:rPr>
            </w:pPr>
            <w:r>
              <w:rPr>
                <w:rFonts w:hint="default" w:ascii="Times New Roman" w:hAnsi="Times New Roman" w:cs="Times New Roman"/>
                <w:color w:val="0000FF"/>
                <w:szCs w:val="24"/>
                <w:highlight w:val="none"/>
                <w:lang w:val="en-US" w:eastAsia="zh-CN"/>
              </w:rPr>
              <w:t>本项目</w:t>
            </w:r>
            <w:r>
              <w:rPr>
                <w:rFonts w:hint="eastAsia" w:cs="Times New Roman"/>
                <w:bCs/>
                <w:color w:val="0000FF"/>
                <w:lang w:val="en-US" w:eastAsia="zh-CN"/>
              </w:rPr>
              <w:t>DA002排气筒</w:t>
            </w:r>
            <w:r>
              <w:rPr>
                <w:rFonts w:hint="eastAsia" w:cs="Times New Roman"/>
                <w:color w:val="0000FF"/>
                <w:szCs w:val="24"/>
                <w:highlight w:val="none"/>
                <w:lang w:val="en-US" w:eastAsia="zh-CN"/>
              </w:rPr>
              <w:t>收集手机充电器塑胶外壳</w:t>
            </w:r>
            <w:r>
              <w:rPr>
                <w:rFonts w:hint="default" w:ascii="Times New Roman" w:hAnsi="Times New Roman" w:cs="Times New Roman"/>
                <w:color w:val="0000FF"/>
                <w:szCs w:val="24"/>
                <w:highlight w:val="none"/>
                <w:lang w:val="en-US" w:eastAsia="zh-CN"/>
              </w:rPr>
              <w:t>注塑</w:t>
            </w:r>
            <w:r>
              <w:rPr>
                <w:rFonts w:hint="eastAsia" w:cs="Times New Roman"/>
                <w:color w:val="0000FF"/>
                <w:szCs w:val="24"/>
                <w:highlight w:val="none"/>
                <w:lang w:val="en-US" w:eastAsia="zh-CN"/>
              </w:rPr>
              <w:t>废气</w:t>
            </w:r>
            <w:r>
              <w:rPr>
                <w:rFonts w:hint="default" w:ascii="Times New Roman" w:hAnsi="Times New Roman" w:cs="Times New Roman"/>
                <w:color w:val="0000FF"/>
                <w:szCs w:val="24"/>
                <w:highlight w:val="none"/>
                <w:lang w:val="en-US" w:eastAsia="zh-CN"/>
              </w:rPr>
              <w:t>，</w:t>
            </w:r>
            <w:r>
              <w:rPr>
                <w:rFonts w:hint="eastAsia" w:cs="Times New Roman"/>
                <w:color w:val="0000FF"/>
                <w:szCs w:val="24"/>
                <w:highlight w:val="none"/>
                <w:lang w:val="en-US" w:eastAsia="zh-CN"/>
              </w:rPr>
              <w:t>污染因子</w:t>
            </w:r>
            <w:r>
              <w:rPr>
                <w:rFonts w:hint="default" w:ascii="Times New Roman" w:hAnsi="Times New Roman" w:cs="Times New Roman"/>
                <w:color w:val="0000FF"/>
                <w:szCs w:val="24"/>
                <w:highlight w:val="none"/>
                <w:lang w:val="en-US" w:eastAsia="zh-CN"/>
              </w:rPr>
              <w:t>执行《合成树脂工业污染物排放标准》（GB 31572-2015）</w:t>
            </w:r>
            <w:r>
              <w:rPr>
                <w:rFonts w:hint="eastAsia" w:ascii="Times New Roman" w:hAnsi="Times New Roman" w:cs="Times New Roman"/>
                <w:color w:val="0000FF"/>
                <w:szCs w:val="24"/>
                <w:highlight w:val="none"/>
                <w:lang w:val="en-US" w:eastAsia="zh-CN"/>
              </w:rPr>
              <w:t>表5特别排放限值。</w:t>
            </w:r>
          </w:p>
          <w:p w14:paraId="3A04B894">
            <w:pPr>
              <w:pStyle w:val="49"/>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color w:val="0000FF"/>
                <w:szCs w:val="24"/>
                <w:highlight w:val="none"/>
                <w:lang w:val="en-US" w:eastAsia="zh-CN"/>
              </w:rPr>
            </w:pPr>
            <w:r>
              <w:rPr>
                <w:rFonts w:hint="default" w:ascii="Times New Roman" w:hAnsi="Times New Roman" w:cs="Times New Roman"/>
                <w:b/>
                <w:bCs/>
                <w:color w:val="0000FF"/>
                <w:sz w:val="24"/>
                <w:szCs w:val="24"/>
                <w:highlight w:val="none"/>
              </w:rPr>
              <w:t xml:space="preserve">表3.3-1  </w:t>
            </w:r>
            <w:r>
              <w:rPr>
                <w:rFonts w:hint="eastAsia" w:cs="Times New Roman"/>
                <w:b/>
                <w:bCs/>
                <w:color w:val="0000FF"/>
                <w:sz w:val="24"/>
                <w:szCs w:val="24"/>
                <w:highlight w:val="none"/>
                <w:lang w:val="en-US" w:eastAsia="zh-CN"/>
              </w:rPr>
              <w:t>废气</w:t>
            </w:r>
            <w:r>
              <w:rPr>
                <w:rFonts w:hint="eastAsia" w:ascii="Times New Roman" w:hAnsi="Times New Roman" w:cs="Times New Roman"/>
                <w:b/>
                <w:bCs/>
                <w:color w:val="0000FF"/>
                <w:sz w:val="24"/>
                <w:szCs w:val="24"/>
                <w:highlight w:val="none"/>
                <w:lang w:val="en-US" w:eastAsia="zh-CN"/>
              </w:rPr>
              <w:t>执行标准一览表</w:t>
            </w:r>
          </w:p>
          <w:tbl>
            <w:tblPr>
              <w:tblStyle w:val="35"/>
              <w:tblW w:w="8481"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22"/>
              <w:gridCol w:w="1325"/>
              <w:gridCol w:w="1141"/>
              <w:gridCol w:w="721"/>
              <w:gridCol w:w="1306"/>
              <w:gridCol w:w="936"/>
              <w:gridCol w:w="876"/>
              <w:gridCol w:w="1354"/>
            </w:tblGrid>
            <w:tr w14:paraId="61204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87D09">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排气筒</w:t>
                  </w:r>
                </w:p>
              </w:tc>
              <w:tc>
                <w:tcPr>
                  <w:tcW w:w="13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31972">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污染物项目</w:t>
                  </w:r>
                </w:p>
              </w:tc>
              <w:tc>
                <w:tcPr>
                  <w:tcW w:w="114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C33A0">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有组织排放浓度</w:t>
                  </w:r>
                </w:p>
              </w:tc>
              <w:tc>
                <w:tcPr>
                  <w:tcW w:w="3839"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3E36581">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与排气筒高度对应的最高允许排放速率</w:t>
                  </w:r>
                </w:p>
              </w:tc>
              <w:tc>
                <w:tcPr>
                  <w:tcW w:w="135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C424D">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无组织排放浓度</w:t>
                  </w:r>
                </w:p>
              </w:tc>
            </w:tr>
            <w:tr w14:paraId="01813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ABE48">
                  <w:pPr>
                    <w:jc w:val="center"/>
                    <w:rPr>
                      <w:rFonts w:hint="default" w:ascii="Times New Roman" w:hAnsi="Times New Roman" w:eastAsia="宋体" w:cs="Times New Roman"/>
                      <w:b/>
                      <w:bCs/>
                      <w:i w:val="0"/>
                      <w:iCs w:val="0"/>
                      <w:color w:val="0000FF"/>
                      <w:sz w:val="21"/>
                      <w:szCs w:val="21"/>
                      <w:u w:val="none"/>
                    </w:rPr>
                  </w:pPr>
                </w:p>
              </w:tc>
              <w:tc>
                <w:tcPr>
                  <w:tcW w:w="13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AC965">
                  <w:pPr>
                    <w:jc w:val="center"/>
                    <w:rPr>
                      <w:rFonts w:hint="default" w:ascii="Times New Roman" w:hAnsi="Times New Roman" w:eastAsia="宋体" w:cs="Times New Roman"/>
                      <w:b/>
                      <w:bCs/>
                      <w:i w:val="0"/>
                      <w:iCs w:val="0"/>
                      <w:color w:val="0000FF"/>
                      <w:sz w:val="21"/>
                      <w:szCs w:val="21"/>
                      <w:u w:val="none"/>
                    </w:rPr>
                  </w:pPr>
                </w:p>
              </w:tc>
              <w:tc>
                <w:tcPr>
                  <w:tcW w:w="114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EEE7A">
                  <w:pPr>
                    <w:jc w:val="center"/>
                    <w:rPr>
                      <w:rFonts w:hint="default" w:ascii="Times New Roman" w:hAnsi="Times New Roman" w:eastAsia="宋体" w:cs="Times New Roman"/>
                      <w:b/>
                      <w:bCs/>
                      <w:i w:val="0"/>
                      <w:iCs w:val="0"/>
                      <w:color w:val="0000FF"/>
                      <w:sz w:val="21"/>
                      <w:szCs w:val="21"/>
                      <w:u w:val="none"/>
                    </w:rPr>
                  </w:pP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3744A">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default" w:ascii="Times New Roman" w:hAnsi="Times New Roman" w:eastAsia="宋体" w:cs="Times New Roman"/>
                      <w:b/>
                      <w:bCs/>
                      <w:i w:val="0"/>
                      <w:iCs w:val="0"/>
                      <w:color w:val="0000FF"/>
                      <w:kern w:val="0"/>
                      <w:sz w:val="21"/>
                      <w:szCs w:val="21"/>
                      <w:u w:val="none"/>
                      <w:lang w:val="en-US" w:eastAsia="zh-CN" w:bidi="ar"/>
                    </w:rPr>
                    <w:t>15m</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A7B1D">
                  <w:pPr>
                    <w:keepNext w:val="0"/>
                    <w:keepLines w:val="0"/>
                    <w:widowControl/>
                    <w:suppressLineNumbers w:val="0"/>
                    <w:jc w:val="center"/>
                    <w:textAlignment w:val="center"/>
                    <w:rPr>
                      <w:color w:val="0000FF"/>
                    </w:rPr>
                  </w:pPr>
                  <w:r>
                    <w:rPr>
                      <w:rFonts w:hint="default" w:ascii="Times New Roman" w:hAnsi="Times New Roman" w:eastAsia="宋体" w:cs="Times New Roman"/>
                      <w:b/>
                      <w:bCs/>
                      <w:i w:val="0"/>
                      <w:iCs w:val="0"/>
                      <w:color w:val="0000FF"/>
                      <w:kern w:val="0"/>
                      <w:sz w:val="21"/>
                      <w:szCs w:val="21"/>
                      <w:u w:val="none"/>
                      <w:lang w:val="en-US" w:eastAsia="zh-CN" w:bidi="ar"/>
                    </w:rPr>
                    <w:t>20m</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ED830">
                  <w:pPr>
                    <w:keepNext w:val="0"/>
                    <w:keepLines w:val="0"/>
                    <w:widowControl/>
                    <w:suppressLineNumbers w:val="0"/>
                    <w:jc w:val="center"/>
                    <w:textAlignment w:val="center"/>
                    <w:rPr>
                      <w:color w:val="0000FF"/>
                    </w:rPr>
                  </w:pPr>
                  <w:r>
                    <w:rPr>
                      <w:rFonts w:hint="default" w:ascii="Times New Roman" w:hAnsi="Times New Roman" w:eastAsia="宋体" w:cs="Times New Roman"/>
                      <w:b/>
                      <w:bCs/>
                      <w:i w:val="0"/>
                      <w:iCs w:val="0"/>
                      <w:color w:val="0000FF"/>
                      <w:kern w:val="0"/>
                      <w:sz w:val="21"/>
                      <w:szCs w:val="21"/>
                      <w:u w:val="none"/>
                      <w:lang w:val="en-US" w:eastAsia="zh-CN" w:bidi="ar"/>
                    </w:rPr>
                    <w:t>30m</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6F16A">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default" w:ascii="Times New Roman" w:hAnsi="Times New Roman" w:eastAsia="宋体" w:cs="Times New Roman"/>
                      <w:b/>
                      <w:bCs/>
                      <w:i w:val="0"/>
                      <w:iCs w:val="0"/>
                      <w:color w:val="0000FF"/>
                      <w:kern w:val="0"/>
                      <w:sz w:val="21"/>
                      <w:szCs w:val="21"/>
                      <w:u w:val="none"/>
                      <w:lang w:val="en-US" w:eastAsia="zh-CN" w:bidi="ar"/>
                    </w:rPr>
                    <w:t>40m</w:t>
                  </w:r>
                </w:p>
              </w:tc>
              <w:tc>
                <w:tcPr>
                  <w:tcW w:w="135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05A76">
                  <w:pPr>
                    <w:jc w:val="center"/>
                    <w:rPr>
                      <w:rFonts w:hint="default" w:ascii="Times New Roman" w:hAnsi="Times New Roman" w:eastAsia="宋体" w:cs="Times New Roman"/>
                      <w:b/>
                      <w:bCs/>
                      <w:i w:val="0"/>
                      <w:iCs w:val="0"/>
                      <w:color w:val="0000FF"/>
                      <w:sz w:val="21"/>
                      <w:szCs w:val="21"/>
                      <w:u w:val="none"/>
                    </w:rPr>
                  </w:pPr>
                </w:p>
              </w:tc>
            </w:tr>
            <w:tr w14:paraId="7B3CF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37EE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DA001</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9797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非甲烷总烃</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121E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60</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625C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3.4</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C1A37">
                  <w:pPr>
                    <w:keepNext w:val="0"/>
                    <w:keepLines w:val="0"/>
                    <w:widowControl/>
                    <w:suppressLineNumbers w:val="0"/>
                    <w:jc w:val="center"/>
                    <w:textAlignment w:val="center"/>
                    <w:rPr>
                      <w:color w:val="0000FF"/>
                    </w:rPr>
                  </w:pPr>
                  <w:r>
                    <w:rPr>
                      <w:rFonts w:hint="default" w:ascii="Times New Roman" w:hAnsi="Times New Roman" w:eastAsia="宋体" w:cs="Times New Roman"/>
                      <w:i w:val="0"/>
                      <w:iCs w:val="0"/>
                      <w:color w:val="0000FF"/>
                      <w:kern w:val="0"/>
                      <w:sz w:val="21"/>
                      <w:szCs w:val="21"/>
                      <w:u w:val="none"/>
                      <w:lang w:val="en-US" w:eastAsia="zh-CN" w:bidi="ar"/>
                    </w:rPr>
                    <w:t>6.8</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33EE6">
                  <w:pPr>
                    <w:keepNext w:val="0"/>
                    <w:keepLines w:val="0"/>
                    <w:widowControl/>
                    <w:suppressLineNumbers w:val="0"/>
                    <w:jc w:val="center"/>
                    <w:textAlignment w:val="center"/>
                    <w:rPr>
                      <w:color w:val="0000FF"/>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A935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36</w:t>
                  </w: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9009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w:t>
                  </w:r>
                </w:p>
              </w:tc>
            </w:tr>
            <w:tr w14:paraId="6DEC4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D61F2">
                  <w:pPr>
                    <w:jc w:val="center"/>
                    <w:rPr>
                      <w:rFonts w:hint="default" w:ascii="Times New Roman" w:hAnsi="Times New Roman" w:eastAsia="宋体" w:cs="Times New Roman"/>
                      <w:i w:val="0"/>
                      <w:iCs w:val="0"/>
                      <w:color w:val="0000FF"/>
                      <w:sz w:val="21"/>
                      <w:szCs w:val="21"/>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BFF1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颗粒物</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45E7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C754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EE7BB">
                  <w:pPr>
                    <w:keepNext w:val="0"/>
                    <w:keepLines w:val="0"/>
                    <w:widowControl/>
                    <w:suppressLineNumbers w:val="0"/>
                    <w:jc w:val="center"/>
                    <w:textAlignment w:val="center"/>
                    <w:rPr>
                      <w:color w:val="0000FF"/>
                    </w:rPr>
                  </w:pPr>
                  <w:r>
                    <w:rPr>
                      <w:rFonts w:hint="default" w:ascii="Times New Roman" w:hAnsi="Times New Roman" w:eastAsia="宋体" w:cs="Times New Roman"/>
                      <w:i w:val="0"/>
                      <w:iCs w:val="0"/>
                      <w:color w:val="0000FF"/>
                      <w:kern w:val="0"/>
                      <w:sz w:val="21"/>
                      <w:szCs w:val="21"/>
                      <w:u w:val="none"/>
                      <w:lang w:val="en-US" w:eastAsia="zh-CN" w:bidi="ar"/>
                    </w:rPr>
                    <w:t>/</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A621D">
                  <w:pPr>
                    <w:keepNext w:val="0"/>
                    <w:keepLines w:val="0"/>
                    <w:widowControl/>
                    <w:suppressLineNumbers w:val="0"/>
                    <w:jc w:val="center"/>
                    <w:textAlignment w:val="center"/>
                    <w:rPr>
                      <w:color w:val="0000FF"/>
                    </w:rPr>
                  </w:pPr>
                  <w:r>
                    <w:rPr>
                      <w:rFonts w:hint="default" w:ascii="Times New Roman" w:hAnsi="Times New Roman" w:eastAsia="宋体" w:cs="Times New Roman"/>
                      <w:i w:val="0"/>
                      <w:iCs w:val="0"/>
                      <w:color w:val="0000FF"/>
                      <w:kern w:val="0"/>
                      <w:sz w:val="21"/>
                      <w:szCs w:val="21"/>
                      <w:u w:val="none"/>
                      <w:lang w:val="en-US" w:eastAsia="zh-CN" w:bidi="ar"/>
                    </w:rPr>
                    <w:t>/</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2807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E278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72FB3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E9B23">
                  <w:pPr>
                    <w:jc w:val="center"/>
                    <w:rPr>
                      <w:rFonts w:hint="default" w:ascii="Times New Roman" w:hAnsi="Times New Roman" w:eastAsia="宋体" w:cs="Times New Roman"/>
                      <w:i w:val="0"/>
                      <w:iCs w:val="0"/>
                      <w:color w:val="0000FF"/>
                      <w:sz w:val="21"/>
                      <w:szCs w:val="21"/>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450D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三甲苯</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A70C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40</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3169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1.4</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8A8C6">
                  <w:pPr>
                    <w:keepNext w:val="0"/>
                    <w:keepLines w:val="0"/>
                    <w:widowControl/>
                    <w:suppressLineNumbers w:val="0"/>
                    <w:jc w:val="center"/>
                    <w:textAlignment w:val="center"/>
                    <w:rPr>
                      <w:color w:val="0000FF"/>
                    </w:rPr>
                  </w:pPr>
                  <w:r>
                    <w:rPr>
                      <w:rFonts w:hint="default" w:ascii="Times New Roman" w:hAnsi="Times New Roman" w:eastAsia="宋体" w:cs="Times New Roman"/>
                      <w:i w:val="0"/>
                      <w:iCs w:val="0"/>
                      <w:color w:val="0000FF"/>
                      <w:kern w:val="0"/>
                      <w:sz w:val="21"/>
                      <w:szCs w:val="21"/>
                      <w:u w:val="none"/>
                      <w:lang w:val="en-US" w:eastAsia="zh-CN" w:bidi="ar"/>
                    </w:rPr>
                    <w:t>2.7</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FDFE3">
                  <w:pPr>
                    <w:keepNext w:val="0"/>
                    <w:keepLines w:val="0"/>
                    <w:widowControl/>
                    <w:suppressLineNumbers w:val="0"/>
                    <w:jc w:val="center"/>
                    <w:textAlignment w:val="center"/>
                    <w:rPr>
                      <w:color w:val="0000FF"/>
                    </w:rPr>
                  </w:pPr>
                  <w:r>
                    <w:rPr>
                      <w:rFonts w:hint="default" w:ascii="Times New Roman" w:hAnsi="Times New Roman" w:eastAsia="宋体" w:cs="Times New Roman"/>
                      <w:i w:val="0"/>
                      <w:iCs w:val="0"/>
                      <w:color w:val="0000FF"/>
                      <w:kern w:val="0"/>
                      <w:sz w:val="21"/>
                      <w:szCs w:val="21"/>
                      <w:u w:val="none"/>
                      <w:lang w:val="en-US" w:eastAsia="zh-CN" w:bidi="ar"/>
                    </w:rPr>
                    <w:t>8.2</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8BC5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14</w:t>
                  </w: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4DA1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0.8</w:t>
                  </w:r>
                </w:p>
              </w:tc>
            </w:tr>
            <w:tr w14:paraId="534AD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BE80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DA002</w:t>
                  </w: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D7FD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非甲烷总烃</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A08A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60</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ED60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747AD">
                  <w:pPr>
                    <w:keepNext w:val="0"/>
                    <w:keepLines w:val="0"/>
                    <w:widowControl/>
                    <w:suppressLineNumbers w:val="0"/>
                    <w:jc w:val="center"/>
                    <w:textAlignment w:val="center"/>
                    <w:rPr>
                      <w:color w:val="0000FF"/>
                    </w:rPr>
                  </w:pPr>
                  <w:r>
                    <w:rPr>
                      <w:rFonts w:hint="default" w:ascii="Times New Roman" w:hAnsi="Times New Roman" w:eastAsia="宋体" w:cs="Times New Roman"/>
                      <w:i w:val="0"/>
                      <w:iCs w:val="0"/>
                      <w:color w:val="0000FF"/>
                      <w:kern w:val="0"/>
                      <w:sz w:val="21"/>
                      <w:szCs w:val="21"/>
                      <w:u w:val="none"/>
                      <w:lang w:val="en-US" w:eastAsia="zh-CN" w:bidi="ar"/>
                    </w:rPr>
                    <w:t>/</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7A4D9">
                  <w:pPr>
                    <w:keepNext w:val="0"/>
                    <w:keepLines w:val="0"/>
                    <w:widowControl/>
                    <w:suppressLineNumbers w:val="0"/>
                    <w:jc w:val="center"/>
                    <w:textAlignment w:val="center"/>
                    <w:rPr>
                      <w:color w:val="0000FF"/>
                    </w:rPr>
                  </w:pPr>
                  <w:r>
                    <w:rPr>
                      <w:rFonts w:hint="default" w:ascii="Times New Roman" w:hAnsi="Times New Roman" w:eastAsia="宋体" w:cs="Times New Roman"/>
                      <w:i w:val="0"/>
                      <w:iCs w:val="0"/>
                      <w:color w:val="0000FF"/>
                      <w:kern w:val="0"/>
                      <w:sz w:val="21"/>
                      <w:szCs w:val="21"/>
                      <w:u w:val="none"/>
                      <w:lang w:val="en-US" w:eastAsia="zh-CN" w:bidi="ar"/>
                    </w:rPr>
                    <w:t>/</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6CFA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3977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w:t>
                  </w:r>
                </w:p>
              </w:tc>
            </w:tr>
            <w:tr w14:paraId="0A0F4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28CCA">
                  <w:pPr>
                    <w:jc w:val="center"/>
                    <w:rPr>
                      <w:rFonts w:hint="default" w:ascii="Times New Roman" w:hAnsi="Times New Roman" w:eastAsia="宋体" w:cs="Times New Roman"/>
                      <w:i w:val="0"/>
                      <w:iCs w:val="0"/>
                      <w:color w:val="0000FF"/>
                      <w:sz w:val="21"/>
                      <w:szCs w:val="21"/>
                      <w:u w:val="none"/>
                    </w:rPr>
                  </w:pPr>
                </w:p>
              </w:tc>
              <w:tc>
                <w:tcPr>
                  <w:tcW w:w="13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83578">
                  <w:pPr>
                    <w:keepNext w:val="0"/>
                    <w:keepLines w:val="0"/>
                    <w:widowControl/>
                    <w:suppressLineNumbers w:val="0"/>
                    <w:jc w:val="center"/>
                    <w:textAlignment w:val="center"/>
                    <w:rPr>
                      <w:rFonts w:hint="eastAsia" w:ascii="宋体" w:hAnsi="宋体" w:eastAsia="宋体" w:cs="宋体"/>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颗粒物</w:t>
                  </w: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12733">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7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806C2">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3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1EE17">
                  <w:pPr>
                    <w:keepNext w:val="0"/>
                    <w:keepLines w:val="0"/>
                    <w:widowControl/>
                    <w:suppressLineNumbers w:val="0"/>
                    <w:jc w:val="center"/>
                    <w:textAlignment w:val="center"/>
                    <w:rPr>
                      <w:color w:val="0000FF"/>
                    </w:rPr>
                  </w:pPr>
                  <w:r>
                    <w:rPr>
                      <w:rFonts w:hint="default" w:ascii="Times New Roman" w:hAnsi="Times New Roman" w:eastAsia="宋体" w:cs="Times New Roman"/>
                      <w:i w:val="0"/>
                      <w:iCs w:val="0"/>
                      <w:color w:val="0000FF"/>
                      <w:kern w:val="0"/>
                      <w:sz w:val="21"/>
                      <w:szCs w:val="21"/>
                      <w:u w:val="none"/>
                      <w:lang w:val="en-US" w:eastAsia="zh-CN" w:bidi="ar"/>
                    </w:rPr>
                    <w:t>/</w:t>
                  </w:r>
                </w:p>
              </w:tc>
              <w:tc>
                <w:tcPr>
                  <w:tcW w:w="9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C4795">
                  <w:pPr>
                    <w:keepNext w:val="0"/>
                    <w:keepLines w:val="0"/>
                    <w:widowControl/>
                    <w:suppressLineNumbers w:val="0"/>
                    <w:jc w:val="center"/>
                    <w:textAlignment w:val="center"/>
                    <w:rPr>
                      <w:color w:val="0000FF"/>
                    </w:rPr>
                  </w:pPr>
                  <w:r>
                    <w:rPr>
                      <w:rFonts w:hint="default" w:ascii="Times New Roman" w:hAnsi="Times New Roman" w:eastAsia="宋体" w:cs="Times New Roman"/>
                      <w:i w:val="0"/>
                      <w:iCs w:val="0"/>
                      <w:color w:val="0000FF"/>
                      <w:kern w:val="0"/>
                      <w:sz w:val="21"/>
                      <w:szCs w:val="21"/>
                      <w:u w:val="none"/>
                      <w:lang w:val="en-US" w:eastAsia="zh-CN" w:bidi="ar"/>
                    </w:rPr>
                    <w:t>/</w:t>
                  </w:r>
                </w:p>
              </w:tc>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3CECE">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8231E">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w:t>
                  </w:r>
                </w:p>
              </w:tc>
            </w:tr>
            <w:bookmarkEnd w:id="12"/>
          </w:tbl>
          <w:p w14:paraId="678457CE">
            <w:pPr>
              <w:pStyle w:val="49"/>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bCs/>
                <w:color w:val="auto"/>
                <w:szCs w:val="24"/>
              </w:rPr>
            </w:pPr>
            <w:r>
              <w:rPr>
                <w:rFonts w:hint="default" w:ascii="Times New Roman" w:hAnsi="Times New Roman" w:cs="Times New Roman"/>
                <w:b/>
                <w:bCs/>
                <w:color w:val="auto"/>
                <w:szCs w:val="24"/>
              </w:rPr>
              <w:t>3.3.2废水排放标准</w:t>
            </w:r>
          </w:p>
          <w:p w14:paraId="4B6665EA">
            <w:pPr>
              <w:pStyle w:val="49"/>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bCs/>
                <w:color w:val="auto"/>
              </w:rPr>
            </w:pPr>
            <w:r>
              <w:rPr>
                <w:rFonts w:hint="default" w:ascii="Times New Roman" w:hAnsi="Times New Roman" w:cs="Times New Roman"/>
                <w:bCs/>
                <w:color w:val="auto"/>
              </w:rPr>
              <w:t>本项目属于C2319包装装潢及其他印刷</w:t>
            </w:r>
            <w:r>
              <w:rPr>
                <w:rFonts w:hint="default" w:ascii="Times New Roman" w:hAnsi="Times New Roman" w:cs="Times New Roman"/>
                <w:bCs/>
                <w:color w:val="auto"/>
                <w:lang w:val="en-US" w:eastAsia="zh-CN"/>
              </w:rPr>
              <w:t>和</w:t>
            </w:r>
            <w:r>
              <w:rPr>
                <w:rFonts w:hint="default" w:ascii="Times New Roman" w:hAnsi="Times New Roman" w:cs="Times New Roman"/>
                <w:bCs/>
                <w:color w:val="auto"/>
              </w:rPr>
              <w:t>C2929塑料零件及其他塑料制品制造，废水间接排放。</w:t>
            </w:r>
          </w:p>
          <w:p w14:paraId="1C700C48">
            <w:pPr>
              <w:pStyle w:val="49"/>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bCs/>
                <w:color w:val="auto"/>
              </w:rPr>
            </w:pPr>
            <w:r>
              <w:rPr>
                <w:rFonts w:hint="default" w:ascii="Times New Roman" w:hAnsi="Times New Roman" w:cs="Times New Roman"/>
                <w:bCs/>
                <w:color w:val="auto"/>
              </w:rPr>
              <w:t>根据《</w:t>
            </w:r>
            <w:r>
              <w:rPr>
                <w:rFonts w:hint="default" w:ascii="Times New Roman" w:hAnsi="Times New Roman" w:cs="Times New Roman"/>
                <w:color w:val="auto"/>
                <w:szCs w:val="24"/>
              </w:rPr>
              <w:t>合成树脂工业污染物排放标准》（GB 31572－2015）表2注释1</w:t>
            </w:r>
            <w:r>
              <w:rPr>
                <w:rFonts w:hint="eastAsia" w:ascii="Times New Roman" w:hAnsi="Times New Roman" w:cs="Times New Roman"/>
                <w:color w:val="auto"/>
                <w:szCs w:val="24"/>
                <w:lang w:eastAsia="zh-CN"/>
              </w:rPr>
              <w:t>，</w:t>
            </w:r>
            <w:r>
              <w:rPr>
                <w:rFonts w:hint="default" w:ascii="Times New Roman" w:hAnsi="Times New Roman" w:cs="Times New Roman"/>
                <w:color w:val="auto"/>
                <w:szCs w:val="24"/>
              </w:rPr>
              <w:t>废水进入园区（各类工业园区、开发区、工业聚集地等）污水处理厂执行间接排放限值，未规定限值的污染物项目</w:t>
            </w:r>
            <w:r>
              <w:rPr>
                <w:rFonts w:hint="eastAsia" w:ascii="Times New Roman" w:hAnsi="Times New Roman" w:cs="Times New Roman"/>
                <w:color w:val="auto"/>
                <w:szCs w:val="24"/>
                <w:lang w:val="en-US" w:eastAsia="zh-CN"/>
              </w:rPr>
              <w:t>由</w:t>
            </w:r>
            <w:r>
              <w:rPr>
                <w:rFonts w:hint="default" w:ascii="Times New Roman" w:hAnsi="Times New Roman" w:cs="Times New Roman"/>
                <w:color w:val="auto"/>
                <w:szCs w:val="24"/>
              </w:rPr>
              <w:t>园区污水处理厂根据其污水处理能力商定相关标准，并报当地环境保护主管部门备案。</w:t>
            </w:r>
            <w:r>
              <w:rPr>
                <w:rFonts w:hint="default" w:ascii="Times New Roman" w:hAnsi="Times New Roman" w:cs="Times New Roman"/>
                <w:bCs/>
                <w:color w:val="auto"/>
              </w:rPr>
              <w:t>《</w:t>
            </w:r>
            <w:r>
              <w:rPr>
                <w:rFonts w:hint="default" w:ascii="Times New Roman" w:hAnsi="Times New Roman" w:cs="Times New Roman"/>
                <w:color w:val="auto"/>
                <w:szCs w:val="24"/>
              </w:rPr>
              <w:t>合成树脂工业污染物排放标准》（GB 31572－2015）中</w:t>
            </w:r>
            <w:r>
              <w:rPr>
                <w:rFonts w:hint="default" w:ascii="Times New Roman" w:hAnsi="Times New Roman" w:cs="Times New Roman"/>
                <w:bCs/>
                <w:color w:val="auto"/>
              </w:rPr>
              <w:t>未规定</w:t>
            </w:r>
            <w:r>
              <w:rPr>
                <w:rFonts w:hint="default" w:ascii="Times New Roman" w:hAnsi="Times New Roman" w:cs="Times New Roman"/>
                <w:color w:val="auto"/>
                <w:szCs w:val="24"/>
              </w:rPr>
              <w:t>pH、</w:t>
            </w:r>
            <w:r>
              <w:rPr>
                <w:rFonts w:hint="default" w:ascii="Times New Roman" w:hAnsi="Times New Roman" w:cs="Times New Roman"/>
                <w:bCs/>
                <w:color w:val="auto"/>
              </w:rPr>
              <w:t>COD、氨氮、SS排放限值。因此，本项目废水执行</w:t>
            </w:r>
            <w:r>
              <w:rPr>
                <w:rFonts w:hint="default" w:ascii="Times New Roman" w:hAnsi="Times New Roman" w:cs="Times New Roman"/>
                <w:color w:val="auto"/>
                <w:szCs w:val="24"/>
              </w:rPr>
              <w:t>《污水综合排放标准》（GB8978-1996）中的三级标准。</w:t>
            </w:r>
          </w:p>
          <w:p w14:paraId="4150135A">
            <w:pPr>
              <w:pStyle w:val="49"/>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auto"/>
                <w:szCs w:val="24"/>
              </w:rPr>
            </w:pPr>
            <w:r>
              <w:rPr>
                <w:rFonts w:hint="default" w:ascii="Times New Roman" w:hAnsi="Times New Roman" w:cs="Times New Roman"/>
                <w:bCs/>
                <w:color w:val="auto"/>
              </w:rPr>
              <w:t>生活污水排入租赁厂房已建生化池处理</w:t>
            </w:r>
            <w:r>
              <w:rPr>
                <w:rFonts w:hint="default" w:ascii="Times New Roman" w:hAnsi="Times New Roman" w:cs="Times New Roman"/>
                <w:color w:val="auto"/>
                <w:szCs w:val="24"/>
              </w:rPr>
              <w:t>达《污水综合排放标准》（GB8978-1996）中的三级标准后</w:t>
            </w:r>
            <w:r>
              <w:rPr>
                <w:rFonts w:hint="default" w:ascii="Times New Roman" w:hAnsi="Times New Roman" w:cs="Times New Roman"/>
                <w:bCs/>
                <w:color w:val="auto"/>
              </w:rPr>
              <w:t>排入市政污水管网</w:t>
            </w:r>
            <w:r>
              <w:rPr>
                <w:rFonts w:hint="default" w:ascii="Times New Roman" w:hAnsi="Times New Roman" w:cs="Times New Roman"/>
                <w:bCs/>
                <w:color w:val="auto"/>
                <w:lang w:eastAsia="zh-CN"/>
              </w:rPr>
              <w:t>。</w:t>
            </w:r>
            <w:r>
              <w:rPr>
                <w:rFonts w:hint="default" w:ascii="Times New Roman" w:hAnsi="Times New Roman" w:cs="Times New Roman"/>
                <w:bCs/>
                <w:color w:val="auto"/>
              </w:rPr>
              <w:t>废水最终经大竹县工业园区污水处理厂</w:t>
            </w:r>
            <w:r>
              <w:rPr>
                <w:rFonts w:hint="default" w:ascii="Times New Roman" w:hAnsi="Times New Roman" w:cs="Times New Roman"/>
                <w:color w:val="auto"/>
                <w:szCs w:val="24"/>
              </w:rPr>
              <w:t>处理达《城镇污水处理厂污染物排放标准》（GB18918-2002）一级A标准后排入</w:t>
            </w:r>
            <w:r>
              <w:rPr>
                <w:rFonts w:hint="default" w:ascii="Times New Roman" w:hAnsi="Times New Roman" w:cs="Times New Roman"/>
                <w:color w:val="auto"/>
                <w:szCs w:val="24"/>
                <w:lang w:val="en-US" w:eastAsia="zh-CN"/>
              </w:rPr>
              <w:t>东柳河</w:t>
            </w:r>
            <w:r>
              <w:rPr>
                <w:rFonts w:hint="default" w:ascii="Times New Roman" w:hAnsi="Times New Roman" w:cs="Times New Roman"/>
                <w:color w:val="auto"/>
                <w:szCs w:val="24"/>
              </w:rPr>
              <w:t>。标准详见表3.3-</w:t>
            </w:r>
            <w:r>
              <w:rPr>
                <w:rFonts w:hint="default" w:ascii="Times New Roman" w:hAnsi="Times New Roman" w:cs="Times New Roman"/>
                <w:color w:val="auto"/>
                <w:szCs w:val="24"/>
                <w:lang w:val="en-US" w:eastAsia="zh-CN"/>
              </w:rPr>
              <w:t>4</w:t>
            </w:r>
            <w:r>
              <w:rPr>
                <w:rFonts w:hint="default" w:ascii="Times New Roman" w:hAnsi="Times New Roman" w:cs="Times New Roman"/>
                <w:color w:val="auto"/>
                <w:szCs w:val="24"/>
              </w:rPr>
              <w:t>。</w:t>
            </w:r>
          </w:p>
          <w:p w14:paraId="783CA8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表3.3-</w:t>
            </w:r>
            <w:r>
              <w:rPr>
                <w:rFonts w:hint="eastAsia" w:cs="Times New Roman"/>
                <w:b/>
                <w:bCs/>
                <w:color w:val="auto"/>
                <w:sz w:val="24"/>
                <w:lang w:val="en-US" w:eastAsia="zh-CN"/>
              </w:rPr>
              <w:t>2</w:t>
            </w:r>
            <w:r>
              <w:rPr>
                <w:rFonts w:hint="default" w:ascii="Times New Roman" w:hAnsi="Times New Roman" w:cs="Times New Roman"/>
                <w:b/>
                <w:bCs/>
                <w:color w:val="auto"/>
                <w:sz w:val="24"/>
              </w:rPr>
              <w:t xml:space="preserve">  水污染物排放标准[摘录]   单位：mg/L</w:t>
            </w:r>
          </w:p>
          <w:tbl>
            <w:tblPr>
              <w:tblStyle w:val="35"/>
              <w:tblW w:w="8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1663"/>
              <w:gridCol w:w="2719"/>
              <w:gridCol w:w="1631"/>
              <w:gridCol w:w="1924"/>
            </w:tblGrid>
            <w:tr w14:paraId="31BF3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noWrap w:val="0"/>
                  <w:vAlign w:val="center"/>
                </w:tcPr>
                <w:p w14:paraId="420DFF6D">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663" w:type="dxa"/>
                  <w:noWrap w:val="0"/>
                  <w:vAlign w:val="center"/>
                </w:tcPr>
                <w:p w14:paraId="54C5DAA0">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w:t>
                  </w:r>
                </w:p>
                <w:p w14:paraId="016B3795">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p>
              </w:tc>
              <w:tc>
                <w:tcPr>
                  <w:tcW w:w="2719" w:type="dxa"/>
                  <w:noWrap w:val="0"/>
                  <w:vAlign w:val="center"/>
                </w:tcPr>
                <w:p w14:paraId="7B512A20">
                  <w:pPr>
                    <w:pStyle w:val="14"/>
                    <w:spacing w:before="0" w:after="0" w:line="240" w:lineRule="auto"/>
                    <w:ind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《合成树脂工业污染物排放标准》（GB 31572－2015）</w:t>
                  </w:r>
                </w:p>
                <w:p w14:paraId="5BB17399">
                  <w:pPr>
                    <w:pStyle w:val="14"/>
                    <w:spacing w:before="0" w:after="0" w:line="240" w:lineRule="auto"/>
                    <w:ind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（间接排放）</w:t>
                  </w:r>
                </w:p>
              </w:tc>
              <w:tc>
                <w:tcPr>
                  <w:tcW w:w="1631" w:type="dxa"/>
                  <w:noWrap w:val="0"/>
                  <w:vAlign w:val="center"/>
                </w:tcPr>
                <w:p w14:paraId="058A67A3">
                  <w:pPr>
                    <w:pStyle w:val="14"/>
                    <w:spacing w:before="0" w:after="0" w:line="240" w:lineRule="auto"/>
                    <w:ind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《污水综合排放标准》(GB8978-1996)三级标准</w:t>
                  </w:r>
                </w:p>
              </w:tc>
              <w:tc>
                <w:tcPr>
                  <w:tcW w:w="1924" w:type="dxa"/>
                  <w:noWrap w:val="0"/>
                  <w:vAlign w:val="center"/>
                </w:tcPr>
                <w:p w14:paraId="16EE6125">
                  <w:pPr>
                    <w:pStyle w:val="14"/>
                    <w:spacing w:before="0" w:after="0" w:line="240" w:lineRule="auto"/>
                    <w:ind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《城镇污水处理厂污染物排放标准》（GB18918-2002）一级A</w:t>
                  </w:r>
                  <w:r>
                    <w:rPr>
                      <w:rFonts w:hint="eastAsia" w:cs="Times New Roman"/>
                      <w:color w:val="auto"/>
                      <w:sz w:val="21"/>
                      <w:szCs w:val="21"/>
                      <w:lang w:eastAsia="zh-CN"/>
                    </w:rPr>
                    <w:t>标准</w:t>
                  </w:r>
                </w:p>
              </w:tc>
            </w:tr>
            <w:tr w14:paraId="60A0B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noWrap w:val="0"/>
                  <w:vAlign w:val="center"/>
                </w:tcPr>
                <w:p w14:paraId="4B82A120">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663" w:type="dxa"/>
                  <w:noWrap w:val="0"/>
                  <w:vAlign w:val="center"/>
                </w:tcPr>
                <w:p w14:paraId="352D7FCD">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pH值(无纲量)</w:t>
                  </w:r>
                </w:p>
              </w:tc>
              <w:tc>
                <w:tcPr>
                  <w:tcW w:w="2719" w:type="dxa"/>
                  <w:noWrap w:val="0"/>
                  <w:vAlign w:val="center"/>
                </w:tcPr>
                <w:p w14:paraId="576333CF">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631" w:type="dxa"/>
                  <w:noWrap w:val="0"/>
                  <w:vAlign w:val="center"/>
                </w:tcPr>
                <w:p w14:paraId="04E42138">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6～9</w:t>
                  </w:r>
                </w:p>
              </w:tc>
              <w:tc>
                <w:tcPr>
                  <w:tcW w:w="1924" w:type="dxa"/>
                  <w:noWrap w:val="0"/>
                  <w:vAlign w:val="center"/>
                </w:tcPr>
                <w:p w14:paraId="221B4971">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6～9</w:t>
                  </w:r>
                </w:p>
              </w:tc>
            </w:tr>
            <w:tr w14:paraId="73DAA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noWrap w:val="0"/>
                  <w:vAlign w:val="center"/>
                </w:tcPr>
                <w:p w14:paraId="4B7F9856">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w:t>
                  </w:r>
                </w:p>
              </w:tc>
              <w:tc>
                <w:tcPr>
                  <w:tcW w:w="1663" w:type="dxa"/>
                  <w:noWrap w:val="0"/>
                  <w:vAlign w:val="center"/>
                </w:tcPr>
                <w:p w14:paraId="70AAD63F">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w:t>
                  </w:r>
                </w:p>
              </w:tc>
              <w:tc>
                <w:tcPr>
                  <w:tcW w:w="2719" w:type="dxa"/>
                  <w:noWrap w:val="0"/>
                  <w:vAlign w:val="center"/>
                </w:tcPr>
                <w:p w14:paraId="66ED44A2">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631" w:type="dxa"/>
                  <w:noWrap w:val="0"/>
                  <w:vAlign w:val="center"/>
                </w:tcPr>
                <w:p w14:paraId="2567AD68">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500</w:t>
                  </w:r>
                </w:p>
              </w:tc>
              <w:tc>
                <w:tcPr>
                  <w:tcW w:w="1924" w:type="dxa"/>
                  <w:noWrap w:val="0"/>
                  <w:vAlign w:val="center"/>
                </w:tcPr>
                <w:p w14:paraId="661EABF2">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50</w:t>
                  </w:r>
                </w:p>
              </w:tc>
            </w:tr>
            <w:tr w14:paraId="1560A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noWrap w:val="0"/>
                  <w:vAlign w:val="center"/>
                </w:tcPr>
                <w:p w14:paraId="0EBFF613">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w:t>
                  </w:r>
                </w:p>
              </w:tc>
              <w:tc>
                <w:tcPr>
                  <w:tcW w:w="1663" w:type="dxa"/>
                  <w:noWrap w:val="0"/>
                  <w:vAlign w:val="center"/>
                </w:tcPr>
                <w:p w14:paraId="275F0677">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w:t>
                  </w:r>
                </w:p>
              </w:tc>
              <w:tc>
                <w:tcPr>
                  <w:tcW w:w="2719" w:type="dxa"/>
                  <w:noWrap w:val="0"/>
                  <w:vAlign w:val="center"/>
                </w:tcPr>
                <w:p w14:paraId="33CFF5F6">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631" w:type="dxa"/>
                  <w:noWrap w:val="0"/>
                  <w:vAlign w:val="center"/>
                </w:tcPr>
                <w:p w14:paraId="12503B28">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w:t>
                  </w:r>
                </w:p>
              </w:tc>
              <w:tc>
                <w:tcPr>
                  <w:tcW w:w="1924" w:type="dxa"/>
                  <w:noWrap w:val="0"/>
                  <w:vAlign w:val="center"/>
                </w:tcPr>
                <w:p w14:paraId="2F7277B6">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r>
            <w:tr w14:paraId="474B0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noWrap w:val="0"/>
                  <w:vAlign w:val="center"/>
                </w:tcPr>
                <w:p w14:paraId="0DDD5BFE">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1663" w:type="dxa"/>
                  <w:noWrap w:val="0"/>
                  <w:vAlign w:val="center"/>
                </w:tcPr>
                <w:p w14:paraId="53D5C80D">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氨氮</w:t>
                  </w:r>
                </w:p>
              </w:tc>
              <w:tc>
                <w:tcPr>
                  <w:tcW w:w="2719" w:type="dxa"/>
                  <w:noWrap w:val="0"/>
                  <w:vAlign w:val="center"/>
                </w:tcPr>
                <w:p w14:paraId="196A5ACC">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631" w:type="dxa"/>
                  <w:noWrap w:val="0"/>
                  <w:vAlign w:val="center"/>
                </w:tcPr>
                <w:p w14:paraId="1728670F">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45*</w:t>
                  </w:r>
                </w:p>
              </w:tc>
              <w:tc>
                <w:tcPr>
                  <w:tcW w:w="1924" w:type="dxa"/>
                  <w:noWrap w:val="0"/>
                  <w:vAlign w:val="center"/>
                </w:tcPr>
                <w:p w14:paraId="097E3397">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5(8)</w:t>
                  </w:r>
                </w:p>
              </w:tc>
            </w:tr>
            <w:tr w14:paraId="5C06F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noWrap w:val="0"/>
                  <w:vAlign w:val="center"/>
                </w:tcPr>
                <w:p w14:paraId="19C5A468">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w:t>
                  </w:r>
                </w:p>
              </w:tc>
              <w:tc>
                <w:tcPr>
                  <w:tcW w:w="1663" w:type="dxa"/>
                  <w:noWrap w:val="0"/>
                  <w:vAlign w:val="center"/>
                </w:tcPr>
                <w:p w14:paraId="7AB79014">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p>
              </w:tc>
              <w:tc>
                <w:tcPr>
                  <w:tcW w:w="2719" w:type="dxa"/>
                  <w:noWrap w:val="0"/>
                  <w:vAlign w:val="center"/>
                </w:tcPr>
                <w:p w14:paraId="64CCC336">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631" w:type="dxa"/>
                  <w:noWrap w:val="0"/>
                  <w:vAlign w:val="center"/>
                </w:tcPr>
                <w:p w14:paraId="22EE771E">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300</w:t>
                  </w:r>
                </w:p>
              </w:tc>
              <w:tc>
                <w:tcPr>
                  <w:tcW w:w="1924" w:type="dxa"/>
                  <w:noWrap w:val="0"/>
                  <w:vAlign w:val="center"/>
                </w:tcPr>
                <w:p w14:paraId="5F7DE975">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w:t>
                  </w:r>
                </w:p>
              </w:tc>
            </w:tr>
            <w:tr w14:paraId="222FC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dxa"/>
                  <w:noWrap w:val="0"/>
                  <w:vAlign w:val="center"/>
                </w:tcPr>
                <w:p w14:paraId="5BA243FB">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w:t>
                  </w:r>
                </w:p>
              </w:tc>
              <w:tc>
                <w:tcPr>
                  <w:tcW w:w="1663" w:type="dxa"/>
                  <w:noWrap w:val="0"/>
                  <w:vAlign w:val="center"/>
                </w:tcPr>
                <w:p w14:paraId="587D9FE0">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石油类</w:t>
                  </w:r>
                </w:p>
              </w:tc>
              <w:tc>
                <w:tcPr>
                  <w:tcW w:w="2719" w:type="dxa"/>
                  <w:noWrap w:val="0"/>
                  <w:vAlign w:val="center"/>
                </w:tcPr>
                <w:p w14:paraId="005340F1">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631" w:type="dxa"/>
                  <w:noWrap w:val="0"/>
                  <w:vAlign w:val="center"/>
                </w:tcPr>
                <w:p w14:paraId="642B2D55">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w:t>
                  </w:r>
                </w:p>
              </w:tc>
              <w:tc>
                <w:tcPr>
                  <w:tcW w:w="1924" w:type="dxa"/>
                  <w:noWrap w:val="0"/>
                  <w:vAlign w:val="center"/>
                </w:tcPr>
                <w:p w14:paraId="2FFABD1E">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r>
            <w:tr w14:paraId="491EF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4" w:type="dxa"/>
                  <w:gridSpan w:val="5"/>
                  <w:noWrap w:val="0"/>
                  <w:vAlign w:val="center"/>
                </w:tcPr>
                <w:p w14:paraId="6DBCB08C">
                  <w:pPr>
                    <w:spacing w:line="240" w:lineRule="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注：①*氨氮参照执行《污水排入城镇下水道水质标准》（GB/T31962-2015）；②括号外数值为水温＞12℃时的控制指标，括号内数值为水温≤12℃时的控制指标。</w:t>
                  </w:r>
                </w:p>
              </w:tc>
            </w:tr>
          </w:tbl>
          <w:p w14:paraId="16B2926D">
            <w:pPr>
              <w:pStyle w:val="49"/>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color w:val="auto"/>
              </w:rPr>
            </w:pPr>
            <w:r>
              <w:rPr>
                <w:rFonts w:hint="default" w:ascii="Times New Roman" w:hAnsi="Times New Roman" w:cs="Times New Roman"/>
                <w:b/>
                <w:color w:val="auto"/>
              </w:rPr>
              <w:t>3.3.3噪声排放标准</w:t>
            </w:r>
          </w:p>
          <w:p w14:paraId="42B70A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sz w:val="24"/>
                <w:highlight w:val="none"/>
                <w:lang w:val="en-US" w:eastAsia="zh-CN"/>
              </w:rPr>
              <w:t>本项目位于大竹县工业园区，项目运营</w:t>
            </w:r>
            <w:r>
              <w:rPr>
                <w:rFonts w:hint="default" w:ascii="Times New Roman" w:hAnsi="Times New Roman" w:cs="Times New Roman"/>
                <w:color w:val="auto"/>
                <w:sz w:val="24"/>
                <w:highlight w:val="none"/>
              </w:rPr>
              <w:t>期厂界噪声执行《工业企业厂界环境噪声排放标准》（GB12348-2008）中3类标准，标准</w:t>
            </w:r>
            <w:r>
              <w:rPr>
                <w:rFonts w:hint="default" w:ascii="Times New Roman" w:hAnsi="Times New Roman" w:cs="Times New Roman"/>
                <w:color w:val="auto"/>
                <w:kern w:val="0"/>
                <w:sz w:val="24"/>
                <w:highlight w:val="none"/>
              </w:rPr>
              <w:t>见表3.3-</w:t>
            </w:r>
            <w:r>
              <w:rPr>
                <w:rFonts w:hint="default" w:ascii="Times New Roman" w:hAnsi="Times New Roman" w:cs="Times New Roman"/>
                <w:color w:val="auto"/>
                <w:kern w:val="0"/>
                <w:sz w:val="24"/>
                <w:highlight w:val="none"/>
                <w:lang w:val="en-US" w:eastAsia="zh-CN"/>
              </w:rPr>
              <w:t>5</w:t>
            </w:r>
            <w:r>
              <w:rPr>
                <w:rFonts w:hint="default" w:ascii="Times New Roman" w:hAnsi="Times New Roman" w:cs="Times New Roman"/>
                <w:color w:val="auto"/>
                <w:kern w:val="0"/>
                <w:sz w:val="24"/>
                <w:highlight w:val="none"/>
              </w:rPr>
              <w:t>。</w:t>
            </w:r>
          </w:p>
          <w:p w14:paraId="18F3EAF3">
            <w:pPr>
              <w:spacing w:line="240" w:lineRule="auto"/>
              <w:jc w:val="center"/>
              <w:rPr>
                <w:rFonts w:hint="default" w:ascii="Times New Roman" w:hAnsi="Times New Roman" w:cs="Times New Roman"/>
                <w:b/>
                <w:color w:val="auto"/>
                <w:kern w:val="0"/>
                <w:sz w:val="24"/>
                <w:highlight w:val="none"/>
              </w:rPr>
            </w:pPr>
            <w:r>
              <w:rPr>
                <w:rFonts w:hint="default" w:ascii="Times New Roman" w:hAnsi="Times New Roman" w:cs="Times New Roman"/>
                <w:b/>
                <w:color w:val="auto"/>
                <w:kern w:val="0"/>
                <w:sz w:val="24"/>
                <w:highlight w:val="none"/>
              </w:rPr>
              <w:t>表3.3-</w:t>
            </w:r>
            <w:r>
              <w:rPr>
                <w:rFonts w:hint="eastAsia" w:cs="Times New Roman"/>
                <w:b/>
                <w:color w:val="auto"/>
                <w:kern w:val="0"/>
                <w:sz w:val="24"/>
                <w:highlight w:val="none"/>
                <w:lang w:val="en-US" w:eastAsia="zh-CN"/>
              </w:rPr>
              <w:t>3</w:t>
            </w:r>
            <w:r>
              <w:rPr>
                <w:rFonts w:hint="default" w:ascii="Times New Roman" w:hAnsi="Times New Roman" w:cs="Times New Roman"/>
                <w:b/>
                <w:color w:val="auto"/>
                <w:kern w:val="0"/>
                <w:sz w:val="24"/>
                <w:highlight w:val="none"/>
              </w:rPr>
              <w:t xml:space="preserve">   噪声标准值  单位：dB（A）</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52"/>
              <w:gridCol w:w="2574"/>
              <w:gridCol w:w="2643"/>
            </w:tblGrid>
            <w:tr w14:paraId="15B0F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1" w:hRule="atLeast"/>
                <w:jc w:val="center"/>
              </w:trPr>
              <w:tc>
                <w:tcPr>
                  <w:tcW w:w="5000" w:type="pct"/>
                  <w:gridSpan w:val="3"/>
                  <w:noWrap w:val="0"/>
                  <w:vAlign w:val="center"/>
                </w:tcPr>
                <w:p w14:paraId="6032B29D">
                  <w:pPr>
                    <w:spacing w:line="240" w:lineRule="auto"/>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《工业企业厂界环境噪声排放标准》（GB12348-2008）</w:t>
                  </w:r>
                </w:p>
              </w:tc>
            </w:tr>
            <w:tr w14:paraId="42B51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55" w:type="pct"/>
                  <w:noWrap w:val="0"/>
                  <w:vAlign w:val="center"/>
                </w:tcPr>
                <w:p w14:paraId="6E55B199">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声环境功能区类别</w:t>
                  </w:r>
                </w:p>
              </w:tc>
              <w:tc>
                <w:tcPr>
                  <w:tcW w:w="1501" w:type="pct"/>
                  <w:noWrap w:val="0"/>
                  <w:vAlign w:val="center"/>
                </w:tcPr>
                <w:p w14:paraId="307C3560">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w:t>
                  </w:r>
                </w:p>
              </w:tc>
              <w:tc>
                <w:tcPr>
                  <w:tcW w:w="1542" w:type="pct"/>
                  <w:noWrap w:val="0"/>
                  <w:vAlign w:val="center"/>
                </w:tcPr>
                <w:p w14:paraId="43C3630E">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夜间</w:t>
                  </w:r>
                </w:p>
              </w:tc>
            </w:tr>
            <w:tr w14:paraId="282B2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55" w:type="pct"/>
                  <w:noWrap w:val="0"/>
                  <w:vAlign w:val="center"/>
                </w:tcPr>
                <w:p w14:paraId="70987F50">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3类</w:t>
                  </w:r>
                </w:p>
              </w:tc>
              <w:tc>
                <w:tcPr>
                  <w:tcW w:w="1501" w:type="pct"/>
                  <w:noWrap w:val="0"/>
                  <w:vAlign w:val="center"/>
                </w:tcPr>
                <w:p w14:paraId="7DF23F06">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65</w:t>
                  </w:r>
                </w:p>
              </w:tc>
              <w:tc>
                <w:tcPr>
                  <w:tcW w:w="1542" w:type="pct"/>
                  <w:noWrap w:val="0"/>
                  <w:vAlign w:val="center"/>
                </w:tcPr>
                <w:p w14:paraId="00894023">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55</w:t>
                  </w:r>
                </w:p>
              </w:tc>
            </w:tr>
          </w:tbl>
          <w:p w14:paraId="75D32A92">
            <w:pPr>
              <w:pStyle w:val="49"/>
              <w:keepNext w:val="0"/>
              <w:keepLines w:val="0"/>
              <w:pageBreakBefore w:val="0"/>
              <w:widowControl w:val="0"/>
              <w:kinsoku/>
              <w:wordWrap/>
              <w:overflowPunct/>
              <w:topLinePunct w:val="0"/>
              <w:autoSpaceDE/>
              <w:autoSpaceDN/>
              <w:bidi w:val="0"/>
              <w:ind w:firstLine="0" w:firstLineChars="0"/>
              <w:textAlignment w:val="auto"/>
              <w:rPr>
                <w:rFonts w:hint="default" w:ascii="Times New Roman" w:hAnsi="Times New Roman" w:cs="Times New Roman"/>
                <w:b/>
                <w:color w:val="auto"/>
              </w:rPr>
            </w:pPr>
            <w:r>
              <w:rPr>
                <w:rFonts w:hint="default" w:ascii="Times New Roman" w:hAnsi="Times New Roman" w:cs="Times New Roman"/>
                <w:b/>
                <w:color w:val="auto"/>
              </w:rPr>
              <w:t>3.3.4工业固体废物</w:t>
            </w:r>
          </w:p>
          <w:p w14:paraId="5ED1A443">
            <w:pPr>
              <w:pStyle w:val="49"/>
              <w:keepNext w:val="0"/>
              <w:keepLines w:val="0"/>
              <w:pageBreakBefore w:val="0"/>
              <w:widowControl w:val="0"/>
              <w:kinsoku/>
              <w:wordWrap/>
              <w:overflowPunct/>
              <w:topLinePunct w:val="0"/>
              <w:autoSpaceDE/>
              <w:autoSpaceDN/>
              <w:bidi w:val="0"/>
              <w:ind w:firstLine="480"/>
              <w:textAlignment w:val="auto"/>
              <w:rPr>
                <w:rFonts w:hint="default" w:ascii="Times New Roman" w:hAnsi="Times New Roman" w:cs="Times New Roman"/>
                <w:color w:val="auto"/>
                <w:szCs w:val="24"/>
              </w:rPr>
            </w:pPr>
            <w:r>
              <w:rPr>
                <w:rFonts w:hint="default" w:ascii="Times New Roman" w:hAnsi="Times New Roman" w:cs="Times New Roman"/>
                <w:color w:val="auto"/>
                <w:szCs w:val="24"/>
              </w:rPr>
              <w:t>项目设置一般工业固体废物暂存场所，其贮存过程应满足相应防渗漏、防雨淋、防扬尘等环境保护要求。</w:t>
            </w:r>
          </w:p>
          <w:p w14:paraId="1FED8DC0">
            <w:pPr>
              <w:pStyle w:val="53"/>
              <w:keepNext w:val="0"/>
              <w:keepLines w:val="0"/>
              <w:pageBreakBefore w:val="0"/>
              <w:widowControl w:val="0"/>
              <w:tabs>
                <w:tab w:val="left" w:pos="540"/>
                <w:tab w:val="left" w:pos="1080"/>
                <w:tab w:val="left" w:pos="1800"/>
              </w:tabs>
              <w:kinsoku/>
              <w:wordWrap/>
              <w:overflowPunct/>
              <w:topLinePunct w:val="0"/>
              <w:autoSpaceDE/>
              <w:autoSpaceDN/>
              <w:bidi w:val="0"/>
              <w:ind w:firstLine="480" w:firstLineChars="200"/>
              <w:textAlignment w:val="auto"/>
              <w:rPr>
                <w:rFonts w:hint="default" w:ascii="Times New Roman" w:hAnsi="Times New Roman" w:cs="Times New Roman"/>
                <w:color w:val="auto"/>
                <w:kern w:val="0"/>
              </w:rPr>
            </w:pPr>
            <w:r>
              <w:rPr>
                <w:rFonts w:hint="default" w:ascii="Times New Roman" w:hAnsi="Times New Roman" w:cs="Times New Roman"/>
                <w:color w:val="auto"/>
                <w:szCs w:val="24"/>
              </w:rPr>
              <w:t>危险废物执行《危险废物贮存污染控制标准》(GB185</w:t>
            </w:r>
            <w:r>
              <w:rPr>
                <w:rFonts w:hint="eastAsia" w:ascii="Times New Roman" w:hAnsi="Times New Roman" w:cs="Times New Roman"/>
                <w:color w:val="auto"/>
                <w:szCs w:val="24"/>
                <w:lang w:val="en-US" w:eastAsia="zh-CN"/>
              </w:rPr>
              <w:t>97</w:t>
            </w:r>
            <w:r>
              <w:rPr>
                <w:rFonts w:hint="default" w:ascii="Times New Roman" w:hAnsi="Times New Roman" w:cs="Times New Roman"/>
                <w:color w:val="auto"/>
                <w:szCs w:val="24"/>
              </w:rPr>
              <w:t>-2023)、</w:t>
            </w:r>
            <w:r>
              <w:rPr>
                <w:rFonts w:hint="default" w:ascii="Times New Roman" w:hAnsi="Times New Roman" w:cs="Times New Roman"/>
                <w:color w:val="auto"/>
              </w:rPr>
              <w:t>《危险废物转移管理办法》（部令第23号）中相关要求。</w:t>
            </w:r>
          </w:p>
        </w:tc>
      </w:tr>
      <w:tr w14:paraId="55126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2" w:hRule="atLeast"/>
          <w:jc w:val="center"/>
        </w:trPr>
        <w:tc>
          <w:tcPr>
            <w:tcW w:w="499" w:type="dxa"/>
            <w:noWrap w:val="0"/>
            <w:tcMar>
              <w:left w:w="28" w:type="dxa"/>
              <w:right w:w="28" w:type="dxa"/>
            </w:tcMar>
            <w:vAlign w:val="center"/>
          </w:tcPr>
          <w:p w14:paraId="151E1151">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总量</w:t>
            </w:r>
          </w:p>
          <w:p w14:paraId="751798D0">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控制</w:t>
            </w:r>
          </w:p>
          <w:p w14:paraId="7F390A35">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指标</w:t>
            </w:r>
          </w:p>
        </w:tc>
        <w:tc>
          <w:tcPr>
            <w:tcW w:w="8795" w:type="dxa"/>
            <w:noWrap w:val="0"/>
            <w:vAlign w:val="top"/>
          </w:tcPr>
          <w:p w14:paraId="709C308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FF"/>
                <w:sz w:val="24"/>
              </w:rPr>
            </w:pPr>
            <w:r>
              <w:rPr>
                <w:rFonts w:hint="default" w:ascii="Times New Roman" w:hAnsi="Times New Roman" w:cs="Times New Roman"/>
                <w:color w:val="0000FF"/>
                <w:sz w:val="24"/>
              </w:rPr>
              <w:t>本项目废水经大竹县工业园区污水处理厂处理达《城镇污水处理厂污染物排放标准》一级A标准后，排入东柳河。项目废水总量指标纳入污水处理厂统筹考虑。根据《关于做好“十四五”主要污染物总量减排工作的通知》（环办综合函〔2021〕323号）等相关要求，总量控制指标为并结合项目污染物特征，评价确定本项目总量控制指标为废气的VOCs（非甲烷总烃）。</w:t>
            </w:r>
            <w:r>
              <w:rPr>
                <w:rFonts w:hint="eastAsia" w:cs="Times New Roman"/>
                <w:color w:val="0000FF"/>
                <w:sz w:val="24"/>
                <w:lang w:val="en-US" w:eastAsia="zh-CN"/>
              </w:rPr>
              <w:t>项目总量指标如下：</w:t>
            </w:r>
          </w:p>
          <w:p w14:paraId="6EABD77A">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b/>
                <w:color w:val="0000FF"/>
                <w:sz w:val="24"/>
                <w:highlight w:val="none"/>
              </w:rPr>
            </w:pPr>
            <w:r>
              <w:rPr>
                <w:rFonts w:hint="default" w:ascii="Times New Roman" w:hAnsi="Times New Roman" w:cs="Times New Roman"/>
                <w:b/>
                <w:color w:val="0000FF"/>
                <w:sz w:val="24"/>
                <w:highlight w:val="none"/>
              </w:rPr>
              <w:t>废气</w:t>
            </w:r>
          </w:p>
          <w:p w14:paraId="667AAB1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00FF"/>
                <w:sz w:val="24"/>
                <w:highlight w:val="none"/>
              </w:rPr>
            </w:pPr>
            <w:r>
              <w:rPr>
                <w:rFonts w:hint="default" w:ascii="Times New Roman" w:hAnsi="Times New Roman" w:cs="Times New Roman"/>
                <w:color w:val="0000FF"/>
                <w:sz w:val="24"/>
                <w:highlight w:val="none"/>
              </w:rPr>
              <w:t>本项目</w:t>
            </w:r>
            <w:r>
              <w:rPr>
                <w:rFonts w:hint="eastAsia" w:ascii="Times New Roman" w:hAnsi="Times New Roman" w:cs="Times New Roman"/>
                <w:color w:val="0000FF"/>
                <w:sz w:val="24"/>
                <w:highlight w:val="none"/>
                <w:lang w:val="en-US" w:eastAsia="zh-CN"/>
              </w:rPr>
              <w:t>新增</w:t>
            </w:r>
            <w:r>
              <w:rPr>
                <w:rFonts w:hint="default" w:ascii="Times New Roman" w:hAnsi="Times New Roman" w:cs="Times New Roman"/>
                <w:color w:val="0000FF"/>
                <w:sz w:val="24"/>
                <w:highlight w:val="none"/>
                <w:lang w:val="en-US" w:eastAsia="zh-CN"/>
              </w:rPr>
              <w:t>总量为</w:t>
            </w:r>
            <w:r>
              <w:rPr>
                <w:rFonts w:hint="default" w:ascii="Times New Roman" w:hAnsi="Times New Roman" w:cs="Times New Roman"/>
                <w:color w:val="0000FF"/>
                <w:sz w:val="24"/>
                <w:highlight w:val="none"/>
                <w:lang w:eastAsia="zh-CN"/>
              </w:rPr>
              <w:t>：</w:t>
            </w:r>
            <w:r>
              <w:rPr>
                <w:rFonts w:hint="eastAsia" w:cs="Times New Roman"/>
                <w:color w:val="0000FF"/>
                <w:sz w:val="24"/>
                <w:highlight w:val="none"/>
                <w:lang w:val="en-US" w:eastAsia="zh-CN"/>
              </w:rPr>
              <w:t>现有项目</w:t>
            </w:r>
            <w:r>
              <w:rPr>
                <w:rFonts w:hint="eastAsia" w:ascii="Times New Roman" w:hAnsi="Times New Roman" w:cs="Times New Roman"/>
                <w:color w:val="0000FF"/>
                <w:sz w:val="24"/>
                <w:highlight w:val="none"/>
                <w:lang w:eastAsia="zh-CN"/>
              </w:rPr>
              <w:t>VOCs</w:t>
            </w:r>
            <w:r>
              <w:rPr>
                <w:rFonts w:hint="default" w:ascii="Times New Roman" w:hAnsi="Times New Roman" w:cs="Times New Roman"/>
                <w:color w:val="0000FF"/>
                <w:sz w:val="24"/>
                <w:highlight w:val="none"/>
              </w:rPr>
              <w:t>：</w:t>
            </w:r>
            <w:r>
              <w:rPr>
                <w:rFonts w:hint="eastAsia" w:cs="Times New Roman"/>
                <w:color w:val="0000FF"/>
                <w:sz w:val="24"/>
                <w:highlight w:val="none"/>
                <w:lang w:val="en-US" w:eastAsia="zh-CN"/>
              </w:rPr>
              <w:t>0.0209</w:t>
            </w:r>
            <w:r>
              <w:rPr>
                <w:rFonts w:hint="default" w:ascii="Times New Roman" w:hAnsi="Times New Roman" w:cs="Times New Roman"/>
                <w:color w:val="0000FF"/>
                <w:sz w:val="24"/>
                <w:highlight w:val="none"/>
              </w:rPr>
              <w:t>t/a</w:t>
            </w:r>
            <w:r>
              <w:rPr>
                <w:rFonts w:hint="eastAsia" w:ascii="Times New Roman" w:hAnsi="Times New Roman" w:cs="Times New Roman"/>
                <w:color w:val="0000FF"/>
                <w:sz w:val="24"/>
                <w:highlight w:val="none"/>
                <w:lang w:eastAsia="zh-CN"/>
              </w:rPr>
              <w:t>；</w:t>
            </w:r>
            <w:r>
              <w:rPr>
                <w:rFonts w:hint="eastAsia" w:ascii="Times New Roman" w:hAnsi="Times New Roman" w:cs="Times New Roman"/>
                <w:color w:val="0000FF"/>
                <w:sz w:val="24"/>
                <w:highlight w:val="none"/>
                <w:lang w:val="en-US" w:eastAsia="zh-CN"/>
              </w:rPr>
              <w:t>本项目</w:t>
            </w:r>
            <w:r>
              <w:rPr>
                <w:rFonts w:hint="eastAsia" w:ascii="Times New Roman" w:hAnsi="Times New Roman" w:cs="Times New Roman"/>
                <w:color w:val="0000FF"/>
                <w:sz w:val="24"/>
                <w:highlight w:val="none"/>
                <w:lang w:eastAsia="zh-CN"/>
              </w:rPr>
              <w:t>VOCs</w:t>
            </w:r>
            <w:r>
              <w:rPr>
                <w:rFonts w:hint="default" w:ascii="Times New Roman" w:hAnsi="Times New Roman" w:cs="Times New Roman"/>
                <w:color w:val="0000FF"/>
                <w:sz w:val="24"/>
                <w:highlight w:val="none"/>
              </w:rPr>
              <w:t>：</w:t>
            </w:r>
            <w:r>
              <w:rPr>
                <w:rFonts w:hint="eastAsia" w:cs="Times New Roman"/>
                <w:color w:val="0000FF"/>
                <w:sz w:val="24"/>
                <w:highlight w:val="none"/>
                <w:lang w:val="en-US" w:eastAsia="zh-CN"/>
              </w:rPr>
              <w:t>0.9542</w:t>
            </w:r>
            <w:r>
              <w:rPr>
                <w:rFonts w:hint="default" w:ascii="Times New Roman" w:hAnsi="Times New Roman" w:cs="Times New Roman"/>
                <w:color w:val="0000FF"/>
                <w:sz w:val="24"/>
                <w:highlight w:val="none"/>
              </w:rPr>
              <w:t>t/a</w:t>
            </w:r>
            <w:r>
              <w:rPr>
                <w:rFonts w:hint="eastAsia" w:ascii="Times New Roman" w:hAnsi="Times New Roman" w:cs="Times New Roman"/>
                <w:color w:val="0000FF"/>
                <w:sz w:val="24"/>
                <w:highlight w:val="none"/>
                <w:lang w:eastAsia="zh-CN"/>
              </w:rPr>
              <w:t>；</w:t>
            </w:r>
            <w:r>
              <w:rPr>
                <w:rFonts w:hint="eastAsia" w:ascii="Times New Roman" w:hAnsi="Times New Roman" w:cs="Times New Roman"/>
                <w:color w:val="0000FF"/>
                <w:sz w:val="24"/>
                <w:highlight w:val="none"/>
                <w:lang w:val="en-US" w:eastAsia="zh-CN"/>
              </w:rPr>
              <w:t>新增</w:t>
            </w:r>
            <w:r>
              <w:rPr>
                <w:rFonts w:hint="eastAsia" w:ascii="Times New Roman" w:hAnsi="Times New Roman" w:cs="Times New Roman"/>
                <w:color w:val="0000FF"/>
                <w:sz w:val="24"/>
                <w:highlight w:val="none"/>
                <w:lang w:eastAsia="zh-CN"/>
              </w:rPr>
              <w:t>VOCs</w:t>
            </w:r>
            <w:r>
              <w:rPr>
                <w:rFonts w:hint="default" w:ascii="Times New Roman" w:hAnsi="Times New Roman" w:cs="Times New Roman"/>
                <w:color w:val="0000FF"/>
                <w:sz w:val="24"/>
                <w:highlight w:val="none"/>
              </w:rPr>
              <w:t>有组织：</w:t>
            </w:r>
            <w:r>
              <w:rPr>
                <w:rFonts w:hint="eastAsia" w:cs="Times New Roman"/>
                <w:color w:val="0000FF"/>
                <w:sz w:val="24"/>
                <w:highlight w:val="none"/>
                <w:lang w:val="en-US" w:eastAsia="zh-CN"/>
              </w:rPr>
              <w:t>0.9333</w:t>
            </w:r>
            <w:r>
              <w:rPr>
                <w:rFonts w:hint="default" w:ascii="Times New Roman" w:hAnsi="Times New Roman" w:cs="Times New Roman"/>
                <w:color w:val="0000FF"/>
                <w:sz w:val="24"/>
                <w:highlight w:val="none"/>
              </w:rPr>
              <w:t>t/a。</w:t>
            </w:r>
          </w:p>
          <w:p w14:paraId="47AD93C5">
            <w:pPr>
              <w:pStyle w:val="53"/>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color w:val="0000FF"/>
                <w:sz w:val="24"/>
                <w:highlight w:val="none"/>
                <w:lang w:val="en-US" w:eastAsia="zh-CN"/>
              </w:rPr>
            </w:pPr>
            <w:r>
              <w:rPr>
                <w:rFonts w:hint="default" w:ascii="Times New Roman" w:hAnsi="Times New Roman" w:cs="Times New Roman"/>
                <w:b/>
                <w:color w:val="0000FF"/>
                <w:kern w:val="0"/>
                <w:sz w:val="24"/>
                <w:highlight w:val="none"/>
              </w:rPr>
              <w:t>表3.3-</w:t>
            </w:r>
            <w:r>
              <w:rPr>
                <w:rFonts w:hint="default" w:ascii="Times New Roman" w:hAnsi="Times New Roman" w:cs="Times New Roman"/>
                <w:b/>
                <w:color w:val="0000FF"/>
                <w:kern w:val="0"/>
                <w:sz w:val="24"/>
                <w:highlight w:val="none"/>
                <w:lang w:val="en-US" w:eastAsia="zh-CN"/>
              </w:rPr>
              <w:t>3</w:t>
            </w:r>
            <w:r>
              <w:rPr>
                <w:rFonts w:hint="default" w:ascii="Times New Roman" w:hAnsi="Times New Roman" w:cs="Times New Roman"/>
                <w:b/>
                <w:color w:val="0000FF"/>
                <w:kern w:val="0"/>
                <w:sz w:val="24"/>
                <w:highlight w:val="none"/>
              </w:rPr>
              <w:t xml:space="preserve">   </w:t>
            </w:r>
            <w:r>
              <w:rPr>
                <w:rFonts w:hint="eastAsia" w:ascii="Times New Roman" w:hAnsi="Times New Roman" w:cs="Times New Roman"/>
                <w:b/>
                <w:color w:val="0000FF"/>
                <w:kern w:val="0"/>
                <w:sz w:val="24"/>
                <w:highlight w:val="none"/>
                <w:lang w:val="en-US" w:eastAsia="zh-CN"/>
              </w:rPr>
              <w:t>本项目VOCs指标变化情况</w:t>
            </w:r>
          </w:p>
          <w:tbl>
            <w:tblPr>
              <w:tblStyle w:val="35"/>
              <w:tblW w:w="850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686"/>
              <w:gridCol w:w="2686"/>
              <w:gridCol w:w="3132"/>
            </w:tblGrid>
            <w:tr w14:paraId="6FDCE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2" w:hRule="atLeast"/>
                <w:jc w:val="center"/>
              </w:trPr>
              <w:tc>
                <w:tcPr>
                  <w:tcW w:w="2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CE3B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现有总量指标</w:t>
                  </w:r>
                </w:p>
              </w:tc>
              <w:tc>
                <w:tcPr>
                  <w:tcW w:w="2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BE5A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cs="Times New Roman"/>
                      <w:i w:val="0"/>
                      <w:iCs w:val="0"/>
                      <w:color w:val="0000FF"/>
                      <w:kern w:val="0"/>
                      <w:sz w:val="21"/>
                      <w:szCs w:val="21"/>
                      <w:u w:val="none"/>
                      <w:lang w:val="en-US" w:eastAsia="zh-CN" w:bidi="ar"/>
                    </w:rPr>
                    <w:t>本项目总量</w:t>
                  </w:r>
                  <w:r>
                    <w:rPr>
                      <w:rFonts w:hint="default" w:ascii="Times New Roman" w:hAnsi="Times New Roman" w:eastAsia="宋体" w:cs="Times New Roman"/>
                      <w:i w:val="0"/>
                      <w:iCs w:val="0"/>
                      <w:color w:val="0000FF"/>
                      <w:kern w:val="0"/>
                      <w:sz w:val="21"/>
                      <w:szCs w:val="21"/>
                      <w:u w:val="none"/>
                      <w:lang w:val="en-US" w:eastAsia="zh-CN" w:bidi="ar"/>
                    </w:rPr>
                    <w:t>指标</w:t>
                  </w:r>
                </w:p>
              </w:tc>
              <w:tc>
                <w:tcPr>
                  <w:tcW w:w="3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F4A9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cs="Times New Roman"/>
                      <w:i w:val="0"/>
                      <w:iCs w:val="0"/>
                      <w:color w:val="0000FF"/>
                      <w:kern w:val="0"/>
                      <w:sz w:val="21"/>
                      <w:szCs w:val="21"/>
                      <w:u w:val="none"/>
                      <w:lang w:val="en-US" w:eastAsia="zh-CN" w:bidi="ar"/>
                    </w:rPr>
                    <w:t>新增总量</w:t>
                  </w:r>
                  <w:r>
                    <w:rPr>
                      <w:rFonts w:hint="default" w:ascii="Times New Roman" w:hAnsi="Times New Roman" w:eastAsia="宋体" w:cs="Times New Roman"/>
                      <w:i w:val="0"/>
                      <w:iCs w:val="0"/>
                      <w:color w:val="0000FF"/>
                      <w:kern w:val="0"/>
                      <w:sz w:val="21"/>
                      <w:szCs w:val="21"/>
                      <w:u w:val="none"/>
                      <w:lang w:val="en-US" w:eastAsia="zh-CN" w:bidi="ar"/>
                    </w:rPr>
                    <w:t>指标</w:t>
                  </w:r>
                </w:p>
              </w:tc>
            </w:tr>
            <w:tr w14:paraId="30116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 w:hRule="atLeast"/>
                <w:jc w:val="center"/>
              </w:trPr>
              <w:tc>
                <w:tcPr>
                  <w:tcW w:w="2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C919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lang w:val="en-US"/>
                    </w:rPr>
                  </w:pPr>
                  <w:r>
                    <w:rPr>
                      <w:rFonts w:hint="default" w:ascii="Times New Roman" w:hAnsi="Times New Roman" w:eastAsia="宋体" w:cs="Times New Roman"/>
                      <w:i w:val="0"/>
                      <w:iCs w:val="0"/>
                      <w:color w:val="0000FF"/>
                      <w:kern w:val="0"/>
                      <w:sz w:val="21"/>
                      <w:szCs w:val="21"/>
                      <w:u w:val="none"/>
                      <w:lang w:val="en-US" w:eastAsia="zh-CN" w:bidi="ar"/>
                    </w:rPr>
                    <w:t>0.0</w:t>
                  </w:r>
                  <w:r>
                    <w:rPr>
                      <w:rFonts w:hint="eastAsia" w:cs="Times New Roman"/>
                      <w:i w:val="0"/>
                      <w:iCs w:val="0"/>
                      <w:color w:val="0000FF"/>
                      <w:kern w:val="0"/>
                      <w:sz w:val="21"/>
                      <w:szCs w:val="21"/>
                      <w:u w:val="none"/>
                      <w:lang w:val="en-US" w:eastAsia="zh-CN" w:bidi="ar"/>
                    </w:rPr>
                    <w:t>209</w:t>
                  </w:r>
                </w:p>
              </w:tc>
              <w:tc>
                <w:tcPr>
                  <w:tcW w:w="26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3C21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lang w:val="en-US"/>
                    </w:rPr>
                  </w:pPr>
                  <w:r>
                    <w:rPr>
                      <w:rFonts w:hint="eastAsia" w:cs="Times New Roman"/>
                      <w:i w:val="0"/>
                      <w:iCs w:val="0"/>
                      <w:color w:val="0000FF"/>
                      <w:kern w:val="0"/>
                      <w:sz w:val="21"/>
                      <w:szCs w:val="21"/>
                      <w:u w:val="none"/>
                      <w:lang w:val="en-US" w:eastAsia="zh-CN" w:bidi="ar"/>
                    </w:rPr>
                    <w:t>0.9542</w:t>
                  </w:r>
                </w:p>
              </w:tc>
              <w:tc>
                <w:tcPr>
                  <w:tcW w:w="31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9930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lang w:val="en-US" w:eastAsia="zh-CN"/>
                    </w:rPr>
                  </w:pPr>
                  <w:r>
                    <w:rPr>
                      <w:rFonts w:hint="eastAsia" w:cs="Times New Roman"/>
                      <w:i w:val="0"/>
                      <w:iCs w:val="0"/>
                      <w:color w:val="0000FF"/>
                      <w:sz w:val="21"/>
                      <w:szCs w:val="21"/>
                      <w:u w:val="none"/>
                      <w:lang w:val="en-US" w:eastAsia="zh-CN"/>
                    </w:rPr>
                    <w:t>0.9333</w:t>
                  </w:r>
                </w:p>
              </w:tc>
            </w:tr>
            <w:tr w14:paraId="4C4B9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 w:hRule="atLeast"/>
                <w:jc w:val="center"/>
              </w:trPr>
              <w:tc>
                <w:tcPr>
                  <w:tcW w:w="850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A90A7">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lang w:val="en-US" w:eastAsia="zh-CN"/>
                    </w:rPr>
                  </w:pPr>
                  <w:r>
                    <w:rPr>
                      <w:rFonts w:hint="eastAsia" w:cs="Times New Roman"/>
                      <w:i w:val="0"/>
                      <w:iCs w:val="0"/>
                      <w:color w:val="0000FF"/>
                      <w:sz w:val="21"/>
                      <w:szCs w:val="21"/>
                      <w:u w:val="none"/>
                      <w:lang w:val="en-US" w:eastAsia="zh-CN"/>
                    </w:rPr>
                    <w:t>注：总量指标包含有组织排放和无组织排放</w:t>
                  </w:r>
                </w:p>
              </w:tc>
            </w:tr>
          </w:tbl>
          <w:p w14:paraId="2692AA2A"/>
          <w:p w14:paraId="66EDDBCC"/>
          <w:p w14:paraId="5683AD3C"/>
          <w:p w14:paraId="698E3659"/>
          <w:p w14:paraId="53518DE9"/>
          <w:p w14:paraId="488E51CA">
            <w:pPr>
              <w:pStyle w:val="53"/>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p>
        </w:tc>
      </w:tr>
    </w:tbl>
    <w:p w14:paraId="2BAA3557">
      <w:pPr>
        <w:pStyle w:val="31"/>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6"/>
          <w:szCs w:val="36"/>
        </w:rPr>
        <w:br w:type="page"/>
      </w:r>
      <w:bookmarkStart w:id="13" w:name="_Toc4450"/>
      <w:bookmarkStart w:id="14" w:name="_Toc13504"/>
      <w:r>
        <w:rPr>
          <w:rFonts w:hint="default" w:ascii="Times New Roman" w:hAnsi="Times New Roman" w:eastAsia="黑体" w:cs="Times New Roman"/>
          <w:snapToGrid w:val="0"/>
          <w:color w:val="auto"/>
          <w:sz w:val="30"/>
          <w:szCs w:val="30"/>
        </w:rPr>
        <w:t>四、主要环境影响和保护措施</w:t>
      </w:r>
      <w:bookmarkEnd w:id="13"/>
      <w:bookmarkEnd w:id="14"/>
    </w:p>
    <w:tbl>
      <w:tblPr>
        <w:tblStyle w:val="35"/>
        <w:tblW w:w="89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8423"/>
      </w:tblGrid>
      <w:tr w14:paraId="0BF14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558" w:type="dxa"/>
            <w:noWrap w:val="0"/>
            <w:tcMar>
              <w:left w:w="28" w:type="dxa"/>
              <w:right w:w="28" w:type="dxa"/>
            </w:tcMar>
            <w:vAlign w:val="center"/>
          </w:tcPr>
          <w:p w14:paraId="68B3DE04">
            <w:pPr>
              <w:pStyle w:val="31"/>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施工</w:t>
            </w:r>
          </w:p>
          <w:p w14:paraId="65CCE95D">
            <w:pPr>
              <w:pStyle w:val="31"/>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期环</w:t>
            </w:r>
          </w:p>
          <w:p w14:paraId="1018190D">
            <w:pPr>
              <w:pStyle w:val="31"/>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境保</w:t>
            </w:r>
          </w:p>
          <w:p w14:paraId="36293FB9">
            <w:pPr>
              <w:pStyle w:val="31"/>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护措</w:t>
            </w:r>
          </w:p>
          <w:p w14:paraId="0F4347D9">
            <w:pPr>
              <w:pStyle w:val="31"/>
              <w:adjustRightInd w:val="0"/>
              <w:snapToGrid w:val="0"/>
              <w:spacing w:before="0" w:beforeAutospacing="0" w:after="0" w:afterAutospacing="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施</w:t>
            </w:r>
          </w:p>
        </w:tc>
        <w:tc>
          <w:tcPr>
            <w:tcW w:w="8423" w:type="dxa"/>
            <w:noWrap w:val="0"/>
            <w:vAlign w:val="top"/>
          </w:tcPr>
          <w:p w14:paraId="4B6EB910">
            <w:pPr>
              <w:keepNext w:val="0"/>
              <w:keepLines w:val="0"/>
              <w:pageBreakBefore w:val="0"/>
              <w:widowControl/>
              <w:kinsoku/>
              <w:wordWrap/>
              <w:overflowPunct/>
              <w:topLinePunct w:val="0"/>
              <w:bidi w:val="0"/>
              <w:spacing w:line="360" w:lineRule="auto"/>
              <w:jc w:val="left"/>
              <w:rPr>
                <w:rFonts w:hint="default" w:ascii="Times New Roman" w:hAnsi="Times New Roman" w:cs="Times New Roman"/>
                <w:b/>
                <w:bCs/>
                <w:color w:val="0000FF"/>
                <w:kern w:val="0"/>
                <w:sz w:val="28"/>
                <w:szCs w:val="28"/>
                <w:lang w:bidi="ar"/>
              </w:rPr>
            </w:pPr>
            <w:r>
              <w:rPr>
                <w:rFonts w:hint="default" w:ascii="Times New Roman" w:hAnsi="Times New Roman" w:cs="Times New Roman"/>
                <w:b/>
                <w:bCs/>
                <w:color w:val="0000FF"/>
                <w:kern w:val="0"/>
                <w:sz w:val="28"/>
                <w:szCs w:val="28"/>
                <w:lang w:bidi="ar"/>
              </w:rPr>
              <w:t>4.1施工期环境</w:t>
            </w:r>
            <w:r>
              <w:rPr>
                <w:rFonts w:hint="eastAsia" w:cs="Times New Roman"/>
                <w:b/>
                <w:bCs/>
                <w:color w:val="0000FF"/>
                <w:kern w:val="0"/>
                <w:sz w:val="28"/>
                <w:szCs w:val="28"/>
                <w:lang w:val="en-US" w:eastAsia="zh-CN" w:bidi="ar"/>
              </w:rPr>
              <w:t>影响分析及</w:t>
            </w:r>
            <w:r>
              <w:rPr>
                <w:rFonts w:hint="default" w:ascii="Times New Roman" w:hAnsi="Times New Roman" w:cs="Times New Roman"/>
                <w:b/>
                <w:bCs/>
                <w:color w:val="0000FF"/>
                <w:kern w:val="0"/>
                <w:sz w:val="28"/>
                <w:szCs w:val="28"/>
                <w:lang w:bidi="ar"/>
              </w:rPr>
              <w:t>保护措施</w:t>
            </w:r>
          </w:p>
          <w:p w14:paraId="7073BCFC">
            <w:pPr>
              <w:keepNext w:val="0"/>
              <w:keepLines w:val="0"/>
              <w:pageBreakBefore w:val="0"/>
              <w:kinsoku/>
              <w:wordWrap/>
              <w:overflowPunct/>
              <w:topLinePunct w:val="0"/>
              <w:bidi w:val="0"/>
              <w:adjustRightInd w:val="0"/>
              <w:snapToGrid w:val="0"/>
              <w:spacing w:line="360" w:lineRule="auto"/>
              <w:ind w:firstLine="480" w:firstLineChars="200"/>
              <w:rPr>
                <w:rFonts w:hint="default" w:ascii="Times New Roman" w:hAnsi="Times New Roman" w:cs="Times New Roman"/>
                <w:color w:val="0000FF"/>
                <w:sz w:val="24"/>
                <w:szCs w:val="24"/>
              </w:rPr>
            </w:pPr>
            <w:r>
              <w:rPr>
                <w:rFonts w:hint="default" w:ascii="Times New Roman" w:hAnsi="Times New Roman" w:cs="Times New Roman"/>
                <w:color w:val="0000FF"/>
                <w:sz w:val="24"/>
                <w:szCs w:val="24"/>
              </w:rPr>
              <w:t>本项目施工期仅为</w:t>
            </w:r>
            <w:r>
              <w:rPr>
                <w:rFonts w:hint="eastAsia" w:cs="Times New Roman"/>
                <w:color w:val="0000FF"/>
                <w:sz w:val="24"/>
                <w:szCs w:val="24"/>
                <w:lang w:val="en-US" w:eastAsia="zh-CN"/>
              </w:rPr>
              <w:t>老厂区旧设备的拆除、设备运输以及新厂区</w:t>
            </w:r>
            <w:r>
              <w:rPr>
                <w:rFonts w:hint="default" w:ascii="Times New Roman" w:hAnsi="Times New Roman" w:cs="Times New Roman"/>
                <w:color w:val="0000FF"/>
                <w:sz w:val="24"/>
                <w:szCs w:val="24"/>
              </w:rPr>
              <w:t>设备安装及调试</w:t>
            </w:r>
            <w:r>
              <w:rPr>
                <w:rFonts w:hint="eastAsia" w:cs="Times New Roman"/>
                <w:color w:val="0000FF"/>
                <w:sz w:val="24"/>
                <w:szCs w:val="24"/>
                <w:lang w:eastAsia="zh-CN"/>
              </w:rPr>
              <w:t>。</w:t>
            </w:r>
          </w:p>
          <w:p w14:paraId="2B261A64">
            <w:pPr>
              <w:keepNext w:val="0"/>
              <w:keepLines w:val="0"/>
              <w:pageBreakBefore w:val="0"/>
              <w:kinsoku/>
              <w:wordWrap/>
              <w:overflowPunct/>
              <w:topLinePunct w:val="0"/>
              <w:autoSpaceDE w:val="0"/>
              <w:autoSpaceDN w:val="0"/>
              <w:bidi w:val="0"/>
              <w:spacing w:line="360" w:lineRule="auto"/>
              <w:rPr>
                <w:rFonts w:hint="default" w:ascii="Times New Roman" w:hAnsi="Times New Roman" w:cs="Times New Roman"/>
                <w:b/>
                <w:bCs/>
                <w:color w:val="0000FF"/>
                <w:sz w:val="24"/>
              </w:rPr>
            </w:pPr>
            <w:r>
              <w:rPr>
                <w:rFonts w:hint="default" w:ascii="Times New Roman" w:hAnsi="Times New Roman" w:cs="Times New Roman"/>
                <w:b/>
                <w:bCs/>
                <w:color w:val="0000FF"/>
                <w:sz w:val="24"/>
              </w:rPr>
              <w:t>4.1.1 施工期大气环境影响分析</w:t>
            </w:r>
          </w:p>
          <w:p w14:paraId="433DDBB7">
            <w:pPr>
              <w:keepNext w:val="0"/>
              <w:keepLines w:val="0"/>
              <w:pageBreakBefore w:val="0"/>
              <w:kinsoku/>
              <w:wordWrap/>
              <w:overflowPunct/>
              <w:topLinePunct w:val="0"/>
              <w:autoSpaceDE w:val="0"/>
              <w:autoSpaceDN w:val="0"/>
              <w:bidi w:val="0"/>
              <w:spacing w:line="360" w:lineRule="auto"/>
              <w:ind w:firstLine="480" w:firstLineChars="200"/>
              <w:rPr>
                <w:rFonts w:hint="default" w:ascii="Times New Roman" w:hAnsi="Times New Roman" w:cs="Times New Roman"/>
                <w:color w:val="0000FF"/>
                <w:sz w:val="24"/>
              </w:rPr>
            </w:pPr>
            <w:r>
              <w:rPr>
                <w:rFonts w:hint="eastAsia" w:cs="Times New Roman"/>
                <w:color w:val="0000FF"/>
                <w:sz w:val="24"/>
                <w:lang w:val="en-US" w:eastAsia="zh-CN"/>
              </w:rPr>
              <w:t>老厂区设备拆除会产生少量拆除粉尘；设备运输和新厂区设备安装</w:t>
            </w:r>
            <w:r>
              <w:rPr>
                <w:rFonts w:hint="eastAsia"/>
                <w:color w:val="0000FF"/>
                <w:kern w:val="0"/>
                <w:sz w:val="24"/>
                <w:szCs w:val="24"/>
                <w:lang w:val="en-US" w:eastAsia="zh-CN" w:bidi="ar"/>
              </w:rPr>
              <w:t>会产生少量废气。以上影响均可以采用</w:t>
            </w:r>
            <w:r>
              <w:rPr>
                <w:rFonts w:hint="eastAsia"/>
                <w:color w:val="0000FF"/>
                <w:kern w:val="0"/>
                <w:sz w:val="24"/>
                <w:szCs w:val="24"/>
                <w:lang w:bidi="ar"/>
              </w:rPr>
              <w:t>场地洒水降尘措施</w:t>
            </w:r>
            <w:r>
              <w:rPr>
                <w:rFonts w:hint="eastAsia"/>
                <w:color w:val="0000FF"/>
                <w:kern w:val="0"/>
                <w:sz w:val="24"/>
                <w:szCs w:val="24"/>
                <w:lang w:eastAsia="zh-CN" w:bidi="ar"/>
              </w:rPr>
              <w:t>，</w:t>
            </w:r>
            <w:r>
              <w:rPr>
                <w:rFonts w:hint="default" w:ascii="Times New Roman" w:hAnsi="Times New Roman" w:cs="Times New Roman"/>
                <w:color w:val="0000FF"/>
                <w:sz w:val="24"/>
              </w:rPr>
              <w:t>对大气环境的影响</w:t>
            </w:r>
            <w:r>
              <w:rPr>
                <w:rFonts w:hint="eastAsia" w:cs="Times New Roman"/>
                <w:color w:val="0000FF"/>
                <w:sz w:val="24"/>
                <w:lang w:val="en-US" w:eastAsia="zh-CN"/>
              </w:rPr>
              <w:t>可接受</w:t>
            </w:r>
            <w:r>
              <w:rPr>
                <w:rFonts w:hint="default" w:ascii="Times New Roman" w:hAnsi="Times New Roman" w:cs="Times New Roman"/>
                <w:color w:val="0000FF"/>
                <w:sz w:val="24"/>
              </w:rPr>
              <w:t>。</w:t>
            </w:r>
          </w:p>
          <w:p w14:paraId="1430AA49">
            <w:pPr>
              <w:keepNext w:val="0"/>
              <w:keepLines w:val="0"/>
              <w:pageBreakBefore w:val="0"/>
              <w:kinsoku/>
              <w:wordWrap/>
              <w:overflowPunct/>
              <w:topLinePunct w:val="0"/>
              <w:autoSpaceDE w:val="0"/>
              <w:autoSpaceDN w:val="0"/>
              <w:bidi w:val="0"/>
              <w:spacing w:line="360" w:lineRule="auto"/>
              <w:jc w:val="left"/>
              <w:rPr>
                <w:rFonts w:hint="default" w:ascii="Times New Roman" w:hAnsi="Times New Roman" w:cs="Times New Roman"/>
                <w:b/>
                <w:bCs/>
                <w:color w:val="0000FF"/>
                <w:sz w:val="24"/>
              </w:rPr>
            </w:pPr>
            <w:r>
              <w:rPr>
                <w:rFonts w:hint="default" w:ascii="Times New Roman" w:hAnsi="Times New Roman" w:cs="Times New Roman"/>
                <w:b/>
                <w:bCs/>
                <w:color w:val="0000FF"/>
                <w:sz w:val="24"/>
              </w:rPr>
              <w:t>4.1.2 施工期废水影响分析</w:t>
            </w:r>
          </w:p>
          <w:p w14:paraId="24B917BE">
            <w:pPr>
              <w:keepNext w:val="0"/>
              <w:keepLines w:val="0"/>
              <w:pageBreakBefore w:val="0"/>
              <w:kinsoku/>
              <w:wordWrap/>
              <w:overflowPunct/>
              <w:topLinePunct w:val="0"/>
              <w:autoSpaceDE w:val="0"/>
              <w:autoSpaceDN w:val="0"/>
              <w:bidi w:val="0"/>
              <w:spacing w:line="360" w:lineRule="auto"/>
              <w:ind w:firstLine="480" w:firstLineChars="200"/>
              <w:rPr>
                <w:rFonts w:hint="default" w:ascii="Times New Roman" w:hAnsi="Times New Roman" w:cs="Times New Roman"/>
                <w:color w:val="0000FF"/>
                <w:sz w:val="24"/>
              </w:rPr>
            </w:pPr>
            <w:r>
              <w:rPr>
                <w:rFonts w:hint="default" w:ascii="Times New Roman" w:hAnsi="Times New Roman" w:cs="Times New Roman"/>
                <w:color w:val="0000FF"/>
                <w:sz w:val="24"/>
              </w:rPr>
              <w:t>本项目施工期产生的废水为施工人员生活污水，依托标准厂房现有生化池处理后排入市政管网。</w:t>
            </w:r>
          </w:p>
          <w:p w14:paraId="29C8EE3C">
            <w:pPr>
              <w:keepNext w:val="0"/>
              <w:keepLines w:val="0"/>
              <w:pageBreakBefore w:val="0"/>
              <w:kinsoku/>
              <w:wordWrap/>
              <w:overflowPunct/>
              <w:topLinePunct w:val="0"/>
              <w:autoSpaceDE w:val="0"/>
              <w:autoSpaceDN w:val="0"/>
              <w:bidi w:val="0"/>
              <w:spacing w:line="360" w:lineRule="auto"/>
              <w:rPr>
                <w:rFonts w:hint="default" w:ascii="Times New Roman" w:hAnsi="Times New Roman" w:cs="Times New Roman"/>
                <w:b/>
                <w:bCs/>
                <w:color w:val="0000FF"/>
                <w:sz w:val="24"/>
              </w:rPr>
            </w:pPr>
            <w:r>
              <w:rPr>
                <w:rFonts w:hint="default" w:ascii="Times New Roman" w:hAnsi="Times New Roman" w:cs="Times New Roman"/>
                <w:b/>
                <w:bCs/>
                <w:color w:val="0000FF"/>
                <w:sz w:val="24"/>
              </w:rPr>
              <w:t>4.1.</w:t>
            </w:r>
            <w:r>
              <w:rPr>
                <w:rFonts w:hint="eastAsia" w:ascii="Times New Roman" w:hAnsi="Times New Roman" w:cs="Times New Roman"/>
                <w:b/>
                <w:bCs/>
                <w:color w:val="0000FF"/>
                <w:sz w:val="24"/>
                <w:lang w:val="en-US" w:eastAsia="zh-CN"/>
              </w:rPr>
              <w:t>3</w:t>
            </w:r>
            <w:r>
              <w:rPr>
                <w:rFonts w:hint="default" w:ascii="Times New Roman" w:hAnsi="Times New Roman" w:cs="Times New Roman"/>
                <w:b/>
                <w:bCs/>
                <w:color w:val="0000FF"/>
                <w:sz w:val="24"/>
              </w:rPr>
              <w:t xml:space="preserve"> 施工期固废影响分析</w:t>
            </w:r>
          </w:p>
          <w:p w14:paraId="61ED91B3">
            <w:pPr>
              <w:keepNext w:val="0"/>
              <w:keepLines w:val="0"/>
              <w:pageBreakBefore w:val="0"/>
              <w:kinsoku/>
              <w:wordWrap/>
              <w:overflowPunct/>
              <w:topLinePunct w:val="0"/>
              <w:bidi w:val="0"/>
              <w:adjustRightInd w:val="0"/>
              <w:snapToGrid w:val="0"/>
              <w:spacing w:line="360" w:lineRule="auto"/>
              <w:ind w:firstLine="480" w:firstLineChars="200"/>
              <w:rPr>
                <w:rFonts w:hint="default" w:ascii="Times New Roman" w:hAnsi="Times New Roman" w:cs="Times New Roman"/>
                <w:color w:val="0000FF"/>
                <w:sz w:val="24"/>
                <w:highlight w:val="none"/>
              </w:rPr>
            </w:pPr>
            <w:r>
              <w:rPr>
                <w:rFonts w:hint="eastAsia" w:ascii="Times New Roman" w:hAnsi="Times New Roman" w:cs="Times New Roman"/>
                <w:color w:val="0000FF"/>
                <w:sz w:val="24"/>
                <w:highlight w:val="none"/>
                <w:lang w:val="en-US" w:eastAsia="zh-CN"/>
              </w:rPr>
              <w:t>老厂区旧设备拆除会产生一般工业固废、建筑垃圾、危废和</w:t>
            </w:r>
            <w:r>
              <w:rPr>
                <w:rFonts w:hint="default" w:ascii="Times New Roman" w:hAnsi="Times New Roman" w:cs="Times New Roman"/>
                <w:color w:val="0000FF"/>
                <w:sz w:val="24"/>
                <w:highlight w:val="none"/>
              </w:rPr>
              <w:t>施工人员</w:t>
            </w:r>
            <w:r>
              <w:rPr>
                <w:rFonts w:hint="eastAsia" w:ascii="Times New Roman" w:hAnsi="Times New Roman" w:cs="Times New Roman"/>
                <w:color w:val="0000FF"/>
                <w:sz w:val="24"/>
                <w:highlight w:val="none"/>
                <w:lang w:val="en-US" w:eastAsia="zh-CN"/>
              </w:rPr>
              <w:t>生活垃圾。设备安装</w:t>
            </w:r>
            <w:r>
              <w:rPr>
                <w:rFonts w:hint="default" w:ascii="Times New Roman" w:hAnsi="Times New Roman" w:cs="Times New Roman"/>
                <w:color w:val="0000FF"/>
                <w:sz w:val="24"/>
                <w:highlight w:val="none"/>
              </w:rPr>
              <w:t>产生的固体废物主要是设备的包装废料、施工人员生活垃圾等。</w:t>
            </w:r>
          </w:p>
          <w:p w14:paraId="481CE7CB">
            <w:pPr>
              <w:keepNext w:val="0"/>
              <w:keepLines w:val="0"/>
              <w:pageBreakBefore w:val="0"/>
              <w:kinsoku/>
              <w:wordWrap/>
              <w:overflowPunct/>
              <w:topLinePunct w:val="0"/>
              <w:bidi w:val="0"/>
              <w:adjustRightInd w:val="0"/>
              <w:snapToGrid w:val="0"/>
              <w:spacing w:line="360" w:lineRule="auto"/>
              <w:ind w:firstLine="480" w:firstLineChars="200"/>
              <w:rPr>
                <w:rFonts w:hint="default" w:ascii="Times New Roman" w:hAnsi="Times New Roman" w:cs="Times New Roman"/>
                <w:color w:val="0000FF"/>
                <w:sz w:val="24"/>
                <w:highlight w:val="none"/>
              </w:rPr>
            </w:pPr>
            <w:r>
              <w:rPr>
                <w:rFonts w:hint="default" w:ascii="Times New Roman" w:hAnsi="Times New Roman" w:cs="Times New Roman"/>
                <w:color w:val="0000FF"/>
                <w:sz w:val="24"/>
                <w:highlight w:val="none"/>
              </w:rPr>
              <w:t>产生的设备包装废料等回收后运至废品收购点回收</w:t>
            </w:r>
            <w:r>
              <w:rPr>
                <w:rFonts w:hint="eastAsia" w:ascii="Times New Roman" w:hAnsi="Times New Roman" w:cs="Times New Roman"/>
                <w:color w:val="0000FF"/>
                <w:sz w:val="24"/>
                <w:highlight w:val="none"/>
                <w:lang w:val="en-US" w:eastAsia="zh-CN"/>
              </w:rPr>
              <w:t>利用</w:t>
            </w:r>
            <w:r>
              <w:rPr>
                <w:rFonts w:hint="default" w:ascii="Times New Roman" w:hAnsi="Times New Roman" w:cs="Times New Roman"/>
                <w:color w:val="0000FF"/>
                <w:sz w:val="24"/>
                <w:highlight w:val="none"/>
              </w:rPr>
              <w:t>；</w:t>
            </w:r>
            <w:r>
              <w:rPr>
                <w:rFonts w:hint="eastAsia" w:ascii="Times New Roman" w:hAnsi="Times New Roman" w:cs="Times New Roman"/>
                <w:color w:val="0000FF"/>
                <w:sz w:val="24"/>
                <w:highlight w:val="none"/>
                <w:lang w:val="en-US" w:eastAsia="zh-CN"/>
              </w:rPr>
              <w:t>建筑垃圾交由</w:t>
            </w:r>
            <w:r>
              <w:rPr>
                <w:rFonts w:hint="eastAsia" w:cs="Times New Roman"/>
                <w:color w:val="0000FF"/>
                <w:sz w:val="24"/>
                <w:highlight w:val="none"/>
                <w:lang w:val="en-US" w:eastAsia="zh-CN"/>
              </w:rPr>
              <w:t>市政部门</w:t>
            </w:r>
            <w:r>
              <w:rPr>
                <w:rFonts w:hint="eastAsia" w:ascii="Times New Roman" w:hAnsi="Times New Roman" w:cs="Times New Roman"/>
                <w:color w:val="0000FF"/>
                <w:sz w:val="24"/>
                <w:highlight w:val="none"/>
                <w:lang w:val="en-US" w:eastAsia="zh-CN"/>
              </w:rPr>
              <w:t>处置；</w:t>
            </w:r>
            <w:r>
              <w:rPr>
                <w:rFonts w:hint="default" w:ascii="Times New Roman" w:hAnsi="Times New Roman" w:cs="Times New Roman"/>
                <w:color w:val="0000FF"/>
                <w:sz w:val="24"/>
                <w:highlight w:val="none"/>
              </w:rPr>
              <w:t>施工人员的生活垃圾由环卫部门统一收集处理；拆除施工过程中场地清理，产生的一般工业固废外售废品回收站</w:t>
            </w:r>
            <w:r>
              <w:rPr>
                <w:rFonts w:hint="eastAsia" w:ascii="Times New Roman" w:hAnsi="Times New Roman" w:cs="Times New Roman"/>
                <w:color w:val="0000FF"/>
                <w:sz w:val="24"/>
                <w:highlight w:val="none"/>
                <w:lang w:eastAsia="zh-CN"/>
              </w:rPr>
              <w:t>；</w:t>
            </w:r>
            <w:r>
              <w:rPr>
                <w:rFonts w:hint="default" w:ascii="Times New Roman" w:hAnsi="Times New Roman" w:cs="Times New Roman"/>
                <w:color w:val="0000FF"/>
                <w:sz w:val="24"/>
                <w:highlight w:val="none"/>
              </w:rPr>
              <w:t>危险废物委托有危险废物经营资质的单位处置。</w:t>
            </w:r>
          </w:p>
          <w:p w14:paraId="798AB37D">
            <w:pPr>
              <w:keepNext w:val="0"/>
              <w:keepLines w:val="0"/>
              <w:pageBreakBefore w:val="0"/>
              <w:kinsoku/>
              <w:wordWrap/>
              <w:overflowPunct/>
              <w:topLinePunct w:val="0"/>
              <w:autoSpaceDE w:val="0"/>
              <w:autoSpaceDN w:val="0"/>
              <w:bidi w:val="0"/>
              <w:spacing w:line="360" w:lineRule="auto"/>
              <w:ind w:firstLine="480" w:firstLineChars="200"/>
              <w:rPr>
                <w:rFonts w:hint="default" w:ascii="Times New Roman" w:hAnsi="Times New Roman" w:cs="Times New Roman"/>
                <w:color w:val="0000FF"/>
                <w:sz w:val="24"/>
                <w:highlight w:val="none"/>
              </w:rPr>
            </w:pPr>
            <w:r>
              <w:rPr>
                <w:rFonts w:hint="default" w:ascii="Times New Roman" w:hAnsi="Times New Roman" w:cs="Times New Roman"/>
                <w:color w:val="0000FF"/>
                <w:sz w:val="24"/>
                <w:highlight w:val="none"/>
              </w:rPr>
              <w:t>项目施工期间产生的固废经过妥善处置后对周边环境影响小。</w:t>
            </w:r>
          </w:p>
          <w:p w14:paraId="4BC1413F">
            <w:pPr>
              <w:keepNext w:val="0"/>
              <w:keepLines w:val="0"/>
              <w:pageBreakBefore w:val="0"/>
              <w:kinsoku/>
              <w:wordWrap/>
              <w:overflowPunct/>
              <w:topLinePunct w:val="0"/>
              <w:autoSpaceDE w:val="0"/>
              <w:autoSpaceDN w:val="0"/>
              <w:bidi w:val="0"/>
              <w:spacing w:line="360" w:lineRule="auto"/>
              <w:rPr>
                <w:rFonts w:hint="default" w:ascii="Times New Roman" w:hAnsi="Times New Roman" w:cs="Times New Roman"/>
                <w:b/>
                <w:bCs/>
                <w:color w:val="0000FF"/>
                <w:sz w:val="24"/>
              </w:rPr>
            </w:pPr>
            <w:r>
              <w:rPr>
                <w:rFonts w:hint="default" w:ascii="Times New Roman" w:hAnsi="Times New Roman" w:cs="Times New Roman"/>
                <w:b/>
                <w:bCs/>
                <w:color w:val="0000FF"/>
                <w:sz w:val="24"/>
              </w:rPr>
              <w:t>4.1.</w:t>
            </w:r>
            <w:r>
              <w:rPr>
                <w:rFonts w:hint="eastAsia" w:cs="Times New Roman"/>
                <w:b/>
                <w:bCs/>
                <w:color w:val="0000FF"/>
                <w:sz w:val="24"/>
                <w:lang w:val="en-US" w:eastAsia="zh-CN"/>
              </w:rPr>
              <w:t>4</w:t>
            </w:r>
            <w:r>
              <w:rPr>
                <w:rFonts w:hint="default" w:ascii="Times New Roman" w:hAnsi="Times New Roman" w:cs="Times New Roman"/>
                <w:b/>
                <w:bCs/>
                <w:color w:val="0000FF"/>
                <w:sz w:val="24"/>
              </w:rPr>
              <w:t xml:space="preserve"> 施工期噪声影响分析</w:t>
            </w:r>
          </w:p>
          <w:p w14:paraId="2B71F35C">
            <w:pPr>
              <w:spacing w:line="360" w:lineRule="auto"/>
              <w:ind w:firstLine="480" w:firstLineChars="200"/>
              <w:rPr>
                <w:rFonts w:hint="eastAsia"/>
                <w:color w:val="0000FF"/>
                <w:sz w:val="24"/>
                <w:highlight w:val="green"/>
              </w:rPr>
            </w:pPr>
            <w:r>
              <w:rPr>
                <w:rFonts w:hint="eastAsia"/>
                <w:color w:val="0000FF"/>
                <w:sz w:val="24"/>
                <w:lang w:val="en-US" w:eastAsia="zh-CN"/>
              </w:rPr>
              <w:t>本项目仅在昼间施工，50m范围内无声环境保护目标</w:t>
            </w:r>
            <w:r>
              <w:rPr>
                <w:rFonts w:hint="eastAsia"/>
                <w:color w:val="0000FF"/>
                <w:sz w:val="24"/>
                <w:lang w:eastAsia="zh-CN"/>
              </w:rPr>
              <w:t>。</w:t>
            </w:r>
            <w:r>
              <w:rPr>
                <w:rFonts w:hint="eastAsia"/>
                <w:color w:val="0000FF"/>
                <w:sz w:val="24"/>
              </w:rPr>
              <w:t>施工期噪声主要来源于</w:t>
            </w:r>
            <w:r>
              <w:rPr>
                <w:rFonts w:hint="default" w:ascii="Times New Roman" w:hAnsi="Times New Roman" w:cs="Times New Roman"/>
                <w:color w:val="0000FF"/>
                <w:sz w:val="24"/>
              </w:rPr>
              <w:t>厂房内部装修以及设备安装等施工过程</w:t>
            </w:r>
            <w:r>
              <w:rPr>
                <w:rFonts w:hint="eastAsia"/>
                <w:color w:val="0000FF"/>
                <w:sz w:val="24"/>
              </w:rPr>
              <w:t>，噪声源强在</w:t>
            </w:r>
            <w:r>
              <w:rPr>
                <w:rFonts w:hint="default" w:ascii="Times New Roman" w:hAnsi="Times New Roman" w:cs="Times New Roman"/>
                <w:color w:val="0000FF"/>
                <w:kern w:val="0"/>
                <w:sz w:val="24"/>
                <w:szCs w:val="20"/>
                <w:highlight w:val="none"/>
              </w:rPr>
              <w:t>70~85</w:t>
            </w:r>
            <w:r>
              <w:rPr>
                <w:rFonts w:hint="eastAsia"/>
                <w:color w:val="0000FF"/>
                <w:sz w:val="24"/>
              </w:rPr>
              <w:t>d</w:t>
            </w:r>
            <w:r>
              <w:rPr>
                <w:color w:val="0000FF"/>
                <w:sz w:val="24"/>
              </w:rPr>
              <w:t>B</w:t>
            </w:r>
            <w:r>
              <w:rPr>
                <w:rFonts w:hint="eastAsia"/>
                <w:color w:val="0000FF"/>
                <w:sz w:val="24"/>
              </w:rPr>
              <w:t>（A）</w:t>
            </w:r>
            <w:r>
              <w:rPr>
                <w:rFonts w:hint="eastAsia"/>
                <w:color w:val="0000FF"/>
                <w:sz w:val="24"/>
                <w:lang w:eastAsia="zh-CN"/>
              </w:rPr>
              <w:t>，</w:t>
            </w:r>
            <w:r>
              <w:rPr>
                <w:rFonts w:hint="eastAsia"/>
                <w:color w:val="0000FF"/>
                <w:sz w:val="24"/>
                <w:lang w:val="en-US" w:eastAsia="zh-CN"/>
              </w:rPr>
              <w:t>本次预测按85</w:t>
            </w:r>
            <w:r>
              <w:rPr>
                <w:rFonts w:hint="eastAsia"/>
                <w:color w:val="0000FF"/>
                <w:sz w:val="24"/>
              </w:rPr>
              <w:t>d</w:t>
            </w:r>
            <w:r>
              <w:rPr>
                <w:color w:val="0000FF"/>
                <w:sz w:val="24"/>
              </w:rPr>
              <w:t>B</w:t>
            </w:r>
            <w:r>
              <w:rPr>
                <w:rFonts w:hint="eastAsia"/>
                <w:color w:val="0000FF"/>
                <w:sz w:val="24"/>
              </w:rPr>
              <w:t>（A）</w:t>
            </w:r>
            <w:r>
              <w:rPr>
                <w:rFonts w:hint="eastAsia"/>
                <w:color w:val="0000FF"/>
                <w:sz w:val="24"/>
                <w:lang w:val="en-US" w:eastAsia="zh-CN"/>
              </w:rPr>
              <w:t>计算</w:t>
            </w:r>
            <w:r>
              <w:rPr>
                <w:rFonts w:hint="eastAsia"/>
                <w:color w:val="0000FF"/>
                <w:sz w:val="24"/>
                <w:highlight w:val="none"/>
              </w:rPr>
              <w:t>。</w:t>
            </w:r>
          </w:p>
          <w:p w14:paraId="3BA29BF4">
            <w:pPr>
              <w:spacing w:line="360" w:lineRule="auto"/>
              <w:ind w:firstLine="480" w:firstLineChars="200"/>
              <w:rPr>
                <w:color w:val="0000FF"/>
                <w:sz w:val="24"/>
              </w:rPr>
            </w:pPr>
            <w:r>
              <w:rPr>
                <w:rFonts w:hint="eastAsia"/>
                <w:color w:val="0000FF"/>
                <w:sz w:val="24"/>
                <w:highlight w:val="none"/>
              </w:rPr>
              <w:t>施工机具产生的噪声具有很大的流动性</w:t>
            </w:r>
            <w:r>
              <w:rPr>
                <w:rFonts w:hint="eastAsia"/>
                <w:color w:val="0000FF"/>
                <w:sz w:val="24"/>
                <w:highlight w:val="none"/>
                <w:lang w:eastAsia="zh-CN"/>
              </w:rPr>
              <w:t>，</w:t>
            </w:r>
            <w:r>
              <w:rPr>
                <w:color w:val="0000FF"/>
                <w:sz w:val="24"/>
              </w:rPr>
              <w:t>难以采取吸声、隔声等措施来控制施工噪声对环境影响，因此主要靠距离衰减来减缓噪声对周围环境的影响</w:t>
            </w:r>
            <w:r>
              <w:rPr>
                <w:rFonts w:hint="eastAsia"/>
                <w:color w:val="0000FF"/>
                <w:sz w:val="24"/>
                <w:lang w:eastAsia="zh-CN"/>
              </w:rPr>
              <w:t>，</w:t>
            </w:r>
            <w:r>
              <w:rPr>
                <w:rFonts w:hint="eastAsia"/>
                <w:color w:val="0000FF"/>
                <w:sz w:val="24"/>
                <w:lang w:val="en-US" w:eastAsia="zh-CN"/>
              </w:rPr>
              <w:t>本项目厂房规模为（80.2m×35.9m×29.7m），本次假设项目噪声位于厂房中央，因此仅需预测噪声点到厂房的结果</w:t>
            </w:r>
            <w:r>
              <w:rPr>
                <w:color w:val="0000FF"/>
                <w:sz w:val="24"/>
              </w:rPr>
              <w:t>。为了反映施工噪声对施工现场及周围环境的最大影响，利用点源传播衰减模式预测分析施工机械噪声的影响范围，并采用《建筑施工场界环境噪声排放标准》（GB12523-2011）和《声环境质量标准》（GB3096-2008）进行比较分析。</w:t>
            </w:r>
          </w:p>
          <w:p w14:paraId="0B3B448A">
            <w:pPr>
              <w:adjustRightInd w:val="0"/>
              <w:snapToGrid w:val="0"/>
              <w:spacing w:line="360" w:lineRule="auto"/>
              <w:ind w:firstLine="480" w:firstLineChars="200"/>
              <w:jc w:val="left"/>
              <w:rPr>
                <w:color w:val="0000FF"/>
                <w:sz w:val="24"/>
              </w:rPr>
            </w:pPr>
            <w:r>
              <w:rPr>
                <w:color w:val="0000FF"/>
                <w:sz w:val="24"/>
              </w:rPr>
              <w:t>根据《环境影响评价技术导则 声环境》（HJ2.4-20</w:t>
            </w:r>
            <w:r>
              <w:rPr>
                <w:rFonts w:hint="eastAsia"/>
                <w:color w:val="0000FF"/>
                <w:sz w:val="24"/>
                <w:lang w:val="en-US" w:eastAsia="zh-CN"/>
              </w:rPr>
              <w:t>21</w:t>
            </w:r>
            <w:r>
              <w:rPr>
                <w:color w:val="0000FF"/>
                <w:sz w:val="24"/>
              </w:rPr>
              <w:t>），本次评价采用下述噪声预测模式：</w:t>
            </w:r>
          </w:p>
          <w:p w14:paraId="2AE40B3C">
            <w:pPr>
              <w:adjustRightInd w:val="0"/>
              <w:snapToGrid w:val="0"/>
              <w:spacing w:line="360" w:lineRule="auto"/>
              <w:jc w:val="center"/>
              <w:rPr>
                <w:color w:val="0000FF"/>
                <w:sz w:val="24"/>
              </w:rPr>
            </w:pPr>
            <w:r>
              <w:rPr>
                <w:color w:val="0000FF"/>
                <w:sz w:val="24"/>
              </w:rPr>
              <w:t>Lr=Lr</w:t>
            </w:r>
            <w:r>
              <w:rPr>
                <w:color w:val="0000FF"/>
                <w:sz w:val="24"/>
                <w:vertAlign w:val="subscript"/>
              </w:rPr>
              <w:t>0</w:t>
            </w:r>
            <w:r>
              <w:rPr>
                <w:color w:val="0000FF"/>
                <w:sz w:val="24"/>
              </w:rPr>
              <w:t>-20lg（r/r</w:t>
            </w:r>
            <w:r>
              <w:rPr>
                <w:color w:val="0000FF"/>
                <w:sz w:val="24"/>
                <w:vertAlign w:val="subscript"/>
              </w:rPr>
              <w:t>0</w:t>
            </w:r>
            <w:r>
              <w:rPr>
                <w:color w:val="0000FF"/>
                <w:sz w:val="24"/>
              </w:rPr>
              <w:t>）-ΔL</w:t>
            </w:r>
          </w:p>
          <w:p w14:paraId="6E97851B">
            <w:pPr>
              <w:adjustRightInd w:val="0"/>
              <w:snapToGrid w:val="0"/>
              <w:spacing w:line="360" w:lineRule="auto"/>
              <w:ind w:firstLine="480" w:firstLineChars="200"/>
              <w:jc w:val="left"/>
              <w:rPr>
                <w:color w:val="0000FF"/>
                <w:sz w:val="24"/>
              </w:rPr>
            </w:pPr>
            <w:r>
              <w:rPr>
                <w:color w:val="0000FF"/>
                <w:sz w:val="24"/>
              </w:rPr>
              <w:t>式中：</w:t>
            </w:r>
          </w:p>
          <w:p w14:paraId="556414FF">
            <w:pPr>
              <w:adjustRightInd w:val="0"/>
              <w:snapToGrid w:val="0"/>
              <w:spacing w:line="360" w:lineRule="auto"/>
              <w:ind w:firstLine="960" w:firstLineChars="400"/>
              <w:jc w:val="left"/>
              <w:rPr>
                <w:color w:val="0000FF"/>
                <w:sz w:val="24"/>
              </w:rPr>
            </w:pPr>
            <w:r>
              <w:rPr>
                <w:color w:val="0000FF"/>
                <w:sz w:val="24"/>
              </w:rPr>
              <w:t>Lr</w:t>
            </w:r>
            <w:r>
              <w:rPr>
                <w:color w:val="0000FF"/>
                <w:sz w:val="24"/>
                <w:vertAlign w:val="subscript"/>
              </w:rPr>
              <w:t xml:space="preserve"> </w:t>
            </w:r>
            <w:r>
              <w:rPr>
                <w:color w:val="0000FF"/>
                <w:sz w:val="24"/>
              </w:rPr>
              <w:t>——评价点噪声预测值，dB（A）；</w:t>
            </w:r>
          </w:p>
          <w:p w14:paraId="6B73F0D3">
            <w:pPr>
              <w:adjustRightInd w:val="0"/>
              <w:snapToGrid w:val="0"/>
              <w:spacing w:line="360" w:lineRule="auto"/>
              <w:ind w:firstLine="960" w:firstLineChars="400"/>
              <w:jc w:val="left"/>
              <w:rPr>
                <w:color w:val="0000FF"/>
                <w:sz w:val="24"/>
              </w:rPr>
            </w:pPr>
            <w:r>
              <w:rPr>
                <w:color w:val="0000FF"/>
                <w:sz w:val="24"/>
              </w:rPr>
              <w:t>Lr</w:t>
            </w:r>
            <w:r>
              <w:rPr>
                <w:color w:val="0000FF"/>
                <w:sz w:val="24"/>
                <w:vertAlign w:val="subscript"/>
              </w:rPr>
              <w:t>0</w:t>
            </w:r>
            <w:r>
              <w:rPr>
                <w:color w:val="0000FF"/>
                <w:sz w:val="24"/>
              </w:rPr>
              <w:t>——参考点r</w:t>
            </w:r>
            <w:r>
              <w:rPr>
                <w:color w:val="0000FF"/>
                <w:sz w:val="24"/>
                <w:vertAlign w:val="subscript"/>
              </w:rPr>
              <w:t>0</w:t>
            </w:r>
            <w:r>
              <w:rPr>
                <w:color w:val="0000FF"/>
                <w:sz w:val="24"/>
              </w:rPr>
              <w:t>处的声级，dB（A）；</w:t>
            </w:r>
          </w:p>
          <w:p w14:paraId="355AA10C">
            <w:pPr>
              <w:adjustRightInd w:val="0"/>
              <w:snapToGrid w:val="0"/>
              <w:spacing w:line="360" w:lineRule="auto"/>
              <w:ind w:firstLine="960" w:firstLineChars="400"/>
              <w:jc w:val="left"/>
              <w:rPr>
                <w:color w:val="0000FF"/>
                <w:sz w:val="24"/>
              </w:rPr>
            </w:pPr>
            <w:r>
              <w:rPr>
                <w:color w:val="0000FF"/>
                <w:sz w:val="24"/>
              </w:rPr>
              <w:t>r——为预测点距声源距离，m；</w:t>
            </w:r>
          </w:p>
          <w:p w14:paraId="6C239375">
            <w:pPr>
              <w:adjustRightInd w:val="0"/>
              <w:snapToGrid w:val="0"/>
              <w:spacing w:line="360" w:lineRule="auto"/>
              <w:ind w:firstLine="960" w:firstLineChars="400"/>
              <w:jc w:val="left"/>
              <w:rPr>
                <w:color w:val="0000FF"/>
                <w:sz w:val="24"/>
              </w:rPr>
            </w:pPr>
            <w:r>
              <w:rPr>
                <w:color w:val="0000FF"/>
                <w:sz w:val="24"/>
              </w:rPr>
              <w:t>r</w:t>
            </w:r>
            <w:r>
              <w:rPr>
                <w:color w:val="0000FF"/>
                <w:sz w:val="24"/>
                <w:vertAlign w:val="subscript"/>
              </w:rPr>
              <w:t>0</w:t>
            </w:r>
            <w:r>
              <w:rPr>
                <w:color w:val="0000FF"/>
                <w:sz w:val="24"/>
              </w:rPr>
              <w:t>——为参考点距声源距离，m；</w:t>
            </w:r>
          </w:p>
          <w:p w14:paraId="7C6056CA">
            <w:pPr>
              <w:adjustRightInd w:val="0"/>
              <w:snapToGrid w:val="0"/>
              <w:spacing w:line="360" w:lineRule="auto"/>
              <w:ind w:left="479" w:leftChars="228" w:firstLine="480" w:firstLineChars="200"/>
              <w:jc w:val="left"/>
              <w:rPr>
                <w:rFonts w:hint="eastAsia"/>
                <w:color w:val="0000FF"/>
                <w:sz w:val="24"/>
                <w:lang w:eastAsia="zh-CN"/>
              </w:rPr>
            </w:pPr>
            <w:r>
              <w:rPr>
                <w:color w:val="0000FF"/>
                <w:sz w:val="24"/>
              </w:rPr>
              <w:t>ΔL——各种因素引起的衰减量（包括屏障、遮挡物引起的衰减量），dB（A）</w:t>
            </w:r>
            <w:r>
              <w:rPr>
                <w:rFonts w:hint="eastAsia"/>
                <w:color w:val="0000FF"/>
                <w:sz w:val="24"/>
                <w:lang w:eastAsia="zh-CN"/>
              </w:rPr>
              <w:t>。</w:t>
            </w:r>
          </w:p>
          <w:p w14:paraId="4F0D4CE4">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color w:val="0000FF"/>
                <w:sz w:val="24"/>
              </w:rPr>
            </w:pPr>
            <w:r>
              <w:rPr>
                <w:color w:val="0000FF"/>
                <w:sz w:val="24"/>
              </w:rPr>
              <w:t>本次评价以最不利因素为前提，则不考虑各外界因素引起的噪声衰减量。</w:t>
            </w:r>
          </w:p>
          <w:p w14:paraId="66F6575A">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color w:val="0000FF"/>
                <w:sz w:val="24"/>
              </w:rPr>
            </w:pPr>
            <w:r>
              <w:rPr>
                <w:color w:val="0000FF"/>
                <w:sz w:val="24"/>
              </w:rPr>
              <w:t>各室外声源在预测点产生的合成声级采用以下公式计算：</w:t>
            </w:r>
          </w:p>
          <w:p w14:paraId="15BD92E4">
            <w:pPr>
              <w:adjustRightInd w:val="0"/>
              <w:snapToGrid w:val="0"/>
              <w:spacing w:line="360" w:lineRule="auto"/>
              <w:jc w:val="center"/>
              <w:rPr>
                <w:color w:val="0000FF"/>
                <w:sz w:val="24"/>
              </w:rPr>
            </w:pPr>
            <w:r>
              <w:rPr>
                <w:color w:val="0000FF"/>
              </w:rPr>
              <w:drawing>
                <wp:inline distT="0" distB="0" distL="114300" distR="114300">
                  <wp:extent cx="1829435" cy="588645"/>
                  <wp:effectExtent l="0" t="0" r="18415" b="1905"/>
                  <wp:docPr id="1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8"/>
                          <pic:cNvPicPr>
                            <a:picLocks noChangeAspect="1"/>
                          </pic:cNvPicPr>
                        </pic:nvPicPr>
                        <pic:blipFill>
                          <a:blip r:embed="rId21"/>
                          <a:stretch>
                            <a:fillRect/>
                          </a:stretch>
                        </pic:blipFill>
                        <pic:spPr>
                          <a:xfrm>
                            <a:off x="0" y="0"/>
                            <a:ext cx="1829435" cy="588645"/>
                          </a:xfrm>
                          <a:prstGeom prst="rect">
                            <a:avLst/>
                          </a:prstGeom>
                          <a:noFill/>
                          <a:ln>
                            <a:noFill/>
                          </a:ln>
                        </pic:spPr>
                      </pic:pic>
                    </a:graphicData>
                  </a:graphic>
                </wp:inline>
              </w:drawing>
            </w:r>
          </w:p>
          <w:p w14:paraId="24C3633D">
            <w:pPr>
              <w:adjustRightInd w:val="0"/>
              <w:snapToGrid w:val="0"/>
              <w:spacing w:line="360" w:lineRule="auto"/>
              <w:ind w:firstLine="480" w:firstLineChars="200"/>
              <w:jc w:val="left"/>
              <w:rPr>
                <w:color w:val="0000FF"/>
                <w:sz w:val="24"/>
              </w:rPr>
            </w:pPr>
            <w:r>
              <w:rPr>
                <w:color w:val="0000FF"/>
                <w:sz w:val="24"/>
              </w:rPr>
              <w:t>根据点源传播衰减模式，噪声随距离变化的衰减值见表4</w:t>
            </w:r>
            <w:r>
              <w:rPr>
                <w:rFonts w:hint="eastAsia"/>
                <w:color w:val="0000FF"/>
                <w:sz w:val="24"/>
                <w:lang w:val="en-US" w:eastAsia="zh-CN"/>
              </w:rPr>
              <w:t>.1</w:t>
            </w:r>
            <w:r>
              <w:rPr>
                <w:color w:val="0000FF"/>
                <w:sz w:val="24"/>
              </w:rPr>
              <w:t>-</w:t>
            </w:r>
            <w:r>
              <w:rPr>
                <w:rFonts w:hint="eastAsia"/>
                <w:color w:val="0000FF"/>
                <w:sz w:val="24"/>
                <w:lang w:val="en-US" w:eastAsia="zh-CN"/>
              </w:rPr>
              <w:t>1</w:t>
            </w:r>
            <w:r>
              <w:rPr>
                <w:color w:val="0000FF"/>
                <w:sz w:val="24"/>
              </w:rPr>
              <w:t>。</w:t>
            </w:r>
          </w:p>
          <w:p w14:paraId="605459E7">
            <w:pPr>
              <w:adjustRightInd w:val="0"/>
              <w:snapToGrid w:val="0"/>
              <w:jc w:val="center"/>
              <w:rPr>
                <w:b/>
                <w:color w:val="0000FF"/>
                <w:sz w:val="24"/>
                <w:highlight w:val="none"/>
              </w:rPr>
            </w:pPr>
            <w:r>
              <w:rPr>
                <w:b/>
                <w:color w:val="0000FF"/>
                <w:sz w:val="24"/>
                <w:highlight w:val="none"/>
              </w:rPr>
              <w:t>表4</w:t>
            </w:r>
            <w:r>
              <w:rPr>
                <w:rFonts w:hint="eastAsia"/>
                <w:b/>
                <w:color w:val="0000FF"/>
                <w:sz w:val="24"/>
                <w:highlight w:val="none"/>
                <w:lang w:val="en-US" w:eastAsia="zh-CN"/>
              </w:rPr>
              <w:t>.1</w:t>
            </w:r>
            <w:r>
              <w:rPr>
                <w:b/>
                <w:color w:val="0000FF"/>
                <w:sz w:val="24"/>
                <w:highlight w:val="none"/>
              </w:rPr>
              <w:t>-</w:t>
            </w:r>
            <w:r>
              <w:rPr>
                <w:rFonts w:hint="eastAsia"/>
                <w:b/>
                <w:color w:val="0000FF"/>
                <w:sz w:val="24"/>
                <w:highlight w:val="none"/>
                <w:lang w:val="en-US" w:eastAsia="zh-CN"/>
              </w:rPr>
              <w:t>1</w:t>
            </w:r>
            <w:r>
              <w:rPr>
                <w:b/>
                <w:color w:val="0000FF"/>
                <w:sz w:val="24"/>
                <w:highlight w:val="none"/>
              </w:rPr>
              <w:t xml:space="preserve">  主要施工机械在不同距离的噪声值   单位：dB(A)</w:t>
            </w:r>
          </w:p>
          <w:tbl>
            <w:tblPr>
              <w:tblStyle w:val="35"/>
              <w:tblW w:w="700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67"/>
              <w:gridCol w:w="1333"/>
              <w:gridCol w:w="1434"/>
              <w:gridCol w:w="1335"/>
              <w:gridCol w:w="1335"/>
            </w:tblGrid>
            <w:tr w14:paraId="651CAD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51" w:hRule="atLeast"/>
                <w:jc w:val="center"/>
              </w:trPr>
              <w:tc>
                <w:tcPr>
                  <w:tcW w:w="1118" w:type="pct"/>
                  <w:tcBorders>
                    <w:tl2br w:val="single" w:color="000000" w:sz="6" w:space="0"/>
                  </w:tcBorders>
                  <w:noWrap w:val="0"/>
                  <w:vAlign w:val="center"/>
                </w:tcPr>
                <w:p w14:paraId="71554689">
                  <w:pPr>
                    <w:pStyle w:val="284"/>
                    <w:jc w:val="right"/>
                    <w:rPr>
                      <w:color w:val="0000FF"/>
                      <w:highlight w:val="none"/>
                    </w:rPr>
                  </w:pPr>
                  <w:r>
                    <w:rPr>
                      <w:rFonts w:eastAsia="宋体"/>
                      <w:color w:val="0000FF"/>
                      <w:highlight w:val="none"/>
                    </w:rPr>
                    <w:t>距离（</w:t>
                  </w:r>
                  <w:r>
                    <w:rPr>
                      <w:color w:val="0000FF"/>
                      <w:highlight w:val="none"/>
                    </w:rPr>
                    <w:t>m</w:t>
                  </w:r>
                  <w:r>
                    <w:rPr>
                      <w:rFonts w:eastAsia="宋体"/>
                      <w:color w:val="0000FF"/>
                      <w:highlight w:val="none"/>
                    </w:rPr>
                    <w:t>）</w:t>
                  </w:r>
                </w:p>
                <w:p w14:paraId="2D03BA52">
                  <w:pPr>
                    <w:pStyle w:val="284"/>
                    <w:jc w:val="left"/>
                    <w:rPr>
                      <w:color w:val="0000FF"/>
                      <w:highlight w:val="none"/>
                    </w:rPr>
                  </w:pPr>
                  <w:r>
                    <w:rPr>
                      <w:rFonts w:eastAsia="宋体"/>
                      <w:color w:val="0000FF"/>
                      <w:highlight w:val="none"/>
                    </w:rPr>
                    <w:t>设备</w:t>
                  </w:r>
                </w:p>
              </w:tc>
              <w:tc>
                <w:tcPr>
                  <w:tcW w:w="951" w:type="pct"/>
                  <w:noWrap w:val="0"/>
                  <w:vAlign w:val="center"/>
                </w:tcPr>
                <w:p w14:paraId="7E085383">
                  <w:pPr>
                    <w:pStyle w:val="284"/>
                    <w:rPr>
                      <w:rFonts w:hint="default" w:eastAsia="宋体"/>
                      <w:color w:val="0000FF"/>
                      <w:highlight w:val="none"/>
                      <w:lang w:val="en-US" w:eastAsia="zh-CN"/>
                    </w:rPr>
                  </w:pPr>
                  <w:r>
                    <w:rPr>
                      <w:rFonts w:hint="default" w:eastAsia="宋体"/>
                      <w:color w:val="0000FF"/>
                      <w:highlight w:val="none"/>
                      <w:lang w:val="en-US" w:eastAsia="zh-CN"/>
                    </w:rPr>
                    <w:t>源强dB（A</w:t>
                  </w:r>
                  <w:r>
                    <w:rPr>
                      <w:rFonts w:hint="eastAsia" w:eastAsia="宋体"/>
                      <w:color w:val="0000FF"/>
                      <w:highlight w:val="none"/>
                      <w:lang w:val="en-US" w:eastAsia="zh-CN"/>
                    </w:rPr>
                    <w:t>）</w:t>
                  </w:r>
                </w:p>
              </w:tc>
              <w:tc>
                <w:tcPr>
                  <w:tcW w:w="1023" w:type="pct"/>
                  <w:noWrap w:val="0"/>
                  <w:vAlign w:val="center"/>
                </w:tcPr>
                <w:p w14:paraId="15BB9102">
                  <w:pPr>
                    <w:keepNext w:val="0"/>
                    <w:keepLines w:val="0"/>
                    <w:widowControl/>
                    <w:suppressLineNumbers w:val="0"/>
                    <w:jc w:val="center"/>
                    <w:textAlignment w:val="center"/>
                    <w:rPr>
                      <w:rFonts w:hint="default" w:eastAsia="宋体"/>
                      <w:color w:val="0000FF"/>
                      <w:highlight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10</w:t>
                  </w:r>
                  <w:r>
                    <w:rPr>
                      <w:rFonts w:hint="eastAsia" w:ascii="Times New Roman" w:hAnsi="Times New Roman" w:eastAsia="宋体" w:cs="Times New Roman"/>
                      <w:i w:val="0"/>
                      <w:iCs w:val="0"/>
                      <w:color w:val="0000FF"/>
                      <w:kern w:val="0"/>
                      <w:sz w:val="21"/>
                      <w:szCs w:val="21"/>
                      <w:u w:val="none"/>
                      <w:lang w:val="en-US" w:eastAsia="zh-CN" w:bidi="ar"/>
                    </w:rPr>
                    <w:t>m</w:t>
                  </w:r>
                </w:p>
              </w:tc>
              <w:tc>
                <w:tcPr>
                  <w:tcW w:w="953" w:type="pct"/>
                  <w:noWrap w:val="0"/>
                  <w:vAlign w:val="center"/>
                </w:tcPr>
                <w:p w14:paraId="3D824628">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20</w:t>
                  </w:r>
                  <w:r>
                    <w:rPr>
                      <w:rFonts w:hint="eastAsia" w:ascii="Times New Roman" w:hAnsi="Times New Roman" w:eastAsia="宋体" w:cs="Times New Roman"/>
                      <w:i w:val="0"/>
                      <w:iCs w:val="0"/>
                      <w:color w:val="0000FF"/>
                      <w:kern w:val="0"/>
                      <w:sz w:val="21"/>
                      <w:szCs w:val="21"/>
                      <w:u w:val="none"/>
                      <w:lang w:val="en-US" w:eastAsia="zh-CN" w:bidi="ar"/>
                    </w:rPr>
                    <w:t>m</w:t>
                  </w:r>
                </w:p>
              </w:tc>
              <w:tc>
                <w:tcPr>
                  <w:tcW w:w="953" w:type="pct"/>
                  <w:noWrap w:val="0"/>
                  <w:vAlign w:val="center"/>
                </w:tcPr>
                <w:p w14:paraId="6DE87637">
                  <w:pPr>
                    <w:keepNext w:val="0"/>
                    <w:keepLines w:val="0"/>
                    <w:widowControl/>
                    <w:suppressLineNumbers w:val="0"/>
                    <w:jc w:val="center"/>
                    <w:textAlignment w:val="center"/>
                    <w:rPr>
                      <w:rFonts w:hint="eastAsia" w:eastAsia="宋体"/>
                      <w:color w:val="0000FF"/>
                      <w:highlight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30</w:t>
                  </w:r>
                  <w:r>
                    <w:rPr>
                      <w:rFonts w:hint="eastAsia" w:ascii="Times New Roman" w:hAnsi="Times New Roman" w:eastAsia="宋体" w:cs="Times New Roman"/>
                      <w:i w:val="0"/>
                      <w:iCs w:val="0"/>
                      <w:color w:val="0000FF"/>
                      <w:kern w:val="0"/>
                      <w:sz w:val="21"/>
                      <w:szCs w:val="21"/>
                      <w:u w:val="none"/>
                      <w:lang w:val="en-US" w:eastAsia="zh-CN" w:bidi="ar"/>
                    </w:rPr>
                    <w:t>m</w:t>
                  </w:r>
                </w:p>
              </w:tc>
            </w:tr>
            <w:tr w14:paraId="27664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1118" w:type="pct"/>
                  <w:noWrap w:val="0"/>
                  <w:vAlign w:val="center"/>
                </w:tcPr>
                <w:p w14:paraId="4E66EDD1">
                  <w:pPr>
                    <w:pStyle w:val="284"/>
                    <w:rPr>
                      <w:rFonts w:hint="eastAsia" w:eastAsia="宋体"/>
                      <w:color w:val="0000FF"/>
                      <w:highlight w:val="none"/>
                      <w:lang w:eastAsia="zh-CN"/>
                    </w:rPr>
                  </w:pPr>
                  <w:r>
                    <w:rPr>
                      <w:rFonts w:hint="eastAsia" w:eastAsia="宋体"/>
                      <w:color w:val="0000FF"/>
                      <w:highlight w:val="none"/>
                      <w:lang w:val="en-US" w:eastAsia="zh-CN"/>
                    </w:rPr>
                    <w:t>施工噪音</w:t>
                  </w:r>
                </w:p>
              </w:tc>
              <w:tc>
                <w:tcPr>
                  <w:tcW w:w="951" w:type="pct"/>
                  <w:noWrap w:val="0"/>
                  <w:vAlign w:val="center"/>
                </w:tcPr>
                <w:p w14:paraId="4EE50CB5">
                  <w:pPr>
                    <w:pStyle w:val="284"/>
                    <w:rPr>
                      <w:rFonts w:hint="eastAsia" w:eastAsia="宋体"/>
                      <w:color w:val="0000FF"/>
                      <w:highlight w:val="none"/>
                      <w:lang w:eastAsia="zh-CN"/>
                    </w:rPr>
                  </w:pPr>
                  <w:r>
                    <w:rPr>
                      <w:rFonts w:eastAsia="宋体"/>
                      <w:color w:val="0000FF"/>
                      <w:highlight w:val="none"/>
                    </w:rPr>
                    <w:t>8</w:t>
                  </w:r>
                  <w:r>
                    <w:rPr>
                      <w:rFonts w:hint="eastAsia" w:eastAsia="宋体"/>
                      <w:color w:val="0000FF"/>
                      <w:highlight w:val="none"/>
                      <w:lang w:val="en-US" w:eastAsia="zh-CN"/>
                    </w:rPr>
                    <w:t>5</w:t>
                  </w:r>
                </w:p>
              </w:tc>
              <w:tc>
                <w:tcPr>
                  <w:tcW w:w="1023" w:type="pct"/>
                  <w:noWrap w:val="0"/>
                  <w:vAlign w:val="center"/>
                </w:tcPr>
                <w:p w14:paraId="7FDDBB1D">
                  <w:pPr>
                    <w:keepNext w:val="0"/>
                    <w:keepLines w:val="0"/>
                    <w:widowControl/>
                    <w:suppressLineNumbers w:val="0"/>
                    <w:jc w:val="center"/>
                    <w:textAlignment w:val="center"/>
                    <w:rPr>
                      <w:rFonts w:hint="default" w:eastAsia="宋体"/>
                      <w:color w:val="0000FF"/>
                      <w:highlight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6</w:t>
                  </w:r>
                  <w:r>
                    <w:rPr>
                      <w:rFonts w:hint="eastAsia" w:cs="Times New Roman"/>
                      <w:i w:val="0"/>
                      <w:iCs w:val="0"/>
                      <w:color w:val="0000FF"/>
                      <w:kern w:val="0"/>
                      <w:sz w:val="21"/>
                      <w:szCs w:val="21"/>
                      <w:u w:val="none"/>
                      <w:lang w:val="en-US" w:eastAsia="zh-CN" w:bidi="ar"/>
                    </w:rPr>
                    <w:t>5</w:t>
                  </w:r>
                </w:p>
              </w:tc>
              <w:tc>
                <w:tcPr>
                  <w:tcW w:w="953" w:type="pct"/>
                  <w:noWrap w:val="0"/>
                  <w:vAlign w:val="center"/>
                </w:tcPr>
                <w:p w14:paraId="4E89D269">
                  <w:pPr>
                    <w:keepNext w:val="0"/>
                    <w:keepLines w:val="0"/>
                    <w:widowControl/>
                    <w:suppressLineNumbers w:val="0"/>
                    <w:jc w:val="center"/>
                    <w:textAlignment w:val="center"/>
                    <w:rPr>
                      <w:rFonts w:hint="default" w:eastAsia="宋体"/>
                      <w:color w:val="0000FF"/>
                      <w:highlight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5</w:t>
                  </w:r>
                  <w:r>
                    <w:rPr>
                      <w:rFonts w:hint="eastAsia" w:cs="Times New Roman"/>
                      <w:i w:val="0"/>
                      <w:iCs w:val="0"/>
                      <w:color w:val="0000FF"/>
                      <w:kern w:val="0"/>
                      <w:sz w:val="21"/>
                      <w:szCs w:val="21"/>
                      <w:u w:val="none"/>
                      <w:lang w:val="en-US" w:eastAsia="zh-CN" w:bidi="ar"/>
                    </w:rPr>
                    <w:t>8</w:t>
                  </w:r>
                  <w:r>
                    <w:rPr>
                      <w:rFonts w:hint="default" w:ascii="Times New Roman" w:hAnsi="Times New Roman" w:eastAsia="宋体" w:cs="Times New Roman"/>
                      <w:i w:val="0"/>
                      <w:iCs w:val="0"/>
                      <w:color w:val="0000FF"/>
                      <w:kern w:val="0"/>
                      <w:sz w:val="21"/>
                      <w:szCs w:val="21"/>
                      <w:u w:val="none"/>
                      <w:lang w:val="en-US" w:eastAsia="zh-CN" w:bidi="ar"/>
                    </w:rPr>
                    <w:t>.98</w:t>
                  </w:r>
                </w:p>
              </w:tc>
              <w:tc>
                <w:tcPr>
                  <w:tcW w:w="953" w:type="pct"/>
                  <w:noWrap w:val="0"/>
                  <w:vAlign w:val="center"/>
                </w:tcPr>
                <w:p w14:paraId="7BE1697B">
                  <w:pPr>
                    <w:keepNext w:val="0"/>
                    <w:keepLines w:val="0"/>
                    <w:widowControl/>
                    <w:suppressLineNumbers w:val="0"/>
                    <w:jc w:val="center"/>
                    <w:textAlignment w:val="center"/>
                    <w:rPr>
                      <w:rFonts w:hint="default" w:eastAsia="宋体"/>
                      <w:color w:val="0000FF"/>
                      <w:highlight w:val="none"/>
                      <w:lang w:val="en-US" w:eastAsia="zh-CN"/>
                    </w:rPr>
                  </w:pPr>
                  <w:r>
                    <w:rPr>
                      <w:rFonts w:hint="default" w:ascii="Times New Roman" w:hAnsi="Times New Roman" w:eastAsia="宋体" w:cs="Times New Roman"/>
                      <w:i w:val="0"/>
                      <w:iCs w:val="0"/>
                      <w:color w:val="0000FF"/>
                      <w:kern w:val="0"/>
                      <w:sz w:val="21"/>
                      <w:szCs w:val="21"/>
                      <w:u w:val="none"/>
                      <w:lang w:val="en-US" w:eastAsia="zh-CN" w:bidi="ar"/>
                    </w:rPr>
                    <w:t>5</w:t>
                  </w:r>
                  <w:r>
                    <w:rPr>
                      <w:rFonts w:hint="eastAsia" w:cs="Times New Roman"/>
                      <w:i w:val="0"/>
                      <w:iCs w:val="0"/>
                      <w:color w:val="0000FF"/>
                      <w:kern w:val="0"/>
                      <w:sz w:val="21"/>
                      <w:szCs w:val="21"/>
                      <w:u w:val="none"/>
                      <w:lang w:val="en-US" w:eastAsia="zh-CN" w:bidi="ar"/>
                    </w:rPr>
                    <w:t>5.46</w:t>
                  </w:r>
                </w:p>
              </w:tc>
            </w:tr>
          </w:tbl>
          <w:p w14:paraId="27E34818">
            <w:pPr>
              <w:adjustRightInd w:val="0"/>
              <w:snapToGrid w:val="0"/>
              <w:spacing w:line="360" w:lineRule="auto"/>
              <w:ind w:firstLine="480" w:firstLineChars="200"/>
              <w:jc w:val="left"/>
              <w:rPr>
                <w:rFonts w:hint="eastAsia" w:ascii="Times New Roman" w:hAnsi="Times New Roman" w:eastAsia="宋体" w:cs="Times New Roman"/>
                <w:color w:val="0000FF"/>
                <w:sz w:val="24"/>
                <w:szCs w:val="24"/>
                <w:highlight w:val="none"/>
                <w:lang w:val="en-US" w:eastAsia="zh-CN"/>
              </w:rPr>
            </w:pPr>
            <w:r>
              <w:rPr>
                <w:rFonts w:hint="default" w:ascii="Times New Roman" w:hAnsi="Times New Roman" w:cs="Times New Roman"/>
                <w:color w:val="0000FF"/>
                <w:sz w:val="24"/>
                <w:szCs w:val="24"/>
                <w:highlight w:val="none"/>
              </w:rPr>
              <w:t>由</w:t>
            </w:r>
            <w:r>
              <w:rPr>
                <w:rFonts w:hint="default" w:ascii="Times New Roman" w:hAnsi="Times New Roman" w:cs="Times New Roman"/>
                <w:color w:val="0000FF"/>
                <w:sz w:val="24"/>
                <w:szCs w:val="24"/>
                <w:highlight w:val="none"/>
                <w:lang w:val="en-US" w:eastAsia="zh-CN"/>
              </w:rPr>
              <w:t>上表</w:t>
            </w:r>
            <w:r>
              <w:rPr>
                <w:rFonts w:hint="default" w:ascii="Times New Roman" w:hAnsi="Times New Roman" w:cs="Times New Roman"/>
                <w:color w:val="0000FF"/>
                <w:sz w:val="24"/>
                <w:szCs w:val="24"/>
                <w:highlight w:val="none"/>
              </w:rPr>
              <w:t>可知，在距离噪声源</w:t>
            </w:r>
            <w:r>
              <w:rPr>
                <w:rFonts w:hint="default" w:ascii="Times New Roman" w:hAnsi="Times New Roman" w:cs="Times New Roman"/>
                <w:color w:val="0000FF"/>
                <w:sz w:val="24"/>
                <w:szCs w:val="24"/>
                <w:highlight w:val="none"/>
                <w:lang w:val="en-US" w:eastAsia="zh-CN"/>
              </w:rPr>
              <w:t>10</w:t>
            </w:r>
            <w:r>
              <w:rPr>
                <w:rFonts w:hint="default" w:ascii="Times New Roman" w:hAnsi="Times New Roman" w:cs="Times New Roman"/>
                <w:color w:val="0000FF"/>
                <w:sz w:val="24"/>
                <w:szCs w:val="24"/>
                <w:highlight w:val="none"/>
              </w:rPr>
              <w:t>m</w:t>
            </w:r>
            <w:r>
              <w:rPr>
                <w:rFonts w:hint="default" w:ascii="Times New Roman" w:hAnsi="Times New Roman" w:cs="Times New Roman"/>
                <w:color w:val="0000FF"/>
                <w:sz w:val="24"/>
                <w:szCs w:val="24"/>
                <w:highlight w:val="none"/>
                <w:lang w:val="en-US" w:eastAsia="zh-CN"/>
              </w:rPr>
              <w:t>处衰减到6</w:t>
            </w:r>
            <w:r>
              <w:rPr>
                <w:rFonts w:hint="eastAsia" w:cs="Times New Roman"/>
                <w:color w:val="0000FF"/>
                <w:sz w:val="24"/>
                <w:szCs w:val="24"/>
                <w:highlight w:val="none"/>
                <w:lang w:val="en-US" w:eastAsia="zh-CN"/>
              </w:rPr>
              <w:t>5</w:t>
            </w:r>
            <w:r>
              <w:rPr>
                <w:rFonts w:hint="default" w:ascii="Times New Roman" w:hAnsi="Times New Roman" w:eastAsia="宋体" w:cs="Times New Roman"/>
                <w:color w:val="0000FF"/>
                <w:sz w:val="24"/>
                <w:szCs w:val="24"/>
                <w:highlight w:val="none"/>
                <w:lang w:val="en-US" w:eastAsia="zh-CN"/>
              </w:rPr>
              <w:t>dB（A）；在距离噪声源</w:t>
            </w:r>
            <w:r>
              <w:rPr>
                <w:rFonts w:hint="eastAsia" w:cs="Times New Roman"/>
                <w:color w:val="0000FF"/>
                <w:sz w:val="24"/>
                <w:szCs w:val="24"/>
                <w:highlight w:val="none"/>
                <w:lang w:val="en-US" w:eastAsia="zh-CN"/>
              </w:rPr>
              <w:t>30</w:t>
            </w:r>
            <w:r>
              <w:rPr>
                <w:rFonts w:hint="default" w:ascii="Times New Roman" w:hAnsi="Times New Roman" w:eastAsia="宋体" w:cs="Times New Roman"/>
                <w:color w:val="0000FF"/>
                <w:sz w:val="24"/>
                <w:szCs w:val="24"/>
                <w:highlight w:val="none"/>
                <w:lang w:val="en-US" w:eastAsia="zh-CN"/>
              </w:rPr>
              <w:t>m处衰减到</w:t>
            </w:r>
            <w:r>
              <w:rPr>
                <w:rFonts w:hint="eastAsia" w:cs="Times New Roman"/>
                <w:color w:val="0000FF"/>
                <w:sz w:val="24"/>
                <w:szCs w:val="24"/>
                <w:highlight w:val="none"/>
                <w:lang w:val="en-US" w:eastAsia="zh-CN"/>
              </w:rPr>
              <w:t>50.46</w:t>
            </w:r>
            <w:r>
              <w:rPr>
                <w:rFonts w:hint="default" w:ascii="Times New Roman" w:hAnsi="Times New Roman" w:eastAsia="宋体" w:cs="Times New Roman"/>
                <w:color w:val="0000FF"/>
                <w:sz w:val="24"/>
                <w:szCs w:val="24"/>
                <w:highlight w:val="none"/>
                <w:lang w:val="en-US" w:eastAsia="zh-CN"/>
              </w:rPr>
              <w:t>dB（A）</w:t>
            </w:r>
            <w:r>
              <w:rPr>
                <w:rFonts w:hint="eastAsia" w:ascii="Times New Roman" w:hAnsi="Times New Roman" w:eastAsia="宋体" w:cs="Times New Roman"/>
                <w:color w:val="0000FF"/>
                <w:sz w:val="24"/>
                <w:szCs w:val="24"/>
                <w:highlight w:val="none"/>
                <w:lang w:val="en-US" w:eastAsia="zh-CN"/>
              </w:rPr>
              <w:t>，</w:t>
            </w:r>
            <w:r>
              <w:rPr>
                <w:color w:val="0000FF"/>
                <w:sz w:val="24"/>
                <w:highlight w:val="none"/>
              </w:rPr>
              <w:t>可满足《声环境质量标准》（GB3096-2008）</w:t>
            </w:r>
            <w:r>
              <w:rPr>
                <w:rFonts w:hint="eastAsia"/>
                <w:color w:val="0000FF"/>
                <w:sz w:val="24"/>
                <w:highlight w:val="none"/>
                <w:lang w:val="en-US" w:eastAsia="zh-CN"/>
              </w:rPr>
              <w:t>3</w:t>
            </w:r>
            <w:r>
              <w:rPr>
                <w:color w:val="0000FF"/>
                <w:sz w:val="24"/>
                <w:highlight w:val="none"/>
              </w:rPr>
              <w:t>类标准的要求</w:t>
            </w:r>
            <w:r>
              <w:rPr>
                <w:rFonts w:hint="eastAsia" w:ascii="Times New Roman" w:hAnsi="Times New Roman" w:eastAsia="宋体" w:cs="Times New Roman"/>
                <w:color w:val="0000FF"/>
                <w:sz w:val="24"/>
                <w:szCs w:val="24"/>
                <w:highlight w:val="none"/>
                <w:lang w:val="en-US" w:eastAsia="zh-CN"/>
              </w:rPr>
              <w:t>。根据现场调查，本项目</w:t>
            </w:r>
            <w:r>
              <w:rPr>
                <w:rFonts w:hint="eastAsia" w:cs="Times New Roman"/>
                <w:color w:val="0000FF"/>
                <w:sz w:val="24"/>
                <w:szCs w:val="24"/>
                <w:highlight w:val="none"/>
                <w:lang w:val="en-US" w:eastAsia="zh-CN"/>
              </w:rPr>
              <w:t>3</w:t>
            </w:r>
            <w:r>
              <w:rPr>
                <w:rFonts w:hint="eastAsia" w:ascii="Times New Roman" w:hAnsi="Times New Roman" w:eastAsia="宋体" w:cs="Times New Roman"/>
                <w:color w:val="0000FF"/>
                <w:sz w:val="24"/>
                <w:szCs w:val="24"/>
                <w:highlight w:val="none"/>
                <w:lang w:val="en-US" w:eastAsia="zh-CN"/>
              </w:rPr>
              <w:t>0m范围内</w:t>
            </w:r>
            <w:r>
              <w:rPr>
                <w:rFonts w:hint="eastAsia"/>
                <w:color w:val="0000FF"/>
                <w:sz w:val="24"/>
                <w:lang w:val="en-US" w:eastAsia="zh-CN"/>
              </w:rPr>
              <w:t>无声环境保护目标</w:t>
            </w:r>
            <w:r>
              <w:rPr>
                <w:rFonts w:hint="eastAsia"/>
                <w:color w:val="0000FF"/>
                <w:sz w:val="24"/>
                <w:highlight w:val="none"/>
                <w:lang w:eastAsia="zh-CN"/>
              </w:rPr>
              <w:t>，</w:t>
            </w:r>
            <w:r>
              <w:rPr>
                <w:rFonts w:hint="eastAsia"/>
                <w:color w:val="0000FF"/>
                <w:sz w:val="24"/>
                <w:highlight w:val="none"/>
                <w:lang w:val="en-US" w:eastAsia="zh-CN"/>
              </w:rPr>
              <w:t>施工期噪声</w:t>
            </w:r>
            <w:r>
              <w:rPr>
                <w:color w:val="0000FF"/>
                <w:sz w:val="24"/>
                <w:highlight w:val="none"/>
              </w:rPr>
              <w:t>对周边</w:t>
            </w:r>
            <w:r>
              <w:rPr>
                <w:rFonts w:hint="eastAsia"/>
                <w:color w:val="0000FF"/>
                <w:sz w:val="24"/>
                <w:highlight w:val="none"/>
                <w:lang w:val="en-US" w:eastAsia="zh-CN"/>
              </w:rPr>
              <w:t>环境</w:t>
            </w:r>
            <w:r>
              <w:rPr>
                <w:color w:val="0000FF"/>
                <w:sz w:val="24"/>
                <w:highlight w:val="none"/>
              </w:rPr>
              <w:t>的影响较小、可控，且</w:t>
            </w:r>
            <w:r>
              <w:rPr>
                <w:rFonts w:hint="eastAsia"/>
                <w:color w:val="0000FF"/>
                <w:sz w:val="24"/>
                <w:highlight w:val="none"/>
              </w:rPr>
              <w:t>项目施工噪声多为突发性噪声，短期影响，随着施工的结束而停止</w:t>
            </w:r>
            <w:r>
              <w:rPr>
                <w:rFonts w:hint="eastAsia"/>
                <w:color w:val="0000FF"/>
                <w:sz w:val="24"/>
                <w:highlight w:val="none"/>
                <w:lang w:eastAsia="zh-CN"/>
              </w:rPr>
              <w:t>。</w:t>
            </w:r>
          </w:p>
          <w:p w14:paraId="21A639E2">
            <w:pPr>
              <w:adjustRightInd w:val="0"/>
              <w:snapToGrid w:val="0"/>
              <w:spacing w:line="360" w:lineRule="auto"/>
              <w:ind w:firstLine="480" w:firstLineChars="200"/>
              <w:jc w:val="left"/>
              <w:rPr>
                <w:rFonts w:hint="default"/>
                <w:color w:val="auto"/>
                <w:sz w:val="24"/>
                <w:highlight w:val="none"/>
                <w:lang w:eastAsia="zh-CN"/>
              </w:rPr>
            </w:pPr>
          </w:p>
          <w:p w14:paraId="53A5ED0F">
            <w:pPr>
              <w:adjustRightInd w:val="0"/>
              <w:snapToGrid w:val="0"/>
              <w:spacing w:line="360" w:lineRule="auto"/>
              <w:jc w:val="left"/>
              <w:rPr>
                <w:rFonts w:hint="default"/>
                <w:color w:val="auto"/>
                <w:sz w:val="24"/>
                <w:highlight w:val="none"/>
                <w:lang w:eastAsia="zh-CN"/>
              </w:rPr>
            </w:pPr>
          </w:p>
        </w:tc>
      </w:tr>
      <w:tr w14:paraId="14C12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4" w:hRule="atLeast"/>
          <w:jc w:val="center"/>
        </w:trPr>
        <w:tc>
          <w:tcPr>
            <w:tcW w:w="558" w:type="dxa"/>
            <w:noWrap w:val="0"/>
            <w:tcMar>
              <w:left w:w="28" w:type="dxa"/>
              <w:right w:w="28" w:type="dxa"/>
            </w:tcMar>
            <w:vAlign w:val="center"/>
          </w:tcPr>
          <w:p w14:paraId="4C60A252">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运营</w:t>
            </w:r>
          </w:p>
          <w:p w14:paraId="2A6550CA">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期环</w:t>
            </w:r>
          </w:p>
          <w:p w14:paraId="42F4FB6B">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境影</w:t>
            </w:r>
          </w:p>
          <w:p w14:paraId="16D610DF">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响和</w:t>
            </w:r>
          </w:p>
          <w:p w14:paraId="56AB3763">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保护</w:t>
            </w:r>
          </w:p>
          <w:p w14:paraId="0C40C54F">
            <w:pPr>
              <w:pStyle w:val="31"/>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bCs/>
                <w:color w:val="auto"/>
                <w:sz w:val="21"/>
                <w:szCs w:val="21"/>
              </w:rPr>
              <w:t>措施</w:t>
            </w:r>
          </w:p>
        </w:tc>
        <w:tc>
          <w:tcPr>
            <w:tcW w:w="8423" w:type="dxa"/>
            <w:noWrap w:val="0"/>
            <w:vAlign w:val="top"/>
          </w:tcPr>
          <w:p w14:paraId="6DBE1E7F">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b/>
                <w:bCs/>
                <w:color w:val="00B050"/>
                <w:kern w:val="0"/>
                <w:sz w:val="28"/>
                <w:szCs w:val="28"/>
                <w:lang w:bidi="ar"/>
              </w:rPr>
            </w:pPr>
            <w:r>
              <w:rPr>
                <w:rFonts w:hint="default" w:ascii="Times New Roman" w:hAnsi="Times New Roman" w:cs="Times New Roman"/>
                <w:b/>
                <w:bCs/>
                <w:color w:val="00B050"/>
                <w:kern w:val="0"/>
                <w:sz w:val="28"/>
                <w:szCs w:val="28"/>
                <w:lang w:bidi="ar"/>
              </w:rPr>
              <w:t>4.2营运期环境保护措施</w:t>
            </w:r>
          </w:p>
          <w:p w14:paraId="36679DF7">
            <w:pPr>
              <w:pStyle w:val="49"/>
              <w:keepNext w:val="0"/>
              <w:keepLines w:val="0"/>
              <w:pageBreakBefore w:val="0"/>
              <w:kinsoku/>
              <w:wordWrap/>
              <w:overflowPunct/>
              <w:topLinePunct w:val="0"/>
              <w:autoSpaceDE/>
              <w:autoSpaceDN/>
              <w:bidi w:val="0"/>
              <w:adjustRightInd/>
              <w:snapToGrid/>
              <w:ind w:firstLine="0" w:firstLineChars="0"/>
              <w:textAlignment w:val="auto"/>
              <w:rPr>
                <w:rFonts w:hint="default" w:ascii="Times New Roman" w:hAnsi="Times New Roman" w:cs="Times New Roman"/>
                <w:b/>
                <w:color w:val="00B050"/>
              </w:rPr>
            </w:pPr>
            <w:r>
              <w:rPr>
                <w:rFonts w:hint="default" w:ascii="Times New Roman" w:hAnsi="Times New Roman" w:cs="Times New Roman"/>
                <w:b/>
                <w:color w:val="00B050"/>
              </w:rPr>
              <w:t>4.2.1 废气</w:t>
            </w:r>
          </w:p>
          <w:p w14:paraId="50A295CF">
            <w:pPr>
              <w:keepNext w:val="0"/>
              <w:keepLines w:val="0"/>
              <w:pageBreakBefore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b/>
                <w:bCs/>
                <w:color w:val="00B050"/>
                <w:sz w:val="24"/>
              </w:rPr>
            </w:pPr>
            <w:r>
              <w:rPr>
                <w:rFonts w:hint="default" w:ascii="Times New Roman" w:hAnsi="Times New Roman" w:cs="Times New Roman"/>
                <w:b/>
                <w:bCs/>
                <w:color w:val="00B050"/>
                <w:sz w:val="24"/>
              </w:rPr>
              <w:t>1、污染物产排分析</w:t>
            </w:r>
          </w:p>
          <w:p w14:paraId="555E543E">
            <w:pPr>
              <w:keepNext w:val="0"/>
              <w:keepLines w:val="0"/>
              <w:pageBreakBefore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Cs/>
                <w:color w:val="00B050"/>
                <w:sz w:val="24"/>
              </w:rPr>
            </w:pPr>
            <w:r>
              <w:rPr>
                <w:rFonts w:hint="default" w:ascii="Times New Roman" w:hAnsi="Times New Roman" w:cs="Times New Roman"/>
                <w:bCs/>
                <w:color w:val="00B050"/>
                <w:sz w:val="24"/>
              </w:rPr>
              <w:t>本项目运营期主要废气为G1</w:t>
            </w:r>
            <w:r>
              <w:rPr>
                <w:rFonts w:hint="eastAsia" w:cs="Times New Roman"/>
                <w:bCs/>
                <w:color w:val="00B050"/>
                <w:sz w:val="24"/>
                <w:lang w:val="en-US" w:eastAsia="zh-CN"/>
              </w:rPr>
              <w:t>加料废气</w:t>
            </w:r>
            <w:r>
              <w:rPr>
                <w:rFonts w:hint="default" w:ascii="Times New Roman" w:hAnsi="Times New Roman" w:cs="Times New Roman"/>
                <w:bCs/>
                <w:color w:val="00B050"/>
                <w:sz w:val="24"/>
                <w:lang w:eastAsia="zh-CN"/>
              </w:rPr>
              <w:t>、</w:t>
            </w:r>
            <w:r>
              <w:rPr>
                <w:rFonts w:hint="default" w:ascii="Times New Roman" w:hAnsi="Times New Roman" w:cs="Times New Roman"/>
                <w:bCs/>
                <w:color w:val="00B050"/>
                <w:sz w:val="24"/>
              </w:rPr>
              <w:t>G2</w:t>
            </w:r>
            <w:r>
              <w:rPr>
                <w:rFonts w:hint="eastAsia" w:ascii="Times New Roman" w:hAnsi="Times New Roman" w:cs="Times New Roman"/>
                <w:bCs/>
                <w:color w:val="00B050"/>
                <w:sz w:val="24"/>
                <w:lang w:val="en-US" w:eastAsia="zh-CN"/>
              </w:rPr>
              <w:t>-1注塑废气、G2-2注塑废气</w:t>
            </w:r>
            <w:r>
              <w:rPr>
                <w:rFonts w:hint="default" w:ascii="Times New Roman" w:hAnsi="Times New Roman" w:cs="Times New Roman"/>
                <w:bCs/>
                <w:color w:val="00B050"/>
                <w:sz w:val="24"/>
                <w:lang w:eastAsia="zh-CN"/>
              </w:rPr>
              <w:t>、</w:t>
            </w:r>
            <w:r>
              <w:rPr>
                <w:rFonts w:hint="default" w:ascii="Times New Roman" w:hAnsi="Times New Roman" w:cs="Times New Roman"/>
                <w:bCs/>
                <w:color w:val="00B050"/>
                <w:sz w:val="24"/>
              </w:rPr>
              <w:t>G3</w:t>
            </w:r>
            <w:r>
              <w:rPr>
                <w:rFonts w:hint="eastAsia" w:ascii="Times New Roman" w:hAnsi="Times New Roman" w:cs="Times New Roman"/>
                <w:bCs/>
                <w:color w:val="00B050"/>
                <w:sz w:val="24"/>
                <w:lang w:val="en-US" w:eastAsia="zh-CN"/>
              </w:rPr>
              <w:t>机边</w:t>
            </w:r>
            <w:r>
              <w:rPr>
                <w:rFonts w:hint="default" w:ascii="Times New Roman" w:hAnsi="Times New Roman" w:cs="Times New Roman"/>
                <w:bCs/>
                <w:color w:val="00B050"/>
                <w:sz w:val="24"/>
              </w:rPr>
              <w:t>破碎粉尘</w:t>
            </w:r>
            <w:r>
              <w:rPr>
                <w:rFonts w:hint="default" w:ascii="Times New Roman" w:hAnsi="Times New Roman" w:cs="Times New Roman"/>
                <w:bCs/>
                <w:color w:val="00B050"/>
                <w:sz w:val="24"/>
                <w:lang w:eastAsia="zh-CN"/>
              </w:rPr>
              <w:t>、</w:t>
            </w:r>
            <w:r>
              <w:rPr>
                <w:rFonts w:hint="default" w:ascii="Times New Roman" w:hAnsi="Times New Roman" w:cs="Times New Roman"/>
                <w:bCs/>
                <w:color w:val="00B050"/>
                <w:sz w:val="24"/>
              </w:rPr>
              <w:t>G4</w:t>
            </w:r>
            <w:r>
              <w:rPr>
                <w:rFonts w:hint="eastAsia" w:ascii="Times New Roman" w:hAnsi="Times New Roman" w:cs="Times New Roman"/>
                <w:bCs/>
                <w:color w:val="00B050"/>
                <w:sz w:val="24"/>
                <w:lang w:val="en-US" w:eastAsia="zh-CN"/>
              </w:rPr>
              <w:t>集中</w:t>
            </w:r>
            <w:r>
              <w:rPr>
                <w:rFonts w:hint="default" w:ascii="Times New Roman" w:hAnsi="Times New Roman" w:cs="Times New Roman"/>
                <w:bCs/>
                <w:color w:val="00B050"/>
                <w:sz w:val="24"/>
              </w:rPr>
              <w:t>破碎粉尘</w:t>
            </w:r>
            <w:r>
              <w:rPr>
                <w:rFonts w:hint="default" w:ascii="Times New Roman" w:hAnsi="Times New Roman" w:cs="Times New Roman"/>
                <w:bCs/>
                <w:color w:val="00B050"/>
                <w:sz w:val="24"/>
                <w:lang w:eastAsia="zh-CN"/>
              </w:rPr>
              <w:t>、</w:t>
            </w:r>
            <w:r>
              <w:rPr>
                <w:rFonts w:hint="default" w:ascii="Times New Roman" w:hAnsi="Times New Roman" w:cs="Times New Roman"/>
                <w:bCs/>
                <w:color w:val="00B050"/>
                <w:sz w:val="24"/>
              </w:rPr>
              <w:t>G</w:t>
            </w:r>
            <w:r>
              <w:rPr>
                <w:rFonts w:hint="eastAsia" w:ascii="Times New Roman" w:hAnsi="Times New Roman" w:cs="Times New Roman"/>
                <w:bCs/>
                <w:color w:val="00B050"/>
                <w:sz w:val="24"/>
                <w:lang w:val="en-US" w:eastAsia="zh-CN"/>
              </w:rPr>
              <w:t>5</w:t>
            </w:r>
            <w:r>
              <w:rPr>
                <w:rFonts w:hint="default" w:ascii="Times New Roman" w:hAnsi="Times New Roman" w:cs="Times New Roman"/>
                <w:bCs/>
                <w:color w:val="00B050"/>
                <w:sz w:val="24"/>
              </w:rPr>
              <w:t>移印废气</w:t>
            </w:r>
            <w:r>
              <w:rPr>
                <w:rFonts w:hint="default" w:ascii="Times New Roman" w:hAnsi="Times New Roman" w:cs="Times New Roman"/>
                <w:bCs/>
                <w:color w:val="00B050"/>
                <w:sz w:val="24"/>
                <w:lang w:eastAsia="zh-CN"/>
              </w:rPr>
              <w:t>、</w:t>
            </w:r>
            <w:r>
              <w:rPr>
                <w:rFonts w:hint="default" w:ascii="Times New Roman" w:hAnsi="Times New Roman" w:cs="Times New Roman"/>
                <w:bCs/>
                <w:color w:val="00B050"/>
                <w:sz w:val="24"/>
              </w:rPr>
              <w:t>G</w:t>
            </w:r>
            <w:r>
              <w:rPr>
                <w:rFonts w:hint="eastAsia" w:ascii="Times New Roman" w:hAnsi="Times New Roman" w:cs="Times New Roman"/>
                <w:bCs/>
                <w:color w:val="00B050"/>
                <w:sz w:val="24"/>
                <w:lang w:val="en-US" w:eastAsia="zh-CN"/>
              </w:rPr>
              <w:t>6</w:t>
            </w:r>
            <w:r>
              <w:rPr>
                <w:rFonts w:hint="default" w:ascii="Times New Roman" w:hAnsi="Times New Roman" w:cs="Times New Roman"/>
                <w:bCs/>
                <w:color w:val="00B050"/>
                <w:sz w:val="24"/>
              </w:rPr>
              <w:t>烘烤废气</w:t>
            </w:r>
            <w:r>
              <w:rPr>
                <w:rFonts w:hint="default" w:ascii="Times New Roman" w:hAnsi="Times New Roman" w:cs="Times New Roman"/>
                <w:bCs/>
                <w:color w:val="00B050"/>
                <w:sz w:val="24"/>
                <w:lang w:eastAsia="zh-CN"/>
              </w:rPr>
              <w:t>、G</w:t>
            </w:r>
            <w:r>
              <w:rPr>
                <w:rFonts w:hint="eastAsia" w:ascii="Times New Roman" w:hAnsi="Times New Roman" w:cs="Times New Roman"/>
                <w:bCs/>
                <w:color w:val="00B050"/>
                <w:sz w:val="24"/>
                <w:lang w:val="en-US" w:eastAsia="zh-CN"/>
              </w:rPr>
              <w:t>7</w:t>
            </w:r>
            <w:r>
              <w:rPr>
                <w:rFonts w:hint="eastAsia" w:ascii="Times New Roman" w:hAnsi="Times New Roman" w:cs="Times New Roman"/>
                <w:bCs/>
                <w:color w:val="00B050"/>
                <w:sz w:val="24"/>
                <w:lang w:eastAsia="zh-CN"/>
              </w:rPr>
              <w:t>擦版废气</w:t>
            </w:r>
            <w:r>
              <w:rPr>
                <w:rFonts w:hint="default" w:ascii="Times New Roman" w:hAnsi="Times New Roman" w:cs="Times New Roman"/>
                <w:bCs/>
                <w:color w:val="00B050"/>
                <w:sz w:val="24"/>
                <w:lang w:eastAsia="zh-CN"/>
              </w:rPr>
              <w:t>、G</w:t>
            </w:r>
            <w:r>
              <w:rPr>
                <w:rFonts w:hint="eastAsia" w:ascii="Times New Roman" w:hAnsi="Times New Roman" w:cs="Times New Roman"/>
                <w:bCs/>
                <w:color w:val="00B050"/>
                <w:sz w:val="24"/>
                <w:lang w:val="en-US" w:eastAsia="zh-CN"/>
              </w:rPr>
              <w:t>8</w:t>
            </w:r>
            <w:r>
              <w:rPr>
                <w:rFonts w:hint="default" w:ascii="Times New Roman" w:hAnsi="Times New Roman" w:cs="Times New Roman"/>
                <w:bCs/>
                <w:color w:val="00B050"/>
                <w:sz w:val="24"/>
                <w:lang w:eastAsia="zh-CN"/>
              </w:rPr>
              <w:t>擦油墨废气、</w:t>
            </w:r>
            <w:r>
              <w:rPr>
                <w:rFonts w:hint="default" w:ascii="Times New Roman" w:hAnsi="Times New Roman" w:cs="Times New Roman"/>
                <w:bCs/>
                <w:color w:val="00B050"/>
                <w:sz w:val="24"/>
              </w:rPr>
              <w:t>G</w:t>
            </w:r>
            <w:r>
              <w:rPr>
                <w:rFonts w:hint="eastAsia" w:ascii="Times New Roman" w:hAnsi="Times New Roman" w:cs="Times New Roman"/>
                <w:bCs/>
                <w:color w:val="00B050"/>
                <w:sz w:val="24"/>
                <w:lang w:val="en-US" w:eastAsia="zh-CN"/>
              </w:rPr>
              <w:t>9</w:t>
            </w:r>
            <w:r>
              <w:rPr>
                <w:rFonts w:hint="default" w:ascii="Times New Roman" w:hAnsi="Times New Roman" w:cs="Times New Roman"/>
                <w:bCs/>
                <w:color w:val="00B050"/>
                <w:sz w:val="24"/>
              </w:rPr>
              <w:t>模具保养废气</w:t>
            </w:r>
            <w:r>
              <w:rPr>
                <w:rFonts w:hint="eastAsia" w:cs="Times New Roman"/>
                <w:bCs/>
                <w:color w:val="00B050"/>
                <w:sz w:val="24"/>
                <w:lang w:eastAsia="zh-CN"/>
              </w:rPr>
              <w:t>、</w:t>
            </w:r>
            <w:r>
              <w:rPr>
                <w:rFonts w:hint="eastAsia" w:cs="Times New Roman"/>
                <w:bCs/>
                <w:color w:val="00B050"/>
                <w:sz w:val="24"/>
                <w:lang w:val="en-US" w:eastAsia="zh-CN"/>
              </w:rPr>
              <w:t>G10模具加工烟尘</w:t>
            </w:r>
            <w:r>
              <w:rPr>
                <w:rFonts w:hint="default" w:ascii="Times New Roman" w:hAnsi="Times New Roman" w:cs="Times New Roman"/>
                <w:bCs/>
                <w:color w:val="00B050"/>
                <w:sz w:val="24"/>
              </w:rPr>
              <w:t>。污染物产生排放情况见表4.2-1。</w:t>
            </w:r>
          </w:p>
          <w:p w14:paraId="398E67A3">
            <w:pPr>
              <w:jc w:val="center"/>
              <w:rPr>
                <w:rFonts w:hint="default" w:ascii="Times New Roman" w:hAnsi="Times New Roman" w:cs="Times New Roman"/>
                <w:b/>
                <w:bCs/>
                <w:color w:val="00B050"/>
                <w:sz w:val="24"/>
              </w:rPr>
            </w:pPr>
            <w:r>
              <w:rPr>
                <w:rFonts w:hint="default" w:ascii="Times New Roman" w:hAnsi="Times New Roman" w:cs="Times New Roman"/>
                <w:b/>
                <w:bCs/>
                <w:color w:val="00B050"/>
                <w:sz w:val="24"/>
              </w:rPr>
              <w:t>表4.2-1  污染物产排情况一览表</w:t>
            </w:r>
          </w:p>
          <w:tbl>
            <w:tblPr>
              <w:tblStyle w:val="3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0"/>
              <w:gridCol w:w="1860"/>
              <w:gridCol w:w="2450"/>
              <w:gridCol w:w="1067"/>
              <w:gridCol w:w="959"/>
            </w:tblGrid>
            <w:tr w14:paraId="0D8DB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0" w:type="dxa"/>
                  <w:gridSpan w:val="2"/>
                  <w:noWrap w:val="0"/>
                  <w:vAlign w:val="center"/>
                </w:tcPr>
                <w:p w14:paraId="2B386D39">
                  <w:pPr>
                    <w:keepNext w:val="0"/>
                    <w:keepLines w:val="0"/>
                    <w:widowControl/>
                    <w:suppressLineNumbers w:val="0"/>
                    <w:jc w:val="center"/>
                    <w:textAlignment w:val="center"/>
                    <w:rPr>
                      <w:rFonts w:hint="default" w:ascii="Times New Roman" w:hAnsi="Times New Roman" w:cs="Times New Roman"/>
                      <w:b/>
                      <w:color w:val="00B050"/>
                    </w:rPr>
                  </w:pPr>
                  <w:r>
                    <w:rPr>
                      <w:rFonts w:hint="eastAsia" w:ascii="宋体" w:hAnsi="宋体" w:eastAsia="宋体" w:cs="宋体"/>
                      <w:b/>
                      <w:bCs/>
                      <w:i w:val="0"/>
                      <w:iCs w:val="0"/>
                      <w:color w:val="00B050"/>
                      <w:kern w:val="0"/>
                      <w:sz w:val="21"/>
                      <w:szCs w:val="21"/>
                      <w:u w:val="none"/>
                      <w:lang w:val="en-US" w:eastAsia="zh-CN" w:bidi="ar"/>
                    </w:rPr>
                    <w:t>污染物</w:t>
                  </w:r>
                </w:p>
              </w:tc>
              <w:tc>
                <w:tcPr>
                  <w:tcW w:w="2450" w:type="dxa"/>
                  <w:noWrap w:val="0"/>
                  <w:vAlign w:val="center"/>
                </w:tcPr>
                <w:p w14:paraId="5E10B6CA">
                  <w:pPr>
                    <w:keepNext w:val="0"/>
                    <w:keepLines w:val="0"/>
                    <w:widowControl/>
                    <w:suppressLineNumbers w:val="0"/>
                    <w:jc w:val="center"/>
                    <w:textAlignment w:val="center"/>
                    <w:rPr>
                      <w:rFonts w:hint="default" w:ascii="Times New Roman" w:hAnsi="Times New Roman" w:cs="Times New Roman"/>
                      <w:b/>
                      <w:color w:val="00B050"/>
                    </w:rPr>
                  </w:pPr>
                  <w:r>
                    <w:rPr>
                      <w:rFonts w:hint="eastAsia" w:ascii="宋体" w:hAnsi="宋体" w:eastAsia="宋体" w:cs="宋体"/>
                      <w:b/>
                      <w:bCs/>
                      <w:i w:val="0"/>
                      <w:iCs w:val="0"/>
                      <w:color w:val="00B050"/>
                      <w:kern w:val="0"/>
                      <w:sz w:val="21"/>
                      <w:szCs w:val="21"/>
                      <w:u w:val="none"/>
                      <w:lang w:val="en-US" w:eastAsia="zh-CN" w:bidi="ar"/>
                    </w:rPr>
                    <w:t>收集方式</w:t>
                  </w:r>
                </w:p>
              </w:tc>
              <w:tc>
                <w:tcPr>
                  <w:tcW w:w="1067" w:type="dxa"/>
                  <w:noWrap w:val="0"/>
                  <w:vAlign w:val="center"/>
                </w:tcPr>
                <w:p w14:paraId="439EE695">
                  <w:pPr>
                    <w:keepNext w:val="0"/>
                    <w:keepLines w:val="0"/>
                    <w:widowControl/>
                    <w:suppressLineNumbers w:val="0"/>
                    <w:jc w:val="center"/>
                    <w:textAlignment w:val="center"/>
                    <w:rPr>
                      <w:rFonts w:hint="default" w:ascii="Times New Roman" w:hAnsi="Times New Roman" w:cs="Times New Roman"/>
                      <w:b/>
                      <w:color w:val="00B050"/>
                    </w:rPr>
                  </w:pPr>
                  <w:r>
                    <w:rPr>
                      <w:rFonts w:hint="eastAsia" w:ascii="宋体" w:hAnsi="宋体" w:eastAsia="宋体" w:cs="宋体"/>
                      <w:b/>
                      <w:bCs/>
                      <w:i w:val="0"/>
                      <w:iCs w:val="0"/>
                      <w:color w:val="00B050"/>
                      <w:kern w:val="0"/>
                      <w:sz w:val="21"/>
                      <w:szCs w:val="21"/>
                      <w:u w:val="none"/>
                      <w:lang w:val="en-US" w:eastAsia="zh-CN" w:bidi="ar"/>
                    </w:rPr>
                    <w:t>治理措施</w:t>
                  </w:r>
                </w:p>
              </w:tc>
              <w:tc>
                <w:tcPr>
                  <w:tcW w:w="959" w:type="dxa"/>
                  <w:noWrap w:val="0"/>
                  <w:vAlign w:val="center"/>
                </w:tcPr>
                <w:p w14:paraId="1E4AED12">
                  <w:pPr>
                    <w:keepNext w:val="0"/>
                    <w:keepLines w:val="0"/>
                    <w:widowControl/>
                    <w:suppressLineNumbers w:val="0"/>
                    <w:jc w:val="center"/>
                    <w:textAlignment w:val="center"/>
                    <w:rPr>
                      <w:rFonts w:hint="default" w:ascii="Times New Roman" w:hAnsi="Times New Roman" w:cs="Times New Roman"/>
                      <w:b/>
                      <w:color w:val="00B050"/>
                    </w:rPr>
                  </w:pPr>
                  <w:r>
                    <w:rPr>
                      <w:rFonts w:hint="eastAsia" w:ascii="宋体" w:hAnsi="宋体" w:eastAsia="宋体" w:cs="宋体"/>
                      <w:b/>
                      <w:bCs/>
                      <w:i w:val="0"/>
                      <w:iCs w:val="0"/>
                      <w:color w:val="00B050"/>
                      <w:kern w:val="0"/>
                      <w:sz w:val="21"/>
                      <w:szCs w:val="21"/>
                      <w:u w:val="none"/>
                      <w:lang w:val="en-US" w:eastAsia="zh-CN" w:bidi="ar"/>
                    </w:rPr>
                    <w:t>排放口名称</w:t>
                  </w:r>
                </w:p>
              </w:tc>
            </w:tr>
            <w:tr w14:paraId="3DECA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0" w:type="dxa"/>
                  <w:noWrap w:val="0"/>
                  <w:vAlign w:val="center"/>
                </w:tcPr>
                <w:p w14:paraId="0FA480F8">
                  <w:pPr>
                    <w:keepNext w:val="0"/>
                    <w:keepLines w:val="0"/>
                    <w:widowControl/>
                    <w:suppressLineNumbers w:val="0"/>
                    <w:jc w:val="center"/>
                    <w:textAlignment w:val="center"/>
                    <w:rPr>
                      <w:rFonts w:hint="default" w:ascii="Times New Roman" w:hAnsi="Times New Roman" w:cs="Times New Roman"/>
                      <w:color w:val="00B050"/>
                    </w:rPr>
                  </w:pPr>
                  <w:r>
                    <w:rPr>
                      <w:rFonts w:hint="default" w:ascii="Times New Roman" w:hAnsi="Times New Roman" w:eastAsia="宋体" w:cs="Times New Roman"/>
                      <w:i w:val="0"/>
                      <w:iCs w:val="0"/>
                      <w:color w:val="00B050"/>
                      <w:kern w:val="0"/>
                      <w:sz w:val="21"/>
                      <w:szCs w:val="21"/>
                      <w:u w:val="none"/>
                      <w:lang w:val="en-US" w:eastAsia="zh-CN" w:bidi="ar"/>
                    </w:rPr>
                    <w:t>G1</w:t>
                  </w:r>
                  <w:r>
                    <w:rPr>
                      <w:rFonts w:hint="eastAsia" w:ascii="宋体" w:hAnsi="宋体" w:eastAsia="宋体" w:cs="宋体"/>
                      <w:i w:val="0"/>
                      <w:iCs w:val="0"/>
                      <w:color w:val="00B050"/>
                      <w:kern w:val="0"/>
                      <w:sz w:val="21"/>
                      <w:szCs w:val="21"/>
                      <w:u w:val="none"/>
                      <w:lang w:val="en-US" w:eastAsia="zh-CN" w:bidi="ar"/>
                    </w:rPr>
                    <w:t>加料废气</w:t>
                  </w:r>
                </w:p>
              </w:tc>
              <w:tc>
                <w:tcPr>
                  <w:tcW w:w="1860" w:type="dxa"/>
                  <w:noWrap w:val="0"/>
                  <w:vAlign w:val="center"/>
                </w:tcPr>
                <w:p w14:paraId="48CB29B4">
                  <w:pPr>
                    <w:keepNext w:val="0"/>
                    <w:keepLines w:val="0"/>
                    <w:widowControl/>
                    <w:suppressLineNumbers w:val="0"/>
                    <w:jc w:val="center"/>
                    <w:textAlignment w:val="center"/>
                    <w:rPr>
                      <w:rFonts w:hint="default" w:ascii="Times New Roman" w:hAnsi="Times New Roman" w:cs="Times New Roman"/>
                      <w:color w:val="00B050"/>
                    </w:rPr>
                  </w:pPr>
                  <w:r>
                    <w:rPr>
                      <w:rFonts w:hint="eastAsia" w:ascii="宋体" w:hAnsi="宋体" w:eastAsia="宋体" w:cs="宋体"/>
                      <w:i w:val="0"/>
                      <w:iCs w:val="0"/>
                      <w:color w:val="00B050"/>
                      <w:kern w:val="0"/>
                      <w:sz w:val="21"/>
                      <w:szCs w:val="21"/>
                      <w:u w:val="none"/>
                      <w:lang w:val="en-US" w:eastAsia="zh-CN" w:bidi="ar"/>
                    </w:rPr>
                    <w:t>颗粒物</w:t>
                  </w:r>
                </w:p>
              </w:tc>
              <w:tc>
                <w:tcPr>
                  <w:tcW w:w="2450" w:type="dxa"/>
                  <w:noWrap w:val="0"/>
                  <w:vAlign w:val="center"/>
                </w:tcPr>
                <w:p w14:paraId="079C28EE">
                  <w:pPr>
                    <w:keepNext w:val="0"/>
                    <w:keepLines w:val="0"/>
                    <w:widowControl/>
                    <w:suppressLineNumbers w:val="0"/>
                    <w:jc w:val="center"/>
                    <w:textAlignment w:val="center"/>
                    <w:rPr>
                      <w:rFonts w:hint="default" w:ascii="Times New Roman" w:hAnsi="Times New Roman" w:cs="Times New Roman"/>
                      <w:color w:val="00B050"/>
                    </w:rPr>
                  </w:pPr>
                  <w:r>
                    <w:rPr>
                      <w:rFonts w:hint="eastAsia" w:ascii="宋体" w:hAnsi="宋体" w:eastAsia="宋体" w:cs="宋体"/>
                      <w:i w:val="0"/>
                      <w:iCs w:val="0"/>
                      <w:color w:val="00B050"/>
                      <w:kern w:val="0"/>
                      <w:sz w:val="21"/>
                      <w:szCs w:val="21"/>
                      <w:u w:val="none"/>
                      <w:lang w:val="en-US" w:eastAsia="zh-CN" w:bidi="ar"/>
                    </w:rPr>
                    <w:t>车间无组织排放</w:t>
                  </w:r>
                </w:p>
              </w:tc>
              <w:tc>
                <w:tcPr>
                  <w:tcW w:w="2026" w:type="dxa"/>
                  <w:gridSpan w:val="2"/>
                  <w:noWrap w:val="0"/>
                  <w:vAlign w:val="center"/>
                </w:tcPr>
                <w:p w14:paraId="4B5F0C33">
                  <w:pPr>
                    <w:keepNext w:val="0"/>
                    <w:keepLines w:val="0"/>
                    <w:widowControl/>
                    <w:suppressLineNumbers w:val="0"/>
                    <w:jc w:val="center"/>
                    <w:textAlignment w:val="center"/>
                    <w:rPr>
                      <w:rFonts w:hint="default" w:ascii="Times New Roman" w:hAnsi="Times New Roman" w:cs="Times New Roman"/>
                      <w:color w:val="00B050"/>
                    </w:rPr>
                  </w:pPr>
                  <w:r>
                    <w:rPr>
                      <w:rFonts w:hint="eastAsia" w:ascii="宋体" w:hAnsi="宋体" w:eastAsia="宋体" w:cs="宋体"/>
                      <w:i w:val="0"/>
                      <w:iCs w:val="0"/>
                      <w:color w:val="00B050"/>
                      <w:kern w:val="0"/>
                      <w:sz w:val="21"/>
                      <w:szCs w:val="21"/>
                      <w:u w:val="none"/>
                      <w:lang w:val="en-US" w:eastAsia="zh-CN" w:bidi="ar"/>
                    </w:rPr>
                    <w:t>车间内无组织排放。</w:t>
                  </w:r>
                </w:p>
              </w:tc>
            </w:tr>
            <w:tr w14:paraId="786AD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1860" w:type="dxa"/>
                  <w:noWrap w:val="0"/>
                  <w:vAlign w:val="center"/>
                </w:tcPr>
                <w:p w14:paraId="126DC23D">
                  <w:pPr>
                    <w:keepNext w:val="0"/>
                    <w:keepLines w:val="0"/>
                    <w:widowControl/>
                    <w:suppressLineNumbers w:val="0"/>
                    <w:jc w:val="center"/>
                    <w:textAlignment w:val="center"/>
                    <w:rPr>
                      <w:rFonts w:hint="default" w:ascii="Times New Roman" w:hAnsi="Times New Roman" w:cs="Times New Roman"/>
                      <w:color w:val="00B050"/>
                    </w:rPr>
                  </w:pPr>
                  <w:r>
                    <w:rPr>
                      <w:rFonts w:hint="default" w:ascii="Times New Roman" w:hAnsi="Times New Roman" w:eastAsia="宋体" w:cs="Times New Roman"/>
                      <w:i w:val="0"/>
                      <w:iCs w:val="0"/>
                      <w:color w:val="00B050"/>
                      <w:kern w:val="0"/>
                      <w:sz w:val="21"/>
                      <w:szCs w:val="21"/>
                      <w:u w:val="none"/>
                      <w:lang w:val="en-US" w:eastAsia="zh-CN" w:bidi="ar"/>
                    </w:rPr>
                    <w:t>G2-1</w:t>
                  </w:r>
                  <w:r>
                    <w:rPr>
                      <w:rFonts w:hint="eastAsia" w:ascii="宋体" w:hAnsi="宋体" w:eastAsia="宋体" w:cs="宋体"/>
                      <w:i w:val="0"/>
                      <w:iCs w:val="0"/>
                      <w:color w:val="00B050"/>
                      <w:kern w:val="0"/>
                      <w:sz w:val="21"/>
                      <w:szCs w:val="21"/>
                      <w:u w:val="none"/>
                      <w:lang w:val="en-US" w:eastAsia="zh-CN" w:bidi="ar"/>
                    </w:rPr>
                    <w:t>注塑废气</w:t>
                  </w:r>
                </w:p>
              </w:tc>
              <w:tc>
                <w:tcPr>
                  <w:tcW w:w="1860" w:type="dxa"/>
                  <w:noWrap w:val="0"/>
                  <w:vAlign w:val="center"/>
                </w:tcPr>
                <w:p w14:paraId="31325E53">
                  <w:pPr>
                    <w:keepNext w:val="0"/>
                    <w:keepLines w:val="0"/>
                    <w:widowControl/>
                    <w:suppressLineNumbers w:val="0"/>
                    <w:jc w:val="center"/>
                    <w:textAlignment w:val="center"/>
                    <w:rPr>
                      <w:rFonts w:hint="default" w:ascii="Times New Roman" w:hAnsi="Times New Roman" w:cs="Times New Roman"/>
                      <w:color w:val="00B050"/>
                    </w:rPr>
                  </w:pPr>
                  <w:r>
                    <w:rPr>
                      <w:rFonts w:hint="eastAsia" w:ascii="宋体" w:hAnsi="宋体" w:eastAsia="宋体" w:cs="宋体"/>
                      <w:i w:val="0"/>
                      <w:iCs w:val="0"/>
                      <w:color w:val="00B050"/>
                      <w:kern w:val="0"/>
                      <w:sz w:val="21"/>
                      <w:szCs w:val="21"/>
                      <w:u w:val="none"/>
                      <w:lang w:val="en-US" w:eastAsia="zh-CN" w:bidi="ar"/>
                    </w:rPr>
                    <w:t>非甲烷总烃、颗粒物、酚类、氯苯类、二氯甲烷、苯乙烯、丙烯腈、</w:t>
                  </w:r>
                  <w:r>
                    <w:rPr>
                      <w:rFonts w:hint="default" w:ascii="Times New Roman" w:hAnsi="Times New Roman" w:eastAsia="宋体" w:cs="Times New Roman"/>
                      <w:i w:val="0"/>
                      <w:iCs w:val="0"/>
                      <w:color w:val="00B050"/>
                      <w:kern w:val="0"/>
                      <w:sz w:val="21"/>
                      <w:szCs w:val="21"/>
                      <w:u w:val="none"/>
                      <w:lang w:val="en-US" w:eastAsia="zh-CN" w:bidi="ar"/>
                    </w:rPr>
                    <w:t>1,3-</w:t>
                  </w:r>
                  <w:r>
                    <w:rPr>
                      <w:rFonts w:hint="eastAsia" w:ascii="宋体" w:hAnsi="宋体" w:eastAsia="宋体" w:cs="宋体"/>
                      <w:i w:val="0"/>
                      <w:iCs w:val="0"/>
                      <w:color w:val="00B050"/>
                      <w:kern w:val="0"/>
                      <w:sz w:val="21"/>
                      <w:szCs w:val="21"/>
                      <w:u w:val="none"/>
                      <w:lang w:val="en-US" w:eastAsia="zh-CN" w:bidi="ar"/>
                    </w:rPr>
                    <w:t>丁二烯，甲苯、乙苯</w:t>
                  </w:r>
                </w:p>
              </w:tc>
              <w:tc>
                <w:tcPr>
                  <w:tcW w:w="2450" w:type="dxa"/>
                  <w:noWrap w:val="0"/>
                  <w:vAlign w:val="center"/>
                </w:tcPr>
                <w:p w14:paraId="35B65490">
                  <w:pPr>
                    <w:keepNext w:val="0"/>
                    <w:keepLines w:val="0"/>
                    <w:widowControl/>
                    <w:suppressLineNumbers w:val="0"/>
                    <w:jc w:val="center"/>
                    <w:textAlignment w:val="center"/>
                    <w:rPr>
                      <w:rFonts w:hint="default" w:ascii="Times New Roman" w:hAnsi="Times New Roman" w:cs="Times New Roman"/>
                      <w:color w:val="00B050"/>
                    </w:rPr>
                  </w:pPr>
                  <w:r>
                    <w:rPr>
                      <w:rFonts w:hint="eastAsia" w:ascii="宋体" w:hAnsi="宋体" w:eastAsia="宋体" w:cs="宋体"/>
                      <w:i w:val="0"/>
                      <w:iCs w:val="0"/>
                      <w:color w:val="00B050"/>
                      <w:kern w:val="0"/>
                      <w:sz w:val="21"/>
                      <w:szCs w:val="21"/>
                      <w:u w:val="none"/>
                      <w:lang w:val="en-US" w:eastAsia="zh-CN" w:bidi="ar"/>
                    </w:rPr>
                    <w:t>分别在每台注塑机设置集气罩，集气罩位于注塑机开模口上方。</w:t>
                  </w:r>
                </w:p>
              </w:tc>
              <w:tc>
                <w:tcPr>
                  <w:tcW w:w="1067" w:type="dxa"/>
                  <w:vMerge w:val="restart"/>
                  <w:noWrap w:val="0"/>
                  <w:vAlign w:val="center"/>
                </w:tcPr>
                <w:p w14:paraId="0DB855F3">
                  <w:pPr>
                    <w:keepNext w:val="0"/>
                    <w:keepLines w:val="0"/>
                    <w:widowControl/>
                    <w:suppressLineNumbers w:val="0"/>
                    <w:jc w:val="center"/>
                    <w:textAlignment w:val="center"/>
                    <w:rPr>
                      <w:rFonts w:hint="default" w:ascii="Times New Roman" w:hAnsi="Times New Roman" w:cs="Times New Roman"/>
                      <w:color w:val="00B050"/>
                    </w:rPr>
                  </w:pPr>
                  <w:r>
                    <w:rPr>
                      <w:rFonts w:hint="eastAsia" w:ascii="宋体" w:hAnsi="宋体" w:eastAsia="宋体" w:cs="宋体"/>
                      <w:i w:val="0"/>
                      <w:iCs w:val="0"/>
                      <w:color w:val="00B050"/>
                      <w:kern w:val="0"/>
                      <w:sz w:val="21"/>
                      <w:szCs w:val="21"/>
                      <w:u w:val="none"/>
                      <w:lang w:val="en-US" w:eastAsia="zh-CN" w:bidi="ar"/>
                    </w:rPr>
                    <w:t>采用</w:t>
                  </w:r>
                  <w:r>
                    <w:rPr>
                      <w:rFonts w:hint="default" w:ascii="Times New Roman" w:hAnsi="Times New Roman" w:eastAsia="宋体" w:cs="Times New Roman"/>
                      <w:i w:val="0"/>
                      <w:iCs w:val="0"/>
                      <w:color w:val="00B050"/>
                      <w:kern w:val="0"/>
                      <w:sz w:val="21"/>
                      <w:szCs w:val="21"/>
                      <w:u w:val="none"/>
                      <w:lang w:val="en-US" w:eastAsia="zh-CN" w:bidi="ar"/>
                    </w:rPr>
                    <w:t>“</w:t>
                  </w:r>
                  <w:r>
                    <w:rPr>
                      <w:rFonts w:hint="eastAsia" w:ascii="宋体" w:hAnsi="宋体" w:eastAsia="宋体" w:cs="宋体"/>
                      <w:i w:val="0"/>
                      <w:iCs w:val="0"/>
                      <w:color w:val="00B050"/>
                      <w:kern w:val="0"/>
                      <w:sz w:val="21"/>
                      <w:szCs w:val="21"/>
                      <w:u w:val="none"/>
                      <w:lang w:val="en-US" w:eastAsia="zh-CN" w:bidi="ar"/>
                    </w:rPr>
                    <w:t>两级活性炭</w:t>
                  </w:r>
                  <w:r>
                    <w:rPr>
                      <w:rFonts w:hint="default" w:ascii="Times New Roman" w:hAnsi="Times New Roman" w:eastAsia="宋体" w:cs="Times New Roman"/>
                      <w:i w:val="0"/>
                      <w:iCs w:val="0"/>
                      <w:color w:val="00B050"/>
                      <w:kern w:val="0"/>
                      <w:sz w:val="21"/>
                      <w:szCs w:val="21"/>
                      <w:u w:val="none"/>
                      <w:lang w:val="en-US" w:eastAsia="zh-CN" w:bidi="ar"/>
                    </w:rPr>
                    <w:t>”</w:t>
                  </w:r>
                  <w:r>
                    <w:rPr>
                      <w:rFonts w:hint="eastAsia" w:ascii="宋体" w:hAnsi="宋体" w:eastAsia="宋体" w:cs="宋体"/>
                      <w:i w:val="0"/>
                      <w:iCs w:val="0"/>
                      <w:color w:val="00B050"/>
                      <w:kern w:val="0"/>
                      <w:sz w:val="21"/>
                      <w:szCs w:val="21"/>
                      <w:u w:val="none"/>
                      <w:lang w:val="en-US" w:eastAsia="zh-CN" w:bidi="ar"/>
                    </w:rPr>
                    <w:t>处理工艺。</w:t>
                  </w:r>
                </w:p>
              </w:tc>
              <w:tc>
                <w:tcPr>
                  <w:tcW w:w="959" w:type="dxa"/>
                  <w:vMerge w:val="restart"/>
                  <w:noWrap w:val="0"/>
                  <w:vAlign w:val="center"/>
                </w:tcPr>
                <w:p w14:paraId="14AF2C87">
                  <w:pPr>
                    <w:keepNext w:val="0"/>
                    <w:keepLines w:val="0"/>
                    <w:widowControl/>
                    <w:suppressLineNumbers w:val="0"/>
                    <w:jc w:val="center"/>
                    <w:textAlignment w:val="center"/>
                    <w:rPr>
                      <w:rFonts w:hint="default" w:ascii="Times New Roman" w:hAnsi="Times New Roman" w:cs="Times New Roman"/>
                      <w:color w:val="00B050"/>
                    </w:rPr>
                  </w:pPr>
                  <w:r>
                    <w:rPr>
                      <w:rFonts w:hint="default" w:ascii="Times New Roman" w:hAnsi="Times New Roman" w:eastAsia="宋体" w:cs="Times New Roman"/>
                      <w:i w:val="0"/>
                      <w:iCs w:val="0"/>
                      <w:color w:val="00B050"/>
                      <w:kern w:val="0"/>
                      <w:sz w:val="21"/>
                      <w:szCs w:val="21"/>
                      <w:u w:val="none"/>
                      <w:lang w:val="en-US" w:eastAsia="zh-CN" w:bidi="ar"/>
                    </w:rPr>
                    <w:t>32m</w:t>
                  </w:r>
                  <w:r>
                    <w:rPr>
                      <w:rFonts w:hint="eastAsia" w:ascii="宋体" w:hAnsi="宋体" w:eastAsia="宋体" w:cs="宋体"/>
                      <w:i w:val="0"/>
                      <w:iCs w:val="0"/>
                      <w:color w:val="00B050"/>
                      <w:kern w:val="0"/>
                      <w:sz w:val="21"/>
                      <w:szCs w:val="21"/>
                      <w:u w:val="none"/>
                      <w:lang w:val="en-US" w:eastAsia="zh-CN" w:bidi="ar"/>
                    </w:rPr>
                    <w:t>高排气筒（</w:t>
                  </w:r>
                  <w:r>
                    <w:rPr>
                      <w:rFonts w:hint="default" w:ascii="Times New Roman" w:hAnsi="Times New Roman" w:eastAsia="宋体" w:cs="Times New Roman"/>
                      <w:i w:val="0"/>
                      <w:iCs w:val="0"/>
                      <w:color w:val="00B050"/>
                      <w:kern w:val="0"/>
                      <w:sz w:val="21"/>
                      <w:szCs w:val="21"/>
                      <w:u w:val="none"/>
                      <w:lang w:val="en-US" w:eastAsia="zh-CN" w:bidi="ar"/>
                    </w:rPr>
                    <w:t>DA001</w:t>
                  </w:r>
                  <w:r>
                    <w:rPr>
                      <w:rFonts w:hint="eastAsia" w:ascii="宋体" w:hAnsi="宋体" w:eastAsia="宋体" w:cs="宋体"/>
                      <w:i w:val="0"/>
                      <w:iCs w:val="0"/>
                      <w:color w:val="00B050"/>
                      <w:kern w:val="0"/>
                      <w:sz w:val="21"/>
                      <w:szCs w:val="21"/>
                      <w:u w:val="none"/>
                      <w:lang w:val="en-US" w:eastAsia="zh-CN" w:bidi="ar"/>
                    </w:rPr>
                    <w:t>）</w:t>
                  </w:r>
                </w:p>
              </w:tc>
            </w:tr>
            <w:tr w14:paraId="5F622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60" w:type="dxa"/>
                  <w:noWrap w:val="0"/>
                  <w:vAlign w:val="center"/>
                </w:tcPr>
                <w:p w14:paraId="75ADFB9A">
                  <w:pPr>
                    <w:keepNext w:val="0"/>
                    <w:keepLines w:val="0"/>
                    <w:widowControl/>
                    <w:suppressLineNumbers w:val="0"/>
                    <w:jc w:val="center"/>
                    <w:textAlignment w:val="center"/>
                    <w:rPr>
                      <w:rFonts w:hint="default" w:ascii="Times New Roman" w:hAnsi="Times New Roman" w:cs="Times New Roman"/>
                      <w:color w:val="00B050"/>
                    </w:rPr>
                  </w:pPr>
                  <w:r>
                    <w:rPr>
                      <w:rFonts w:hint="default" w:ascii="Times New Roman" w:hAnsi="Times New Roman" w:eastAsia="宋体" w:cs="Times New Roman"/>
                      <w:i w:val="0"/>
                      <w:iCs w:val="0"/>
                      <w:color w:val="00B050"/>
                      <w:kern w:val="0"/>
                      <w:sz w:val="21"/>
                      <w:szCs w:val="21"/>
                      <w:u w:val="none"/>
                      <w:lang w:val="en-US" w:eastAsia="zh-CN" w:bidi="ar"/>
                    </w:rPr>
                    <w:t>G5</w:t>
                  </w:r>
                  <w:r>
                    <w:rPr>
                      <w:rFonts w:hint="eastAsia" w:ascii="宋体" w:hAnsi="宋体" w:eastAsia="宋体" w:cs="宋体"/>
                      <w:i w:val="0"/>
                      <w:iCs w:val="0"/>
                      <w:color w:val="00B050"/>
                      <w:kern w:val="0"/>
                      <w:sz w:val="21"/>
                      <w:szCs w:val="21"/>
                      <w:u w:val="none"/>
                      <w:lang w:val="en-US" w:eastAsia="zh-CN" w:bidi="ar"/>
                    </w:rPr>
                    <w:t>移印废气</w:t>
                  </w:r>
                </w:p>
              </w:tc>
              <w:tc>
                <w:tcPr>
                  <w:tcW w:w="1860" w:type="dxa"/>
                  <w:noWrap w:val="0"/>
                  <w:vAlign w:val="center"/>
                </w:tcPr>
                <w:p w14:paraId="2B157598">
                  <w:pPr>
                    <w:keepNext w:val="0"/>
                    <w:keepLines w:val="0"/>
                    <w:widowControl/>
                    <w:suppressLineNumbers w:val="0"/>
                    <w:jc w:val="center"/>
                    <w:textAlignment w:val="center"/>
                    <w:rPr>
                      <w:rFonts w:hint="default" w:ascii="Times New Roman" w:hAnsi="Times New Roman" w:cs="Times New Roman"/>
                      <w:color w:val="00B050"/>
                    </w:rPr>
                  </w:pPr>
                  <w:r>
                    <w:rPr>
                      <w:rFonts w:hint="eastAsia" w:ascii="宋体" w:hAnsi="宋体" w:eastAsia="宋体" w:cs="宋体"/>
                      <w:i w:val="0"/>
                      <w:iCs w:val="0"/>
                      <w:color w:val="00B050"/>
                      <w:kern w:val="0"/>
                      <w:sz w:val="21"/>
                      <w:szCs w:val="21"/>
                      <w:u w:val="none"/>
                      <w:lang w:val="en-US" w:eastAsia="zh-CN" w:bidi="ar"/>
                    </w:rPr>
                    <w:t>非甲烷总烃</w:t>
                  </w:r>
                </w:p>
              </w:tc>
              <w:tc>
                <w:tcPr>
                  <w:tcW w:w="2450" w:type="dxa"/>
                  <w:noWrap w:val="0"/>
                  <w:vAlign w:val="center"/>
                </w:tcPr>
                <w:p w14:paraId="27CE0946">
                  <w:pPr>
                    <w:keepNext w:val="0"/>
                    <w:keepLines w:val="0"/>
                    <w:widowControl/>
                    <w:suppressLineNumbers w:val="0"/>
                    <w:jc w:val="center"/>
                    <w:textAlignment w:val="center"/>
                    <w:rPr>
                      <w:rFonts w:hint="default" w:ascii="Times New Roman" w:hAnsi="Times New Roman" w:cs="Times New Roman"/>
                      <w:color w:val="00B050"/>
                    </w:rPr>
                  </w:pPr>
                  <w:r>
                    <w:rPr>
                      <w:rFonts w:hint="eastAsia" w:ascii="宋体" w:hAnsi="宋体" w:eastAsia="宋体" w:cs="宋体"/>
                      <w:i w:val="0"/>
                      <w:iCs w:val="0"/>
                      <w:color w:val="00B050"/>
                      <w:kern w:val="0"/>
                      <w:sz w:val="21"/>
                      <w:szCs w:val="21"/>
                      <w:u w:val="none"/>
                      <w:lang w:val="en-US" w:eastAsia="zh-CN" w:bidi="ar"/>
                    </w:rPr>
                    <w:t>设备密闭，顶部设集气罩</w:t>
                  </w:r>
                </w:p>
              </w:tc>
              <w:tc>
                <w:tcPr>
                  <w:tcW w:w="1067" w:type="dxa"/>
                  <w:vMerge w:val="continue"/>
                  <w:noWrap w:val="0"/>
                  <w:vAlign w:val="center"/>
                </w:tcPr>
                <w:p w14:paraId="18C73A4A">
                  <w:pPr>
                    <w:jc w:val="center"/>
                    <w:rPr>
                      <w:rFonts w:hint="default" w:ascii="Times New Roman" w:hAnsi="Times New Roman" w:cs="Times New Roman"/>
                      <w:color w:val="00B050"/>
                    </w:rPr>
                  </w:pPr>
                </w:p>
              </w:tc>
              <w:tc>
                <w:tcPr>
                  <w:tcW w:w="959" w:type="dxa"/>
                  <w:vMerge w:val="continue"/>
                  <w:noWrap w:val="0"/>
                  <w:vAlign w:val="center"/>
                </w:tcPr>
                <w:p w14:paraId="756800F2">
                  <w:pPr>
                    <w:jc w:val="center"/>
                    <w:rPr>
                      <w:color w:val="00B050"/>
                    </w:rPr>
                  </w:pPr>
                </w:p>
              </w:tc>
            </w:tr>
            <w:tr w14:paraId="7DBA5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60" w:type="dxa"/>
                  <w:noWrap w:val="0"/>
                  <w:vAlign w:val="center"/>
                </w:tcPr>
                <w:p w14:paraId="3BD309C4">
                  <w:pPr>
                    <w:keepNext w:val="0"/>
                    <w:keepLines w:val="0"/>
                    <w:widowControl/>
                    <w:suppressLineNumbers w:val="0"/>
                    <w:jc w:val="center"/>
                    <w:textAlignment w:val="center"/>
                    <w:rPr>
                      <w:rFonts w:hint="default" w:ascii="Times New Roman" w:hAnsi="Times New Roman" w:cs="Times New Roman"/>
                      <w:color w:val="00B050"/>
                    </w:rPr>
                  </w:pPr>
                  <w:r>
                    <w:rPr>
                      <w:rFonts w:hint="default" w:ascii="Times New Roman" w:hAnsi="Times New Roman" w:eastAsia="宋体" w:cs="Times New Roman"/>
                      <w:i w:val="0"/>
                      <w:iCs w:val="0"/>
                      <w:color w:val="00B050"/>
                      <w:kern w:val="0"/>
                      <w:sz w:val="21"/>
                      <w:szCs w:val="21"/>
                      <w:u w:val="none"/>
                      <w:lang w:val="en-US" w:eastAsia="zh-CN" w:bidi="ar"/>
                    </w:rPr>
                    <w:t>G6</w:t>
                  </w:r>
                  <w:r>
                    <w:rPr>
                      <w:rFonts w:hint="eastAsia" w:ascii="宋体" w:hAnsi="宋体" w:eastAsia="宋体" w:cs="宋体"/>
                      <w:i w:val="0"/>
                      <w:iCs w:val="0"/>
                      <w:color w:val="00B050"/>
                      <w:kern w:val="0"/>
                      <w:sz w:val="21"/>
                      <w:szCs w:val="21"/>
                      <w:u w:val="none"/>
                      <w:lang w:val="en-US" w:eastAsia="zh-CN" w:bidi="ar"/>
                    </w:rPr>
                    <w:t>烘烤废气</w:t>
                  </w:r>
                </w:p>
              </w:tc>
              <w:tc>
                <w:tcPr>
                  <w:tcW w:w="1860" w:type="dxa"/>
                  <w:noWrap w:val="0"/>
                  <w:vAlign w:val="center"/>
                </w:tcPr>
                <w:p w14:paraId="76D9A8A3">
                  <w:pPr>
                    <w:keepNext w:val="0"/>
                    <w:keepLines w:val="0"/>
                    <w:widowControl/>
                    <w:suppressLineNumbers w:val="0"/>
                    <w:jc w:val="center"/>
                    <w:textAlignment w:val="center"/>
                    <w:rPr>
                      <w:rFonts w:hint="default" w:ascii="Times New Roman" w:hAnsi="Times New Roman" w:cs="Times New Roman"/>
                      <w:color w:val="00B050"/>
                    </w:rPr>
                  </w:pPr>
                  <w:r>
                    <w:rPr>
                      <w:rFonts w:hint="eastAsia" w:ascii="宋体" w:hAnsi="宋体" w:eastAsia="宋体" w:cs="宋体"/>
                      <w:i w:val="0"/>
                      <w:iCs w:val="0"/>
                      <w:color w:val="00B050"/>
                      <w:kern w:val="0"/>
                      <w:sz w:val="21"/>
                      <w:szCs w:val="21"/>
                      <w:u w:val="none"/>
                      <w:lang w:val="en-US" w:eastAsia="zh-CN" w:bidi="ar"/>
                    </w:rPr>
                    <w:t>非甲烷总烃</w:t>
                  </w:r>
                </w:p>
              </w:tc>
              <w:tc>
                <w:tcPr>
                  <w:tcW w:w="2450" w:type="dxa"/>
                  <w:noWrap w:val="0"/>
                  <w:vAlign w:val="center"/>
                </w:tcPr>
                <w:p w14:paraId="5739BF44">
                  <w:pPr>
                    <w:keepNext w:val="0"/>
                    <w:keepLines w:val="0"/>
                    <w:widowControl/>
                    <w:suppressLineNumbers w:val="0"/>
                    <w:jc w:val="center"/>
                    <w:textAlignment w:val="center"/>
                    <w:rPr>
                      <w:rFonts w:hint="default" w:ascii="Times New Roman" w:hAnsi="Times New Roman" w:cs="Times New Roman"/>
                      <w:color w:val="00B050"/>
                    </w:rPr>
                  </w:pPr>
                  <w:r>
                    <w:rPr>
                      <w:rFonts w:hint="eastAsia" w:ascii="宋体" w:hAnsi="宋体" w:eastAsia="宋体" w:cs="宋体"/>
                      <w:i w:val="0"/>
                      <w:iCs w:val="0"/>
                      <w:color w:val="00B050"/>
                      <w:kern w:val="0"/>
                      <w:sz w:val="21"/>
                      <w:szCs w:val="21"/>
                      <w:u w:val="none"/>
                      <w:lang w:val="en-US" w:eastAsia="zh-CN" w:bidi="ar"/>
                    </w:rPr>
                    <w:t>设备密闭，顶部设集气罩</w:t>
                  </w:r>
                </w:p>
              </w:tc>
              <w:tc>
                <w:tcPr>
                  <w:tcW w:w="1067" w:type="dxa"/>
                  <w:vMerge w:val="continue"/>
                  <w:noWrap w:val="0"/>
                  <w:vAlign w:val="center"/>
                </w:tcPr>
                <w:p w14:paraId="30701CB3">
                  <w:pPr>
                    <w:jc w:val="center"/>
                    <w:rPr>
                      <w:rFonts w:hint="default" w:ascii="Times New Roman" w:hAnsi="Times New Roman" w:cs="Times New Roman"/>
                      <w:color w:val="00B050"/>
                    </w:rPr>
                  </w:pPr>
                </w:p>
              </w:tc>
              <w:tc>
                <w:tcPr>
                  <w:tcW w:w="959" w:type="dxa"/>
                  <w:vMerge w:val="continue"/>
                  <w:noWrap w:val="0"/>
                  <w:vAlign w:val="center"/>
                </w:tcPr>
                <w:p w14:paraId="00F95FEE">
                  <w:pPr>
                    <w:jc w:val="center"/>
                    <w:rPr>
                      <w:color w:val="00B050"/>
                    </w:rPr>
                  </w:pPr>
                </w:p>
              </w:tc>
            </w:tr>
            <w:tr w14:paraId="4D0F6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60" w:type="dxa"/>
                  <w:noWrap w:val="0"/>
                  <w:vAlign w:val="center"/>
                </w:tcPr>
                <w:p w14:paraId="20816826">
                  <w:pPr>
                    <w:keepNext w:val="0"/>
                    <w:keepLines w:val="0"/>
                    <w:widowControl/>
                    <w:suppressLineNumbers w:val="0"/>
                    <w:jc w:val="center"/>
                    <w:textAlignment w:val="center"/>
                    <w:rPr>
                      <w:rFonts w:hint="default" w:ascii="Times New Roman" w:hAnsi="Times New Roman" w:cs="Times New Roman"/>
                      <w:color w:val="00B050"/>
                    </w:rPr>
                  </w:pPr>
                  <w:r>
                    <w:rPr>
                      <w:rFonts w:hint="default" w:ascii="Times New Roman" w:hAnsi="Times New Roman" w:eastAsia="宋体" w:cs="Times New Roman"/>
                      <w:i w:val="0"/>
                      <w:iCs w:val="0"/>
                      <w:color w:val="00B050"/>
                      <w:kern w:val="0"/>
                      <w:sz w:val="21"/>
                      <w:szCs w:val="21"/>
                      <w:u w:val="none"/>
                      <w:lang w:val="en-US" w:eastAsia="zh-CN" w:bidi="ar"/>
                    </w:rPr>
                    <w:t>G7</w:t>
                  </w:r>
                  <w:r>
                    <w:rPr>
                      <w:rFonts w:hint="eastAsia" w:ascii="宋体" w:hAnsi="宋体" w:eastAsia="宋体" w:cs="宋体"/>
                      <w:i w:val="0"/>
                      <w:iCs w:val="0"/>
                      <w:color w:val="00B050"/>
                      <w:kern w:val="0"/>
                      <w:sz w:val="21"/>
                      <w:szCs w:val="21"/>
                      <w:u w:val="none"/>
                      <w:lang w:val="en-US" w:eastAsia="zh-CN" w:bidi="ar"/>
                    </w:rPr>
                    <w:t>擦版废气</w:t>
                  </w:r>
                </w:p>
              </w:tc>
              <w:tc>
                <w:tcPr>
                  <w:tcW w:w="1860" w:type="dxa"/>
                  <w:noWrap w:val="0"/>
                  <w:vAlign w:val="center"/>
                </w:tcPr>
                <w:p w14:paraId="422C9C98">
                  <w:pPr>
                    <w:keepNext w:val="0"/>
                    <w:keepLines w:val="0"/>
                    <w:widowControl/>
                    <w:suppressLineNumbers w:val="0"/>
                    <w:jc w:val="center"/>
                    <w:textAlignment w:val="center"/>
                    <w:rPr>
                      <w:rFonts w:hint="default" w:ascii="Times New Roman" w:hAnsi="Times New Roman" w:cs="Times New Roman"/>
                      <w:color w:val="00B050"/>
                    </w:rPr>
                  </w:pPr>
                  <w:r>
                    <w:rPr>
                      <w:rFonts w:hint="eastAsia" w:ascii="宋体" w:hAnsi="宋体" w:eastAsia="宋体" w:cs="宋体"/>
                      <w:i w:val="0"/>
                      <w:iCs w:val="0"/>
                      <w:color w:val="00B050"/>
                      <w:kern w:val="0"/>
                      <w:sz w:val="21"/>
                      <w:szCs w:val="21"/>
                      <w:u w:val="none"/>
                      <w:lang w:val="en-US" w:eastAsia="zh-CN" w:bidi="ar"/>
                    </w:rPr>
                    <w:t>非甲烷总烃、三甲苯</w:t>
                  </w:r>
                </w:p>
              </w:tc>
              <w:tc>
                <w:tcPr>
                  <w:tcW w:w="2450" w:type="dxa"/>
                  <w:noWrap w:val="0"/>
                  <w:vAlign w:val="center"/>
                </w:tcPr>
                <w:p w14:paraId="0471D509">
                  <w:pPr>
                    <w:keepNext w:val="0"/>
                    <w:keepLines w:val="0"/>
                    <w:widowControl/>
                    <w:suppressLineNumbers w:val="0"/>
                    <w:jc w:val="center"/>
                    <w:textAlignment w:val="center"/>
                    <w:rPr>
                      <w:rFonts w:hint="default" w:ascii="Times New Roman" w:hAnsi="Times New Roman" w:cs="Times New Roman"/>
                      <w:color w:val="00B050"/>
                    </w:rPr>
                  </w:pPr>
                  <w:r>
                    <w:rPr>
                      <w:rFonts w:hint="eastAsia" w:ascii="宋体" w:hAnsi="宋体" w:eastAsia="宋体" w:cs="宋体"/>
                      <w:i w:val="0"/>
                      <w:iCs w:val="0"/>
                      <w:color w:val="00B050"/>
                      <w:kern w:val="0"/>
                      <w:sz w:val="21"/>
                      <w:szCs w:val="21"/>
                      <w:u w:val="none"/>
                      <w:lang w:val="en-US" w:eastAsia="zh-CN" w:bidi="ar"/>
                    </w:rPr>
                    <w:t>顶部设集气罩</w:t>
                  </w:r>
                </w:p>
              </w:tc>
              <w:tc>
                <w:tcPr>
                  <w:tcW w:w="1067" w:type="dxa"/>
                  <w:vMerge w:val="continue"/>
                  <w:noWrap w:val="0"/>
                  <w:vAlign w:val="center"/>
                </w:tcPr>
                <w:p w14:paraId="1A53FD04">
                  <w:pPr>
                    <w:jc w:val="center"/>
                    <w:rPr>
                      <w:rFonts w:hint="default" w:ascii="Times New Roman" w:hAnsi="Times New Roman" w:cs="Times New Roman"/>
                      <w:color w:val="00B050"/>
                    </w:rPr>
                  </w:pPr>
                </w:p>
              </w:tc>
              <w:tc>
                <w:tcPr>
                  <w:tcW w:w="959" w:type="dxa"/>
                  <w:vMerge w:val="continue"/>
                  <w:noWrap w:val="0"/>
                  <w:vAlign w:val="center"/>
                </w:tcPr>
                <w:p w14:paraId="6EA34856">
                  <w:pPr>
                    <w:jc w:val="center"/>
                    <w:rPr>
                      <w:color w:val="00B050"/>
                    </w:rPr>
                  </w:pPr>
                </w:p>
              </w:tc>
            </w:tr>
            <w:tr w14:paraId="5BD79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0" w:type="dxa"/>
                  <w:noWrap w:val="0"/>
                  <w:vAlign w:val="center"/>
                </w:tcPr>
                <w:p w14:paraId="36C02E39">
                  <w:pPr>
                    <w:keepNext w:val="0"/>
                    <w:keepLines w:val="0"/>
                    <w:widowControl/>
                    <w:suppressLineNumbers w:val="0"/>
                    <w:jc w:val="center"/>
                    <w:textAlignment w:val="center"/>
                    <w:rPr>
                      <w:rFonts w:hint="default" w:ascii="Times New Roman" w:hAnsi="Times New Roman" w:cs="Times New Roman"/>
                      <w:color w:val="00B050"/>
                    </w:rPr>
                  </w:pPr>
                  <w:r>
                    <w:rPr>
                      <w:rFonts w:hint="default" w:ascii="Times New Roman" w:hAnsi="Times New Roman" w:eastAsia="宋体" w:cs="Times New Roman"/>
                      <w:i w:val="0"/>
                      <w:iCs w:val="0"/>
                      <w:color w:val="00B050"/>
                      <w:kern w:val="0"/>
                      <w:sz w:val="21"/>
                      <w:szCs w:val="21"/>
                      <w:u w:val="none"/>
                      <w:lang w:val="en-US" w:eastAsia="zh-CN" w:bidi="ar"/>
                    </w:rPr>
                    <w:t>G8</w:t>
                  </w:r>
                  <w:r>
                    <w:rPr>
                      <w:rFonts w:hint="eastAsia" w:ascii="宋体" w:hAnsi="宋体" w:eastAsia="宋体" w:cs="宋体"/>
                      <w:i w:val="0"/>
                      <w:iCs w:val="0"/>
                      <w:color w:val="00B050"/>
                      <w:kern w:val="0"/>
                      <w:sz w:val="21"/>
                      <w:szCs w:val="21"/>
                      <w:u w:val="none"/>
                      <w:lang w:val="en-US" w:eastAsia="zh-CN" w:bidi="ar"/>
                    </w:rPr>
                    <w:t>擦油墨废气</w:t>
                  </w:r>
                </w:p>
              </w:tc>
              <w:tc>
                <w:tcPr>
                  <w:tcW w:w="1860" w:type="dxa"/>
                  <w:noWrap w:val="0"/>
                  <w:vAlign w:val="center"/>
                </w:tcPr>
                <w:p w14:paraId="535104AC">
                  <w:pPr>
                    <w:keepNext w:val="0"/>
                    <w:keepLines w:val="0"/>
                    <w:widowControl/>
                    <w:suppressLineNumbers w:val="0"/>
                    <w:jc w:val="center"/>
                    <w:textAlignment w:val="center"/>
                    <w:rPr>
                      <w:rFonts w:hint="default" w:ascii="Times New Roman" w:hAnsi="Times New Roman" w:cs="Times New Roman"/>
                      <w:color w:val="00B050"/>
                    </w:rPr>
                  </w:pPr>
                  <w:r>
                    <w:rPr>
                      <w:rFonts w:hint="eastAsia" w:ascii="宋体" w:hAnsi="宋体" w:eastAsia="宋体" w:cs="宋体"/>
                      <w:i w:val="0"/>
                      <w:iCs w:val="0"/>
                      <w:color w:val="00B050"/>
                      <w:kern w:val="0"/>
                      <w:sz w:val="21"/>
                      <w:szCs w:val="21"/>
                      <w:u w:val="none"/>
                      <w:lang w:val="en-US" w:eastAsia="zh-CN" w:bidi="ar"/>
                    </w:rPr>
                    <w:t>非甲烷总烃</w:t>
                  </w:r>
                </w:p>
              </w:tc>
              <w:tc>
                <w:tcPr>
                  <w:tcW w:w="2450" w:type="dxa"/>
                  <w:noWrap w:val="0"/>
                  <w:vAlign w:val="center"/>
                </w:tcPr>
                <w:p w14:paraId="7128086F">
                  <w:pPr>
                    <w:keepNext w:val="0"/>
                    <w:keepLines w:val="0"/>
                    <w:widowControl/>
                    <w:suppressLineNumbers w:val="0"/>
                    <w:jc w:val="center"/>
                    <w:textAlignment w:val="center"/>
                    <w:rPr>
                      <w:rFonts w:hint="default" w:ascii="Times New Roman" w:hAnsi="Times New Roman" w:cs="Times New Roman"/>
                      <w:color w:val="00B050"/>
                      <w:lang w:val="en-US"/>
                    </w:rPr>
                  </w:pPr>
                  <w:r>
                    <w:rPr>
                      <w:rFonts w:hint="eastAsia" w:ascii="宋体" w:hAnsi="宋体" w:eastAsia="宋体" w:cs="宋体"/>
                      <w:i w:val="0"/>
                      <w:iCs w:val="0"/>
                      <w:color w:val="00B050"/>
                      <w:kern w:val="0"/>
                      <w:sz w:val="21"/>
                      <w:szCs w:val="21"/>
                      <w:u w:val="none"/>
                      <w:lang w:val="en-US" w:eastAsia="zh-CN" w:bidi="ar"/>
                    </w:rPr>
                    <w:t>顶部设集气罩</w:t>
                  </w:r>
                </w:p>
              </w:tc>
              <w:tc>
                <w:tcPr>
                  <w:tcW w:w="1067" w:type="dxa"/>
                  <w:vMerge w:val="continue"/>
                  <w:noWrap w:val="0"/>
                  <w:vAlign w:val="center"/>
                </w:tcPr>
                <w:p w14:paraId="6191CA24">
                  <w:pPr>
                    <w:jc w:val="center"/>
                    <w:rPr>
                      <w:rFonts w:hint="default" w:ascii="Times New Roman" w:hAnsi="Times New Roman" w:eastAsia="宋体" w:cs="Times New Roman"/>
                      <w:i w:val="0"/>
                      <w:iCs w:val="0"/>
                      <w:color w:val="00B050"/>
                      <w:kern w:val="0"/>
                      <w:sz w:val="21"/>
                      <w:szCs w:val="21"/>
                      <w:u w:val="none"/>
                      <w:lang w:val="en-US" w:eastAsia="zh-CN" w:bidi="ar"/>
                    </w:rPr>
                  </w:pPr>
                </w:p>
              </w:tc>
              <w:tc>
                <w:tcPr>
                  <w:tcW w:w="959" w:type="dxa"/>
                  <w:vMerge w:val="continue"/>
                  <w:noWrap w:val="0"/>
                  <w:vAlign w:val="center"/>
                </w:tcPr>
                <w:p w14:paraId="4630B56E">
                  <w:pPr>
                    <w:jc w:val="center"/>
                    <w:rPr>
                      <w:color w:val="00B050"/>
                    </w:rPr>
                  </w:pPr>
                </w:p>
              </w:tc>
            </w:tr>
            <w:tr w14:paraId="65EE2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0" w:type="dxa"/>
                  <w:noWrap w:val="0"/>
                  <w:vAlign w:val="center"/>
                </w:tcPr>
                <w:p w14:paraId="0EDAEFC8">
                  <w:pPr>
                    <w:keepNext w:val="0"/>
                    <w:keepLines w:val="0"/>
                    <w:widowControl/>
                    <w:suppressLineNumbers w:val="0"/>
                    <w:jc w:val="center"/>
                    <w:textAlignment w:val="center"/>
                    <w:rPr>
                      <w:rFonts w:hint="default" w:ascii="Times New Roman" w:hAnsi="Times New Roman" w:cs="Times New Roman"/>
                      <w:color w:val="00B050"/>
                    </w:rPr>
                  </w:pPr>
                  <w:r>
                    <w:rPr>
                      <w:rFonts w:hint="default" w:ascii="Times New Roman" w:hAnsi="Times New Roman" w:eastAsia="宋体" w:cs="Times New Roman"/>
                      <w:i w:val="0"/>
                      <w:iCs w:val="0"/>
                      <w:color w:val="00B050"/>
                      <w:kern w:val="0"/>
                      <w:sz w:val="21"/>
                      <w:szCs w:val="21"/>
                      <w:u w:val="none"/>
                      <w:lang w:val="en-US" w:eastAsia="zh-CN" w:bidi="ar"/>
                    </w:rPr>
                    <w:t>G2-2</w:t>
                  </w:r>
                  <w:r>
                    <w:rPr>
                      <w:rFonts w:hint="eastAsia" w:ascii="宋体" w:hAnsi="宋体" w:eastAsia="宋体" w:cs="宋体"/>
                      <w:i w:val="0"/>
                      <w:iCs w:val="0"/>
                      <w:color w:val="00B050"/>
                      <w:kern w:val="0"/>
                      <w:sz w:val="21"/>
                      <w:szCs w:val="21"/>
                      <w:u w:val="none"/>
                      <w:lang w:val="en-US" w:eastAsia="zh-CN" w:bidi="ar"/>
                    </w:rPr>
                    <w:t>注塑废气</w:t>
                  </w:r>
                </w:p>
              </w:tc>
              <w:tc>
                <w:tcPr>
                  <w:tcW w:w="1860" w:type="dxa"/>
                  <w:noWrap w:val="0"/>
                  <w:vAlign w:val="center"/>
                </w:tcPr>
                <w:p w14:paraId="5D041A67">
                  <w:pPr>
                    <w:keepNext w:val="0"/>
                    <w:keepLines w:val="0"/>
                    <w:widowControl/>
                    <w:suppressLineNumbers w:val="0"/>
                    <w:jc w:val="center"/>
                    <w:textAlignment w:val="center"/>
                    <w:rPr>
                      <w:rFonts w:hint="default" w:ascii="Times New Roman" w:hAnsi="Times New Roman" w:cs="Times New Roman"/>
                      <w:color w:val="00B050"/>
                    </w:rPr>
                  </w:pPr>
                  <w:r>
                    <w:rPr>
                      <w:rFonts w:hint="eastAsia" w:ascii="宋体" w:hAnsi="宋体" w:eastAsia="宋体" w:cs="宋体"/>
                      <w:i w:val="0"/>
                      <w:iCs w:val="0"/>
                      <w:color w:val="00B050"/>
                      <w:kern w:val="0"/>
                      <w:sz w:val="21"/>
                      <w:szCs w:val="21"/>
                      <w:u w:val="none"/>
                      <w:lang w:val="en-US" w:eastAsia="zh-CN" w:bidi="ar"/>
                    </w:rPr>
                    <w:t>非甲烷总烃、颗粒物、乙醛、酚类、氯苯类、二氯甲烷</w:t>
                  </w:r>
                </w:p>
              </w:tc>
              <w:tc>
                <w:tcPr>
                  <w:tcW w:w="2450" w:type="dxa"/>
                  <w:noWrap w:val="0"/>
                  <w:vAlign w:val="center"/>
                </w:tcPr>
                <w:p w14:paraId="4F894C18">
                  <w:pPr>
                    <w:keepNext w:val="0"/>
                    <w:keepLines w:val="0"/>
                    <w:widowControl/>
                    <w:suppressLineNumbers w:val="0"/>
                    <w:jc w:val="center"/>
                    <w:textAlignment w:val="center"/>
                    <w:rPr>
                      <w:rFonts w:hint="default" w:ascii="Times New Roman" w:hAnsi="Times New Roman" w:cs="Times New Roman"/>
                      <w:color w:val="00B050"/>
                    </w:rPr>
                  </w:pPr>
                  <w:r>
                    <w:rPr>
                      <w:rFonts w:hint="eastAsia" w:ascii="宋体" w:hAnsi="宋体" w:eastAsia="宋体" w:cs="宋体"/>
                      <w:i w:val="0"/>
                      <w:iCs w:val="0"/>
                      <w:color w:val="00B050"/>
                      <w:kern w:val="0"/>
                      <w:sz w:val="21"/>
                      <w:szCs w:val="21"/>
                      <w:u w:val="none"/>
                      <w:lang w:val="en-US" w:eastAsia="zh-CN" w:bidi="ar"/>
                    </w:rPr>
                    <w:t>分别在每台注塑机设置集气罩，集气罩位于注塑机开模口上方。</w:t>
                  </w:r>
                </w:p>
              </w:tc>
              <w:tc>
                <w:tcPr>
                  <w:tcW w:w="1067" w:type="dxa"/>
                  <w:noWrap w:val="0"/>
                  <w:vAlign w:val="center"/>
                </w:tcPr>
                <w:p w14:paraId="14897573">
                  <w:pPr>
                    <w:keepNext w:val="0"/>
                    <w:keepLines w:val="0"/>
                    <w:widowControl/>
                    <w:suppressLineNumbers w:val="0"/>
                    <w:jc w:val="center"/>
                    <w:textAlignment w:val="center"/>
                    <w:rPr>
                      <w:rFonts w:hint="default" w:ascii="Times New Roman" w:hAnsi="Times New Roman" w:cs="Times New Roman"/>
                      <w:color w:val="00B050"/>
                    </w:rPr>
                  </w:pPr>
                  <w:r>
                    <w:rPr>
                      <w:rFonts w:hint="eastAsia" w:ascii="宋体" w:hAnsi="宋体" w:eastAsia="宋体" w:cs="宋体"/>
                      <w:i w:val="0"/>
                      <w:iCs w:val="0"/>
                      <w:color w:val="00B050"/>
                      <w:kern w:val="0"/>
                      <w:sz w:val="21"/>
                      <w:szCs w:val="21"/>
                      <w:u w:val="none"/>
                      <w:lang w:val="en-US" w:eastAsia="zh-CN" w:bidi="ar"/>
                    </w:rPr>
                    <w:t>采用</w:t>
                  </w:r>
                  <w:r>
                    <w:rPr>
                      <w:rFonts w:hint="default" w:ascii="Times New Roman" w:hAnsi="Times New Roman" w:eastAsia="宋体" w:cs="Times New Roman"/>
                      <w:i w:val="0"/>
                      <w:iCs w:val="0"/>
                      <w:color w:val="00B050"/>
                      <w:kern w:val="0"/>
                      <w:sz w:val="21"/>
                      <w:szCs w:val="21"/>
                      <w:u w:val="none"/>
                      <w:lang w:val="en-US" w:eastAsia="zh-CN" w:bidi="ar"/>
                    </w:rPr>
                    <w:t>“</w:t>
                  </w:r>
                  <w:r>
                    <w:rPr>
                      <w:rFonts w:hint="eastAsia" w:ascii="宋体" w:hAnsi="宋体" w:eastAsia="宋体" w:cs="宋体"/>
                      <w:i w:val="0"/>
                      <w:iCs w:val="0"/>
                      <w:color w:val="00B050"/>
                      <w:kern w:val="0"/>
                      <w:sz w:val="21"/>
                      <w:szCs w:val="21"/>
                      <w:u w:val="none"/>
                      <w:lang w:val="en-US" w:eastAsia="zh-CN" w:bidi="ar"/>
                    </w:rPr>
                    <w:t>两级活性炭</w:t>
                  </w:r>
                  <w:r>
                    <w:rPr>
                      <w:rFonts w:hint="default" w:ascii="Times New Roman" w:hAnsi="Times New Roman" w:eastAsia="宋体" w:cs="Times New Roman"/>
                      <w:i w:val="0"/>
                      <w:iCs w:val="0"/>
                      <w:color w:val="00B050"/>
                      <w:kern w:val="0"/>
                      <w:sz w:val="21"/>
                      <w:szCs w:val="21"/>
                      <w:u w:val="none"/>
                      <w:lang w:val="en-US" w:eastAsia="zh-CN" w:bidi="ar"/>
                    </w:rPr>
                    <w:t>”</w:t>
                  </w:r>
                  <w:r>
                    <w:rPr>
                      <w:rFonts w:hint="eastAsia" w:ascii="宋体" w:hAnsi="宋体" w:eastAsia="宋体" w:cs="宋体"/>
                      <w:i w:val="0"/>
                      <w:iCs w:val="0"/>
                      <w:color w:val="00B050"/>
                      <w:kern w:val="0"/>
                      <w:sz w:val="21"/>
                      <w:szCs w:val="21"/>
                      <w:u w:val="none"/>
                      <w:lang w:val="en-US" w:eastAsia="zh-CN" w:bidi="ar"/>
                    </w:rPr>
                    <w:t>处理工艺。</w:t>
                  </w:r>
                </w:p>
              </w:tc>
              <w:tc>
                <w:tcPr>
                  <w:tcW w:w="959" w:type="dxa"/>
                  <w:noWrap w:val="0"/>
                  <w:vAlign w:val="center"/>
                </w:tcPr>
                <w:p w14:paraId="1675FDBA">
                  <w:pPr>
                    <w:keepNext w:val="0"/>
                    <w:keepLines w:val="0"/>
                    <w:widowControl/>
                    <w:suppressLineNumbers w:val="0"/>
                    <w:jc w:val="center"/>
                    <w:textAlignment w:val="center"/>
                    <w:rPr>
                      <w:rFonts w:hint="default" w:ascii="Times New Roman" w:hAnsi="Times New Roman" w:cs="Times New Roman"/>
                      <w:color w:val="00B050"/>
                    </w:rPr>
                  </w:pPr>
                  <w:r>
                    <w:rPr>
                      <w:rFonts w:hint="default" w:ascii="Times New Roman" w:hAnsi="Times New Roman" w:eastAsia="宋体" w:cs="Times New Roman"/>
                      <w:i w:val="0"/>
                      <w:iCs w:val="0"/>
                      <w:color w:val="00B050"/>
                      <w:kern w:val="0"/>
                      <w:sz w:val="21"/>
                      <w:szCs w:val="21"/>
                      <w:u w:val="none"/>
                      <w:lang w:val="en-US" w:eastAsia="zh-CN" w:bidi="ar"/>
                    </w:rPr>
                    <w:t>32m</w:t>
                  </w:r>
                  <w:r>
                    <w:rPr>
                      <w:rFonts w:hint="eastAsia" w:ascii="宋体" w:hAnsi="宋体" w:eastAsia="宋体" w:cs="宋体"/>
                      <w:i w:val="0"/>
                      <w:iCs w:val="0"/>
                      <w:color w:val="00B050"/>
                      <w:kern w:val="0"/>
                      <w:sz w:val="21"/>
                      <w:szCs w:val="21"/>
                      <w:u w:val="none"/>
                      <w:lang w:val="en-US" w:eastAsia="zh-CN" w:bidi="ar"/>
                    </w:rPr>
                    <w:t>高排气筒（</w:t>
                  </w:r>
                  <w:r>
                    <w:rPr>
                      <w:rFonts w:hint="default" w:ascii="Times New Roman" w:hAnsi="Times New Roman" w:eastAsia="宋体" w:cs="Times New Roman"/>
                      <w:i w:val="0"/>
                      <w:iCs w:val="0"/>
                      <w:color w:val="00B050"/>
                      <w:kern w:val="0"/>
                      <w:sz w:val="21"/>
                      <w:szCs w:val="21"/>
                      <w:u w:val="none"/>
                      <w:lang w:val="en-US" w:eastAsia="zh-CN" w:bidi="ar"/>
                    </w:rPr>
                    <w:t>DA002</w:t>
                  </w:r>
                  <w:r>
                    <w:rPr>
                      <w:rFonts w:hint="eastAsia" w:ascii="宋体" w:hAnsi="宋体" w:eastAsia="宋体" w:cs="宋体"/>
                      <w:i w:val="0"/>
                      <w:iCs w:val="0"/>
                      <w:color w:val="00B050"/>
                      <w:kern w:val="0"/>
                      <w:sz w:val="21"/>
                      <w:szCs w:val="21"/>
                      <w:u w:val="none"/>
                      <w:lang w:val="en-US" w:eastAsia="zh-CN" w:bidi="ar"/>
                    </w:rPr>
                    <w:t>）</w:t>
                  </w:r>
                </w:p>
              </w:tc>
            </w:tr>
            <w:tr w14:paraId="475E8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60" w:type="dxa"/>
                  <w:noWrap w:val="0"/>
                  <w:vAlign w:val="center"/>
                </w:tcPr>
                <w:p w14:paraId="28F15E5A">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G3</w:t>
                  </w:r>
                  <w:r>
                    <w:rPr>
                      <w:rFonts w:hint="eastAsia" w:ascii="宋体" w:hAnsi="宋体" w:eastAsia="宋体" w:cs="宋体"/>
                      <w:i w:val="0"/>
                      <w:iCs w:val="0"/>
                      <w:color w:val="00B050"/>
                      <w:kern w:val="0"/>
                      <w:sz w:val="21"/>
                      <w:szCs w:val="21"/>
                      <w:u w:val="none"/>
                      <w:lang w:val="en-US" w:eastAsia="zh-CN" w:bidi="ar"/>
                    </w:rPr>
                    <w:t>机边破碎粉尘</w:t>
                  </w:r>
                </w:p>
              </w:tc>
              <w:tc>
                <w:tcPr>
                  <w:tcW w:w="1860" w:type="dxa"/>
                  <w:noWrap w:val="0"/>
                  <w:vAlign w:val="center"/>
                </w:tcPr>
                <w:p w14:paraId="5B943485">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eastAsia" w:ascii="宋体" w:hAnsi="宋体" w:eastAsia="宋体" w:cs="宋体"/>
                      <w:i w:val="0"/>
                      <w:iCs w:val="0"/>
                      <w:color w:val="00B050"/>
                      <w:kern w:val="0"/>
                      <w:sz w:val="21"/>
                      <w:szCs w:val="21"/>
                      <w:u w:val="none"/>
                      <w:lang w:val="en-US" w:eastAsia="zh-CN" w:bidi="ar"/>
                    </w:rPr>
                    <w:t>颗粒物</w:t>
                  </w:r>
                </w:p>
              </w:tc>
              <w:tc>
                <w:tcPr>
                  <w:tcW w:w="2450" w:type="dxa"/>
                  <w:noWrap w:val="0"/>
                  <w:vAlign w:val="center"/>
                </w:tcPr>
                <w:p w14:paraId="06114077">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eastAsia" w:ascii="宋体" w:hAnsi="宋体" w:eastAsia="宋体" w:cs="宋体"/>
                      <w:i w:val="0"/>
                      <w:iCs w:val="0"/>
                      <w:color w:val="00B050"/>
                      <w:kern w:val="0"/>
                      <w:sz w:val="21"/>
                      <w:szCs w:val="21"/>
                      <w:u w:val="none"/>
                      <w:lang w:val="en-US" w:eastAsia="zh-CN" w:bidi="ar"/>
                    </w:rPr>
                    <w:t>破碎过程中颗粒物产生量极少，车间无组织排放</w:t>
                  </w:r>
                </w:p>
              </w:tc>
              <w:tc>
                <w:tcPr>
                  <w:tcW w:w="2026" w:type="dxa"/>
                  <w:gridSpan w:val="2"/>
                  <w:noWrap w:val="0"/>
                  <w:vAlign w:val="center"/>
                </w:tcPr>
                <w:p w14:paraId="7CBB51F2">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eastAsia" w:ascii="宋体" w:hAnsi="宋体" w:eastAsia="宋体" w:cs="宋体"/>
                      <w:i w:val="0"/>
                      <w:iCs w:val="0"/>
                      <w:color w:val="00B050"/>
                      <w:kern w:val="0"/>
                      <w:sz w:val="21"/>
                      <w:szCs w:val="21"/>
                      <w:u w:val="none"/>
                      <w:lang w:val="en-US" w:eastAsia="zh-CN" w:bidi="ar"/>
                    </w:rPr>
                    <w:t>车间内无组织排放。</w:t>
                  </w:r>
                </w:p>
              </w:tc>
            </w:tr>
            <w:tr w14:paraId="46628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60" w:type="dxa"/>
                  <w:noWrap w:val="0"/>
                  <w:vAlign w:val="center"/>
                </w:tcPr>
                <w:p w14:paraId="1C7BF650">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G4</w:t>
                  </w:r>
                  <w:r>
                    <w:rPr>
                      <w:rFonts w:hint="eastAsia" w:ascii="宋体" w:hAnsi="宋体" w:eastAsia="宋体" w:cs="宋体"/>
                      <w:i w:val="0"/>
                      <w:iCs w:val="0"/>
                      <w:color w:val="00B050"/>
                      <w:kern w:val="0"/>
                      <w:sz w:val="21"/>
                      <w:szCs w:val="21"/>
                      <w:u w:val="none"/>
                      <w:lang w:val="en-US" w:eastAsia="zh-CN" w:bidi="ar"/>
                    </w:rPr>
                    <w:t>集中破碎粉尘</w:t>
                  </w:r>
                </w:p>
              </w:tc>
              <w:tc>
                <w:tcPr>
                  <w:tcW w:w="1860" w:type="dxa"/>
                  <w:noWrap w:val="0"/>
                  <w:vAlign w:val="center"/>
                </w:tcPr>
                <w:p w14:paraId="1DFF6A6A">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eastAsia" w:ascii="宋体" w:hAnsi="宋体" w:eastAsia="宋体" w:cs="宋体"/>
                      <w:i w:val="0"/>
                      <w:iCs w:val="0"/>
                      <w:color w:val="00B050"/>
                      <w:kern w:val="0"/>
                      <w:sz w:val="21"/>
                      <w:szCs w:val="21"/>
                      <w:u w:val="none"/>
                      <w:lang w:val="en-US" w:eastAsia="zh-CN" w:bidi="ar"/>
                    </w:rPr>
                    <w:t>颗粒物</w:t>
                  </w:r>
                </w:p>
              </w:tc>
              <w:tc>
                <w:tcPr>
                  <w:tcW w:w="2450" w:type="dxa"/>
                  <w:noWrap w:val="0"/>
                  <w:vAlign w:val="center"/>
                </w:tcPr>
                <w:p w14:paraId="1C57E74D">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eastAsia" w:ascii="宋体" w:hAnsi="宋体" w:eastAsia="宋体" w:cs="宋体"/>
                      <w:i w:val="0"/>
                      <w:iCs w:val="0"/>
                      <w:color w:val="00B050"/>
                      <w:kern w:val="0"/>
                      <w:sz w:val="21"/>
                      <w:szCs w:val="21"/>
                      <w:u w:val="none"/>
                      <w:lang w:val="en-US" w:eastAsia="zh-CN" w:bidi="ar"/>
                    </w:rPr>
                    <w:t>破碎过程中颗粒物产生量极少，车间无组织排放</w:t>
                  </w:r>
                </w:p>
              </w:tc>
              <w:tc>
                <w:tcPr>
                  <w:tcW w:w="2026" w:type="dxa"/>
                  <w:gridSpan w:val="2"/>
                  <w:noWrap w:val="0"/>
                  <w:vAlign w:val="center"/>
                </w:tcPr>
                <w:p w14:paraId="1BE08111">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eastAsia" w:ascii="宋体" w:hAnsi="宋体" w:eastAsia="宋体" w:cs="宋体"/>
                      <w:i w:val="0"/>
                      <w:iCs w:val="0"/>
                      <w:color w:val="00B050"/>
                      <w:kern w:val="0"/>
                      <w:sz w:val="21"/>
                      <w:szCs w:val="21"/>
                      <w:u w:val="none"/>
                      <w:lang w:val="en-US" w:eastAsia="zh-CN" w:bidi="ar"/>
                    </w:rPr>
                    <w:t>车间内无组织排放。</w:t>
                  </w:r>
                </w:p>
              </w:tc>
            </w:tr>
            <w:tr w14:paraId="50077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60" w:type="dxa"/>
                  <w:noWrap w:val="0"/>
                  <w:vAlign w:val="center"/>
                </w:tcPr>
                <w:p w14:paraId="0AEFC4E1">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G9</w:t>
                  </w:r>
                  <w:r>
                    <w:rPr>
                      <w:rFonts w:hint="eastAsia" w:ascii="宋体" w:hAnsi="宋体" w:eastAsia="宋体" w:cs="宋体"/>
                      <w:i w:val="0"/>
                      <w:iCs w:val="0"/>
                      <w:color w:val="00B050"/>
                      <w:kern w:val="0"/>
                      <w:sz w:val="21"/>
                      <w:szCs w:val="21"/>
                      <w:u w:val="none"/>
                      <w:lang w:val="en-US" w:eastAsia="zh-CN" w:bidi="ar"/>
                    </w:rPr>
                    <w:t>模具保养废气</w:t>
                  </w:r>
                </w:p>
              </w:tc>
              <w:tc>
                <w:tcPr>
                  <w:tcW w:w="1860" w:type="dxa"/>
                  <w:noWrap w:val="0"/>
                  <w:vAlign w:val="center"/>
                </w:tcPr>
                <w:p w14:paraId="08B04E4F">
                  <w:pPr>
                    <w:keepNext w:val="0"/>
                    <w:keepLines w:val="0"/>
                    <w:widowControl/>
                    <w:suppressLineNumbers w:val="0"/>
                    <w:jc w:val="center"/>
                    <w:textAlignment w:val="center"/>
                    <w:rPr>
                      <w:rFonts w:hint="eastAsia" w:ascii="宋体" w:hAnsi="宋体" w:eastAsia="宋体" w:cs="宋体"/>
                      <w:i w:val="0"/>
                      <w:iCs w:val="0"/>
                      <w:color w:val="00B050"/>
                      <w:kern w:val="0"/>
                      <w:sz w:val="21"/>
                      <w:szCs w:val="21"/>
                      <w:u w:val="none"/>
                      <w:lang w:val="en-US" w:eastAsia="zh-CN" w:bidi="ar"/>
                    </w:rPr>
                  </w:pPr>
                  <w:r>
                    <w:rPr>
                      <w:rFonts w:hint="eastAsia" w:ascii="宋体" w:hAnsi="宋体" w:eastAsia="宋体" w:cs="宋体"/>
                      <w:i w:val="0"/>
                      <w:iCs w:val="0"/>
                      <w:color w:val="00B050"/>
                      <w:kern w:val="0"/>
                      <w:sz w:val="21"/>
                      <w:szCs w:val="21"/>
                      <w:u w:val="none"/>
                      <w:lang w:val="en-US" w:eastAsia="zh-CN" w:bidi="ar"/>
                    </w:rPr>
                    <w:t>非甲烷总烃</w:t>
                  </w:r>
                </w:p>
              </w:tc>
              <w:tc>
                <w:tcPr>
                  <w:tcW w:w="2450" w:type="dxa"/>
                  <w:noWrap w:val="0"/>
                  <w:vAlign w:val="center"/>
                </w:tcPr>
                <w:p w14:paraId="005DA3B9">
                  <w:pPr>
                    <w:keepNext w:val="0"/>
                    <w:keepLines w:val="0"/>
                    <w:widowControl/>
                    <w:suppressLineNumbers w:val="0"/>
                    <w:jc w:val="center"/>
                    <w:textAlignment w:val="center"/>
                    <w:rPr>
                      <w:rFonts w:hint="eastAsia" w:ascii="宋体" w:hAnsi="宋体" w:eastAsia="宋体" w:cs="宋体"/>
                      <w:i w:val="0"/>
                      <w:iCs w:val="0"/>
                      <w:color w:val="00B050"/>
                      <w:kern w:val="0"/>
                      <w:sz w:val="21"/>
                      <w:szCs w:val="21"/>
                      <w:u w:val="none"/>
                      <w:lang w:val="en-US" w:eastAsia="zh-CN" w:bidi="ar"/>
                    </w:rPr>
                  </w:pPr>
                  <w:r>
                    <w:rPr>
                      <w:rFonts w:hint="eastAsia" w:ascii="宋体" w:hAnsi="宋体" w:eastAsia="宋体" w:cs="宋体"/>
                      <w:i w:val="0"/>
                      <w:iCs w:val="0"/>
                      <w:color w:val="00B050"/>
                      <w:kern w:val="0"/>
                      <w:sz w:val="21"/>
                      <w:szCs w:val="21"/>
                      <w:u w:val="none"/>
                      <w:lang w:val="en-US" w:eastAsia="zh-CN" w:bidi="ar"/>
                    </w:rPr>
                    <w:t>车间无组织排放</w:t>
                  </w:r>
                </w:p>
              </w:tc>
              <w:tc>
                <w:tcPr>
                  <w:tcW w:w="2026" w:type="dxa"/>
                  <w:gridSpan w:val="2"/>
                  <w:noWrap w:val="0"/>
                  <w:vAlign w:val="center"/>
                </w:tcPr>
                <w:p w14:paraId="7C6C078E">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eastAsia" w:ascii="宋体" w:hAnsi="宋体" w:eastAsia="宋体" w:cs="宋体"/>
                      <w:i w:val="0"/>
                      <w:iCs w:val="0"/>
                      <w:color w:val="00B050"/>
                      <w:kern w:val="0"/>
                      <w:sz w:val="21"/>
                      <w:szCs w:val="21"/>
                      <w:u w:val="none"/>
                      <w:lang w:val="en-US" w:eastAsia="zh-CN" w:bidi="ar"/>
                    </w:rPr>
                    <w:t>车间内无组织排放。</w:t>
                  </w:r>
                </w:p>
              </w:tc>
            </w:tr>
            <w:tr w14:paraId="625E0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60" w:type="dxa"/>
                  <w:noWrap w:val="0"/>
                  <w:vAlign w:val="center"/>
                </w:tcPr>
                <w:p w14:paraId="342902FE">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G10</w:t>
                  </w:r>
                  <w:r>
                    <w:rPr>
                      <w:rFonts w:hint="eastAsia" w:ascii="宋体" w:hAnsi="宋体" w:eastAsia="宋体" w:cs="宋体"/>
                      <w:i w:val="0"/>
                      <w:iCs w:val="0"/>
                      <w:color w:val="00B050"/>
                      <w:kern w:val="0"/>
                      <w:sz w:val="21"/>
                      <w:szCs w:val="21"/>
                      <w:u w:val="none"/>
                      <w:lang w:val="en-US" w:eastAsia="zh-CN" w:bidi="ar"/>
                    </w:rPr>
                    <w:t>模具加工烟尘</w:t>
                  </w:r>
                </w:p>
              </w:tc>
              <w:tc>
                <w:tcPr>
                  <w:tcW w:w="1860" w:type="dxa"/>
                  <w:noWrap w:val="0"/>
                  <w:vAlign w:val="center"/>
                </w:tcPr>
                <w:p w14:paraId="2AFF71C1">
                  <w:pPr>
                    <w:keepNext w:val="0"/>
                    <w:keepLines w:val="0"/>
                    <w:widowControl/>
                    <w:suppressLineNumbers w:val="0"/>
                    <w:jc w:val="center"/>
                    <w:textAlignment w:val="center"/>
                    <w:rPr>
                      <w:rFonts w:hint="eastAsia" w:ascii="宋体" w:hAnsi="宋体" w:eastAsia="宋体" w:cs="宋体"/>
                      <w:i w:val="0"/>
                      <w:iCs w:val="0"/>
                      <w:color w:val="00B050"/>
                      <w:kern w:val="0"/>
                      <w:sz w:val="21"/>
                      <w:szCs w:val="21"/>
                      <w:u w:val="none"/>
                      <w:lang w:val="en-US" w:eastAsia="zh-CN" w:bidi="ar"/>
                    </w:rPr>
                  </w:pPr>
                  <w:r>
                    <w:rPr>
                      <w:rFonts w:hint="eastAsia" w:ascii="宋体" w:hAnsi="宋体" w:eastAsia="宋体" w:cs="宋体"/>
                      <w:i w:val="0"/>
                      <w:iCs w:val="0"/>
                      <w:color w:val="00B050"/>
                      <w:kern w:val="0"/>
                      <w:sz w:val="22"/>
                      <w:szCs w:val="22"/>
                      <w:u w:val="none"/>
                      <w:lang w:val="en-US" w:eastAsia="zh-CN" w:bidi="ar"/>
                    </w:rPr>
                    <w:t>烟尘</w:t>
                  </w:r>
                </w:p>
              </w:tc>
              <w:tc>
                <w:tcPr>
                  <w:tcW w:w="2450" w:type="dxa"/>
                  <w:noWrap w:val="0"/>
                  <w:vAlign w:val="center"/>
                </w:tcPr>
                <w:p w14:paraId="7F3500CF">
                  <w:pPr>
                    <w:keepNext w:val="0"/>
                    <w:keepLines w:val="0"/>
                    <w:widowControl/>
                    <w:suppressLineNumbers w:val="0"/>
                    <w:jc w:val="center"/>
                    <w:textAlignment w:val="center"/>
                    <w:rPr>
                      <w:rFonts w:hint="eastAsia" w:ascii="宋体" w:hAnsi="宋体" w:eastAsia="宋体" w:cs="宋体"/>
                      <w:i w:val="0"/>
                      <w:iCs w:val="0"/>
                      <w:color w:val="00B050"/>
                      <w:kern w:val="0"/>
                      <w:sz w:val="21"/>
                      <w:szCs w:val="21"/>
                      <w:u w:val="none"/>
                      <w:lang w:val="en-US" w:eastAsia="zh-CN" w:bidi="ar"/>
                    </w:rPr>
                  </w:pPr>
                  <w:r>
                    <w:rPr>
                      <w:rFonts w:hint="eastAsia" w:ascii="宋体" w:hAnsi="宋体" w:eastAsia="宋体" w:cs="宋体"/>
                      <w:i w:val="0"/>
                      <w:iCs w:val="0"/>
                      <w:color w:val="00B050"/>
                      <w:kern w:val="0"/>
                      <w:sz w:val="21"/>
                      <w:szCs w:val="21"/>
                      <w:u w:val="none"/>
                      <w:lang w:val="en-US" w:eastAsia="zh-CN" w:bidi="ar"/>
                    </w:rPr>
                    <w:t>车间无组织排放</w:t>
                  </w:r>
                </w:p>
              </w:tc>
              <w:tc>
                <w:tcPr>
                  <w:tcW w:w="2026" w:type="dxa"/>
                  <w:gridSpan w:val="2"/>
                  <w:noWrap w:val="0"/>
                  <w:vAlign w:val="center"/>
                </w:tcPr>
                <w:p w14:paraId="222EF8C9">
                  <w:pPr>
                    <w:keepNext w:val="0"/>
                    <w:keepLines w:val="0"/>
                    <w:widowControl/>
                    <w:suppressLineNumbers w:val="0"/>
                    <w:jc w:val="center"/>
                    <w:textAlignment w:val="center"/>
                    <w:rPr>
                      <w:rFonts w:hint="eastAsia" w:ascii="宋体" w:hAnsi="宋体" w:eastAsia="宋体" w:cs="宋体"/>
                      <w:i w:val="0"/>
                      <w:iCs w:val="0"/>
                      <w:color w:val="00B050"/>
                      <w:kern w:val="0"/>
                      <w:sz w:val="21"/>
                      <w:szCs w:val="21"/>
                      <w:u w:val="none"/>
                      <w:lang w:val="en-US" w:eastAsia="zh-CN" w:bidi="ar"/>
                    </w:rPr>
                  </w:pPr>
                  <w:r>
                    <w:rPr>
                      <w:rFonts w:hint="eastAsia" w:ascii="宋体" w:hAnsi="宋体" w:eastAsia="宋体" w:cs="宋体"/>
                      <w:i w:val="0"/>
                      <w:iCs w:val="0"/>
                      <w:color w:val="00B050"/>
                      <w:kern w:val="0"/>
                      <w:sz w:val="21"/>
                      <w:szCs w:val="21"/>
                      <w:u w:val="none"/>
                      <w:lang w:val="en-US" w:eastAsia="zh-CN" w:bidi="ar"/>
                    </w:rPr>
                    <w:t>车间内无组织排放。</w:t>
                  </w:r>
                </w:p>
              </w:tc>
            </w:tr>
          </w:tbl>
          <w:p w14:paraId="3B9E9908">
            <w:pPr>
              <w:keepNext w:val="0"/>
              <w:keepLines w:val="0"/>
              <w:pageBreakBefore w:val="0"/>
              <w:widowControl w:val="0"/>
              <w:kinsoku/>
              <w:wordWrap/>
              <w:overflowPunct/>
              <w:topLinePunct w:val="0"/>
              <w:bidi w:val="0"/>
              <w:spacing w:line="360" w:lineRule="auto"/>
              <w:ind w:firstLine="482" w:firstLineChars="200"/>
              <w:jc w:val="left"/>
              <w:rPr>
                <w:rFonts w:hint="default" w:ascii="Times New Roman" w:hAnsi="Times New Roman" w:cs="Times New Roman"/>
                <w:b/>
                <w:color w:val="00B050"/>
                <w:sz w:val="24"/>
              </w:rPr>
            </w:pPr>
            <w:r>
              <w:rPr>
                <w:rFonts w:hint="default" w:ascii="Times New Roman" w:hAnsi="Times New Roman" w:cs="Times New Roman"/>
                <w:b/>
                <w:color w:val="00B050"/>
                <w:sz w:val="24"/>
              </w:rPr>
              <w:t>（1）</w:t>
            </w:r>
            <w:r>
              <w:rPr>
                <w:rFonts w:hint="eastAsia" w:cs="Times New Roman"/>
                <w:b/>
                <w:color w:val="00B050"/>
                <w:sz w:val="24"/>
                <w:lang w:val="en-US" w:eastAsia="zh-CN"/>
              </w:rPr>
              <w:t>加料废气</w:t>
            </w:r>
            <w:r>
              <w:rPr>
                <w:rFonts w:hint="default" w:ascii="Times New Roman" w:hAnsi="Times New Roman" w:cs="Times New Roman"/>
                <w:b/>
                <w:color w:val="00B050"/>
                <w:sz w:val="24"/>
              </w:rPr>
              <w:t>G1</w:t>
            </w:r>
          </w:p>
          <w:p w14:paraId="61DD581E">
            <w:pPr>
              <w:keepNext w:val="0"/>
              <w:keepLines w:val="0"/>
              <w:pageBreakBefore w:val="0"/>
              <w:widowControl w:val="0"/>
              <w:kinsoku/>
              <w:wordWrap/>
              <w:overflowPunct/>
              <w:topLinePunct w:val="0"/>
              <w:bidi w:val="0"/>
              <w:spacing w:line="360" w:lineRule="auto"/>
              <w:ind w:firstLine="480" w:firstLineChars="200"/>
              <w:rPr>
                <w:rFonts w:hint="default" w:ascii="Times New Roman" w:hAnsi="Times New Roman" w:eastAsia="宋体" w:cs="Times New Roman"/>
                <w:bCs/>
                <w:color w:val="00B050"/>
                <w:sz w:val="24"/>
                <w:lang w:val="en-US" w:eastAsia="zh-CN"/>
              </w:rPr>
            </w:pPr>
            <w:r>
              <w:rPr>
                <w:rFonts w:hint="default" w:ascii="Times New Roman" w:hAnsi="Times New Roman" w:cs="Times New Roman"/>
                <w:bCs/>
                <w:color w:val="00B050"/>
                <w:sz w:val="24"/>
              </w:rPr>
              <w:t>项目</w:t>
            </w:r>
            <w:r>
              <w:rPr>
                <w:rFonts w:hint="eastAsia" w:cs="Times New Roman"/>
                <w:bCs/>
                <w:color w:val="00B050"/>
                <w:sz w:val="24"/>
                <w:lang w:val="en-US" w:eastAsia="zh-CN"/>
              </w:rPr>
              <w:t>加料过程中，原料加入料筒会产生少量颗粒物，对环境影响较小，在车间无组织排放，采取开窗通风的措施后对环境影响较小。</w:t>
            </w:r>
          </w:p>
          <w:p w14:paraId="26483B31">
            <w:pPr>
              <w:keepNext w:val="0"/>
              <w:keepLines w:val="0"/>
              <w:pageBreakBefore w:val="0"/>
              <w:widowControl w:val="0"/>
              <w:numPr>
                <w:ilvl w:val="0"/>
                <w:numId w:val="0"/>
              </w:numPr>
              <w:kinsoku/>
              <w:wordWrap/>
              <w:overflowPunct/>
              <w:topLinePunct w:val="0"/>
              <w:bidi w:val="0"/>
              <w:spacing w:line="360" w:lineRule="auto"/>
              <w:ind w:left="0" w:leftChars="0" w:firstLine="482" w:firstLineChars="200"/>
              <w:jc w:val="left"/>
              <w:rPr>
                <w:rFonts w:hint="default" w:ascii="Times New Roman" w:hAnsi="Times New Roman" w:eastAsia="宋体" w:cs="Times New Roman"/>
                <w:b/>
                <w:color w:val="00B050"/>
                <w:sz w:val="24"/>
                <w:lang w:val="en-US" w:eastAsia="zh-CN"/>
              </w:rPr>
            </w:pPr>
            <w:r>
              <w:rPr>
                <w:rFonts w:hint="default" w:ascii="Times New Roman" w:hAnsi="Times New Roman" w:cs="Times New Roman"/>
                <w:b/>
                <w:color w:val="00B050"/>
                <w:kern w:val="2"/>
                <w:sz w:val="24"/>
                <w:szCs w:val="24"/>
                <w:lang w:val="en-US" w:eastAsia="zh-CN" w:bidi="ar-SA"/>
              </w:rPr>
              <w:t>（2）</w:t>
            </w:r>
            <w:r>
              <w:rPr>
                <w:rFonts w:hint="default" w:ascii="Times New Roman" w:hAnsi="Times New Roman" w:cs="Times New Roman"/>
                <w:b/>
                <w:color w:val="00B050"/>
                <w:sz w:val="24"/>
                <w:lang w:val="en-US" w:eastAsia="zh-CN"/>
              </w:rPr>
              <w:t>注塑</w:t>
            </w:r>
            <w:r>
              <w:rPr>
                <w:rFonts w:hint="default" w:ascii="Times New Roman" w:hAnsi="Times New Roman" w:cs="Times New Roman"/>
                <w:b/>
                <w:color w:val="00B050"/>
                <w:sz w:val="24"/>
              </w:rPr>
              <w:t>废气G2</w:t>
            </w:r>
            <w:r>
              <w:rPr>
                <w:rFonts w:hint="eastAsia" w:cs="Times New Roman"/>
                <w:b/>
                <w:color w:val="00B050"/>
                <w:sz w:val="24"/>
                <w:lang w:val="en-US" w:eastAsia="zh-CN"/>
              </w:rPr>
              <w:t>-1（路由器产品注塑）和G5移印废气、G6烘烤废气、G7擦版废气、G8擦油墨废气</w:t>
            </w:r>
          </w:p>
          <w:p w14:paraId="2E0626B0">
            <w:pPr>
              <w:keepNext w:val="0"/>
              <w:keepLines w:val="0"/>
              <w:pageBreakBefore w:val="0"/>
              <w:widowControl w:val="0"/>
              <w:kinsoku/>
              <w:wordWrap/>
              <w:overflowPunct/>
              <w:topLinePunct w:val="0"/>
              <w:bidi w:val="0"/>
              <w:spacing w:line="360" w:lineRule="auto"/>
              <w:ind w:firstLine="480" w:firstLineChars="200"/>
              <w:rPr>
                <w:rFonts w:hint="default" w:ascii="Times New Roman" w:hAnsi="Times New Roman" w:cs="Times New Roman"/>
                <w:bCs/>
                <w:color w:val="00B050"/>
                <w:sz w:val="24"/>
              </w:rPr>
            </w:pPr>
            <w:r>
              <w:rPr>
                <w:rFonts w:hint="eastAsia" w:cs="Times New Roman"/>
                <w:bCs/>
                <w:color w:val="00B050"/>
                <w:sz w:val="24"/>
                <w:lang w:val="en-US" w:eastAsia="zh-CN"/>
              </w:rPr>
              <w:t>1）路由器</w:t>
            </w:r>
            <w:r>
              <w:rPr>
                <w:rFonts w:hint="default" w:ascii="Times New Roman" w:hAnsi="Times New Roman" w:cs="Times New Roman"/>
                <w:bCs/>
                <w:color w:val="00B050"/>
                <w:sz w:val="24"/>
              </w:rPr>
              <w:t>注塑机采用电加热，注塑机开模过程中会产生有机废气。根据原料理化性质可知，各类塑料的注塑温度均低于塑料的分解温度，因此不会导致塑料粒子的热分解。但塑料原料在受热情况下，少量游离单体可能挥发出来。</w:t>
            </w:r>
          </w:p>
          <w:p w14:paraId="456E35F9">
            <w:pPr>
              <w:keepNext w:val="0"/>
              <w:keepLines w:val="0"/>
              <w:pageBreakBefore w:val="0"/>
              <w:widowControl w:val="0"/>
              <w:kinsoku/>
              <w:wordWrap/>
              <w:overflowPunct/>
              <w:topLinePunct w:val="0"/>
              <w:bidi w:val="0"/>
              <w:spacing w:line="360" w:lineRule="auto"/>
              <w:ind w:firstLine="480" w:firstLineChars="200"/>
              <w:jc w:val="left"/>
              <w:rPr>
                <w:rFonts w:hint="default" w:ascii="Times New Roman" w:hAnsi="Times New Roman" w:cs="Times New Roman"/>
                <w:bCs/>
                <w:color w:val="00B050"/>
                <w:sz w:val="24"/>
                <w:szCs w:val="24"/>
                <w:highlight w:val="none"/>
              </w:rPr>
            </w:pPr>
            <w:r>
              <w:rPr>
                <w:rFonts w:hint="eastAsia" w:cs="Times New Roman"/>
                <w:bCs/>
                <w:color w:val="00B050"/>
                <w:sz w:val="24"/>
                <w:highlight w:val="none"/>
                <w:lang w:val="en-US" w:eastAsia="zh-CN"/>
              </w:rPr>
              <w:t>本项目注塑原料包括：PC、ABS、PC+ABS。原料在加热过程中会产生碳氢化合物、颗粒物、酚类、氯苯类、二氯甲烷、苯乙烯、丙烯腈、1,3-丁二烯，甲苯、乙苯等挥发性有机物产生</w:t>
            </w:r>
            <w:r>
              <w:rPr>
                <w:rFonts w:hint="default" w:ascii="Times New Roman" w:hAnsi="Times New Roman" w:cs="Times New Roman"/>
                <w:bCs/>
                <w:color w:val="00B050"/>
                <w:sz w:val="24"/>
                <w:szCs w:val="24"/>
                <w:highlight w:val="none"/>
              </w:rPr>
              <w:t>。由于酚类、氯苯类、二氯甲烷、苯乙烯、丙烯腈、1,3-丁二烯，甲苯、乙苯等产生量极少。因此，类比同类项目，并结合项目实际情况，本次评价以非甲烷总烃、颗粒物作为注塑废气评价因子。</w:t>
            </w:r>
          </w:p>
          <w:p w14:paraId="4C5FC2A3">
            <w:pPr>
              <w:keepNext w:val="0"/>
              <w:keepLines w:val="0"/>
              <w:pageBreakBefore w:val="0"/>
              <w:widowControl w:val="0"/>
              <w:kinsoku/>
              <w:wordWrap/>
              <w:overflowPunct/>
              <w:topLinePunct w:val="0"/>
              <w:bidi w:val="0"/>
              <w:spacing w:line="360" w:lineRule="auto"/>
              <w:ind w:firstLine="482" w:firstLineChars="200"/>
              <w:jc w:val="left"/>
              <w:rPr>
                <w:rFonts w:hint="default" w:ascii="Times New Roman" w:hAnsi="Times New Roman" w:cs="Times New Roman"/>
                <w:bCs/>
                <w:color w:val="00B050"/>
                <w:sz w:val="24"/>
                <w:highlight w:val="none"/>
              </w:rPr>
            </w:pPr>
            <w:r>
              <w:rPr>
                <w:rFonts w:hint="default" w:ascii="Times New Roman" w:hAnsi="Times New Roman" w:cs="Times New Roman"/>
                <w:b/>
                <w:bCs w:val="0"/>
                <w:color w:val="00B050"/>
                <w:sz w:val="24"/>
                <w:highlight w:val="none"/>
              </w:rPr>
              <w:t>非甲烷总烃</w:t>
            </w:r>
            <w:r>
              <w:rPr>
                <w:rFonts w:hint="default" w:ascii="Times New Roman" w:hAnsi="Times New Roman" w:cs="Times New Roman"/>
                <w:b/>
                <w:bCs w:val="0"/>
                <w:color w:val="00B050"/>
                <w:sz w:val="24"/>
                <w:highlight w:val="none"/>
                <w:lang w:eastAsia="zh-CN"/>
              </w:rPr>
              <w:t>：</w:t>
            </w:r>
            <w:r>
              <w:rPr>
                <w:rFonts w:hint="default" w:ascii="Times New Roman" w:hAnsi="Times New Roman" w:cs="Times New Roman"/>
                <w:bCs/>
                <w:color w:val="00B050"/>
                <w:sz w:val="24"/>
                <w:highlight w:val="none"/>
              </w:rPr>
              <w:t>参考《排放源统计调查产排污核算方法和系数手册》“292 塑料制品行业系数手册-2929 塑料零件及其他塑料制品制造行业系数表”，挥发性有机物产污系数按照2.70kg/t-产品计。本项目注塑</w:t>
            </w:r>
            <w:r>
              <w:rPr>
                <w:rFonts w:hint="default" w:ascii="Times New Roman" w:hAnsi="Times New Roman" w:cs="Times New Roman"/>
                <w:bCs/>
                <w:color w:val="00B050"/>
                <w:sz w:val="24"/>
                <w:highlight w:val="none"/>
                <w:lang w:val="en-US" w:eastAsia="zh-CN"/>
              </w:rPr>
              <w:t>产品</w:t>
            </w:r>
            <w:r>
              <w:rPr>
                <w:rFonts w:hint="default" w:ascii="Times New Roman" w:hAnsi="Times New Roman" w:cs="Times New Roman"/>
                <w:bCs/>
                <w:color w:val="00B050"/>
                <w:sz w:val="24"/>
                <w:highlight w:val="none"/>
              </w:rPr>
              <w:t>约139.1233t/a，则非甲烷总烃产生量约</w:t>
            </w:r>
            <w:r>
              <w:rPr>
                <w:rFonts w:hint="eastAsia" w:cs="Times New Roman"/>
                <w:bCs/>
                <w:color w:val="00B050"/>
                <w:sz w:val="24"/>
                <w:highlight w:val="none"/>
                <w:lang w:val="en-US" w:eastAsia="zh-CN"/>
              </w:rPr>
              <w:t>0.3767</w:t>
            </w:r>
            <w:r>
              <w:rPr>
                <w:rFonts w:hint="default" w:ascii="Times New Roman" w:hAnsi="Times New Roman" w:cs="Times New Roman"/>
                <w:bCs/>
                <w:color w:val="00B050"/>
                <w:sz w:val="24"/>
                <w:highlight w:val="none"/>
              </w:rPr>
              <w:t>t/a。</w:t>
            </w:r>
          </w:p>
          <w:p w14:paraId="6291BB33">
            <w:pPr>
              <w:keepNext w:val="0"/>
              <w:keepLines w:val="0"/>
              <w:pageBreakBefore w:val="0"/>
              <w:widowControl w:val="0"/>
              <w:numPr>
                <w:ilvl w:val="0"/>
                <w:numId w:val="0"/>
              </w:numPr>
              <w:kinsoku/>
              <w:wordWrap/>
              <w:overflowPunct/>
              <w:topLinePunct w:val="0"/>
              <w:bidi w:val="0"/>
              <w:spacing w:line="360" w:lineRule="auto"/>
              <w:ind w:firstLine="480" w:firstLineChars="200"/>
              <w:jc w:val="left"/>
              <w:rPr>
                <w:rFonts w:hint="eastAsia" w:cs="Times New Roman"/>
                <w:bCs/>
                <w:color w:val="00B050"/>
                <w:sz w:val="24"/>
                <w:highlight w:val="none"/>
                <w:lang w:val="en-US" w:eastAsia="zh-CN"/>
              </w:rPr>
            </w:pPr>
            <w:r>
              <w:rPr>
                <w:rFonts w:hint="eastAsia" w:ascii="Times New Roman" w:hAnsi="Times New Roman" w:eastAsia="宋体" w:cs="Times New Roman"/>
                <w:bCs/>
                <w:color w:val="00B050"/>
                <w:kern w:val="2"/>
                <w:sz w:val="24"/>
                <w:szCs w:val="24"/>
                <w:lang w:val="en-US" w:eastAsia="zh-CN" w:bidi="ar-SA"/>
              </w:rPr>
              <w:t>2）</w:t>
            </w:r>
            <w:r>
              <w:rPr>
                <w:rFonts w:hint="eastAsia" w:cs="Times New Roman"/>
                <w:bCs/>
                <w:color w:val="00B050"/>
                <w:sz w:val="24"/>
                <w:highlight w:val="none"/>
                <w:lang w:val="en-US" w:eastAsia="zh-CN"/>
              </w:rPr>
              <w:t>G5移印废气、G6烘烤废气</w:t>
            </w:r>
          </w:p>
          <w:p w14:paraId="5DCBCCC5">
            <w:pPr>
              <w:keepNext w:val="0"/>
              <w:keepLines w:val="0"/>
              <w:pageBreakBefore w:val="0"/>
              <w:widowControl w:val="0"/>
              <w:kinsoku/>
              <w:wordWrap/>
              <w:overflowPunct/>
              <w:topLinePunct w:val="0"/>
              <w:bidi w:val="0"/>
              <w:spacing w:line="360" w:lineRule="auto"/>
              <w:ind w:firstLine="480" w:firstLineChars="200"/>
              <w:rPr>
                <w:rFonts w:hint="default" w:ascii="Times New Roman" w:hAnsi="Times New Roman" w:cs="Times New Roman"/>
                <w:bCs/>
                <w:color w:val="00B050"/>
                <w:sz w:val="24"/>
                <w:szCs w:val="24"/>
                <w:lang w:val="en-US" w:eastAsia="zh-CN"/>
              </w:rPr>
            </w:pPr>
            <w:r>
              <w:rPr>
                <w:rFonts w:hint="default" w:ascii="Times New Roman" w:hAnsi="Times New Roman" w:cs="Times New Roman"/>
                <w:bCs/>
                <w:color w:val="00B050"/>
                <w:sz w:val="24"/>
                <w:szCs w:val="24"/>
                <w:lang w:val="en-US" w:eastAsia="zh-CN"/>
              </w:rPr>
              <w:t>移印废气和烘烤废气主要是原辅料中的挥发分挥发产生的非甲烷总烃。</w:t>
            </w:r>
          </w:p>
          <w:p w14:paraId="307700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B050"/>
                <w:sz w:val="24"/>
                <w:lang w:val="en-US" w:eastAsia="zh-CN"/>
              </w:rPr>
            </w:pPr>
            <w:r>
              <w:rPr>
                <w:rFonts w:hint="default" w:ascii="Times New Roman" w:hAnsi="Times New Roman" w:eastAsia="宋体" w:cs="Times New Roman"/>
                <w:b/>
                <w:bCs/>
                <w:color w:val="00B050"/>
                <w:sz w:val="24"/>
                <w:lang w:val="en-US" w:eastAsia="zh-CN"/>
              </w:rPr>
              <w:t>表4.2-2   移印</w:t>
            </w:r>
            <w:r>
              <w:rPr>
                <w:rFonts w:hint="default" w:ascii="Times New Roman" w:hAnsi="Times New Roman" w:eastAsia="宋体" w:cs="Times New Roman"/>
                <w:b/>
                <w:color w:val="00B050"/>
                <w:kern w:val="0"/>
                <w:sz w:val="24"/>
                <w:szCs w:val="24"/>
                <w:lang w:val="en-US" w:eastAsia="zh-CN" w:bidi="ar-SA"/>
              </w:rPr>
              <w:t>和烘烤废气源强核算</w:t>
            </w:r>
          </w:p>
          <w:tbl>
            <w:tblPr>
              <w:tblStyle w:val="35"/>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1355"/>
              <w:gridCol w:w="1355"/>
              <w:gridCol w:w="1806"/>
              <w:gridCol w:w="1972"/>
            </w:tblGrid>
            <w:tr w14:paraId="71589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449" w:type="dxa"/>
                  <w:noWrap w:val="0"/>
                  <w:vAlign w:val="center"/>
                </w:tcPr>
                <w:p w14:paraId="47798B5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原辅料名称</w:t>
                  </w:r>
                </w:p>
              </w:tc>
              <w:tc>
                <w:tcPr>
                  <w:tcW w:w="1355" w:type="dxa"/>
                  <w:noWrap w:val="0"/>
                  <w:vAlign w:val="center"/>
                </w:tcPr>
                <w:p w14:paraId="64F9FB2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年用量（t/a)</w:t>
                  </w:r>
                </w:p>
              </w:tc>
              <w:tc>
                <w:tcPr>
                  <w:tcW w:w="1355" w:type="dxa"/>
                  <w:noWrap w:val="0"/>
                  <w:vAlign w:val="center"/>
                </w:tcPr>
                <w:p w14:paraId="55ADEA1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挥发份比例</w:t>
                  </w:r>
                </w:p>
              </w:tc>
              <w:tc>
                <w:tcPr>
                  <w:tcW w:w="1806" w:type="dxa"/>
                  <w:noWrap w:val="0"/>
                  <w:vAlign w:val="center"/>
                </w:tcPr>
                <w:p w14:paraId="35632BB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B050"/>
                      <w:sz w:val="21"/>
                      <w:szCs w:val="21"/>
                      <w:u w:val="none"/>
                    </w:rPr>
                  </w:pPr>
                  <w:r>
                    <w:rPr>
                      <w:rFonts w:hint="eastAsia" w:ascii="Times New Roman" w:hAnsi="Times New Roman" w:eastAsia="宋体" w:cs="Times New Roman"/>
                      <w:i w:val="0"/>
                      <w:iCs w:val="0"/>
                      <w:color w:val="00B050"/>
                      <w:kern w:val="0"/>
                      <w:sz w:val="21"/>
                      <w:szCs w:val="21"/>
                      <w:u w:val="none"/>
                      <w:lang w:val="en-US" w:eastAsia="zh-CN" w:bidi="ar"/>
                    </w:rPr>
                    <w:t>移印工序VOCs</w:t>
                  </w:r>
                  <w:r>
                    <w:rPr>
                      <w:rFonts w:hint="default" w:ascii="Times New Roman" w:hAnsi="Times New Roman" w:eastAsia="宋体" w:cs="Times New Roman"/>
                      <w:i w:val="0"/>
                      <w:iCs w:val="0"/>
                      <w:color w:val="00B050"/>
                      <w:kern w:val="0"/>
                      <w:sz w:val="21"/>
                      <w:szCs w:val="21"/>
                      <w:u w:val="none"/>
                      <w:lang w:val="en-US" w:eastAsia="zh-CN" w:bidi="ar"/>
                    </w:rPr>
                    <w:t>最大产生量（t/a）</w:t>
                  </w:r>
                </w:p>
              </w:tc>
              <w:tc>
                <w:tcPr>
                  <w:tcW w:w="1972" w:type="dxa"/>
                  <w:noWrap w:val="0"/>
                  <w:vAlign w:val="center"/>
                </w:tcPr>
                <w:p w14:paraId="70526A85">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00B050"/>
                      <w:kern w:val="0"/>
                      <w:sz w:val="21"/>
                      <w:szCs w:val="21"/>
                      <w:u w:val="none"/>
                      <w:lang w:val="en-US" w:eastAsia="zh-CN" w:bidi="ar"/>
                    </w:rPr>
                  </w:pPr>
                  <w:r>
                    <w:rPr>
                      <w:rFonts w:hint="eastAsia" w:ascii="Times New Roman" w:hAnsi="Times New Roman" w:eastAsia="宋体" w:cs="Times New Roman"/>
                      <w:i w:val="0"/>
                      <w:iCs w:val="0"/>
                      <w:color w:val="00B050"/>
                      <w:kern w:val="0"/>
                      <w:sz w:val="21"/>
                      <w:szCs w:val="21"/>
                      <w:u w:val="none"/>
                      <w:lang w:val="en-US" w:eastAsia="zh-CN" w:bidi="ar"/>
                    </w:rPr>
                    <w:t>烘烤工序VOCs</w:t>
                  </w:r>
                  <w:r>
                    <w:rPr>
                      <w:rFonts w:hint="default" w:ascii="Times New Roman" w:hAnsi="Times New Roman" w:eastAsia="宋体" w:cs="Times New Roman"/>
                      <w:i w:val="0"/>
                      <w:iCs w:val="0"/>
                      <w:color w:val="00B050"/>
                      <w:kern w:val="0"/>
                      <w:sz w:val="21"/>
                      <w:szCs w:val="21"/>
                      <w:u w:val="none"/>
                      <w:lang w:val="en-US" w:eastAsia="zh-CN" w:bidi="ar"/>
                    </w:rPr>
                    <w:t>最大产生量（t/a）</w:t>
                  </w:r>
                </w:p>
              </w:tc>
            </w:tr>
            <w:tr w14:paraId="7F791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49" w:type="dxa"/>
                  <w:noWrap w:val="0"/>
                  <w:vAlign w:val="center"/>
                </w:tcPr>
                <w:p w14:paraId="1D170E6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油墨</w:t>
                  </w:r>
                </w:p>
              </w:tc>
              <w:tc>
                <w:tcPr>
                  <w:tcW w:w="1355" w:type="dxa"/>
                  <w:noWrap w:val="0"/>
                  <w:vAlign w:val="center"/>
                </w:tcPr>
                <w:p w14:paraId="173D914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0.2919</w:t>
                  </w:r>
                </w:p>
              </w:tc>
              <w:tc>
                <w:tcPr>
                  <w:tcW w:w="1355" w:type="dxa"/>
                  <w:noWrap w:val="0"/>
                  <w:vAlign w:val="center"/>
                </w:tcPr>
                <w:p w14:paraId="194188D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45.00%</w:t>
                  </w:r>
                </w:p>
              </w:tc>
              <w:tc>
                <w:tcPr>
                  <w:tcW w:w="1806" w:type="dxa"/>
                  <w:noWrap w:val="0"/>
                  <w:vAlign w:val="center"/>
                </w:tcPr>
                <w:p w14:paraId="66818679">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 xml:space="preserve">0.0526 </w:t>
                  </w:r>
                </w:p>
              </w:tc>
              <w:tc>
                <w:tcPr>
                  <w:tcW w:w="1972" w:type="dxa"/>
                  <w:noWrap w:val="0"/>
                  <w:vAlign w:val="center"/>
                </w:tcPr>
                <w:p w14:paraId="54F37AB4">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 xml:space="preserve">0.0788 </w:t>
                  </w:r>
                </w:p>
              </w:tc>
            </w:tr>
            <w:tr w14:paraId="14751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49" w:type="dxa"/>
                  <w:noWrap w:val="0"/>
                  <w:vAlign w:val="center"/>
                </w:tcPr>
                <w:p w14:paraId="179D441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稀释剂</w:t>
                  </w:r>
                </w:p>
              </w:tc>
              <w:tc>
                <w:tcPr>
                  <w:tcW w:w="1355" w:type="dxa"/>
                  <w:noWrap w:val="0"/>
                  <w:vAlign w:val="center"/>
                </w:tcPr>
                <w:p w14:paraId="2DC0038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0.0292</w:t>
                  </w:r>
                </w:p>
              </w:tc>
              <w:tc>
                <w:tcPr>
                  <w:tcW w:w="1355" w:type="dxa"/>
                  <w:noWrap w:val="0"/>
                  <w:vAlign w:val="center"/>
                </w:tcPr>
                <w:p w14:paraId="3AAD19B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45.00%</w:t>
                  </w:r>
                </w:p>
              </w:tc>
              <w:tc>
                <w:tcPr>
                  <w:tcW w:w="1806" w:type="dxa"/>
                  <w:noWrap w:val="0"/>
                  <w:vAlign w:val="center"/>
                </w:tcPr>
                <w:p w14:paraId="16E55FBE">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 xml:space="preserve">0.0052 </w:t>
                  </w:r>
                </w:p>
              </w:tc>
              <w:tc>
                <w:tcPr>
                  <w:tcW w:w="1972" w:type="dxa"/>
                  <w:noWrap w:val="0"/>
                  <w:vAlign w:val="center"/>
                </w:tcPr>
                <w:p w14:paraId="1E33C1ED">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 xml:space="preserve">0.0079 </w:t>
                  </w:r>
                </w:p>
              </w:tc>
            </w:tr>
            <w:tr w14:paraId="5C5CE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449" w:type="dxa"/>
                  <w:noWrap w:val="0"/>
                  <w:vAlign w:val="center"/>
                </w:tcPr>
                <w:p w14:paraId="3BE3DBD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固化剂</w:t>
                  </w:r>
                </w:p>
              </w:tc>
              <w:tc>
                <w:tcPr>
                  <w:tcW w:w="1355" w:type="dxa"/>
                  <w:noWrap w:val="0"/>
                  <w:vAlign w:val="center"/>
                </w:tcPr>
                <w:p w14:paraId="6E80237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0.0438</w:t>
                  </w:r>
                </w:p>
              </w:tc>
              <w:tc>
                <w:tcPr>
                  <w:tcW w:w="1355" w:type="dxa"/>
                  <w:noWrap w:val="0"/>
                  <w:vAlign w:val="center"/>
                </w:tcPr>
                <w:p w14:paraId="243912F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100.00%</w:t>
                  </w:r>
                </w:p>
              </w:tc>
              <w:tc>
                <w:tcPr>
                  <w:tcW w:w="1806" w:type="dxa"/>
                  <w:noWrap w:val="0"/>
                  <w:vAlign w:val="center"/>
                </w:tcPr>
                <w:p w14:paraId="0B5ACC18">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 xml:space="preserve">0.0175 </w:t>
                  </w:r>
                </w:p>
              </w:tc>
              <w:tc>
                <w:tcPr>
                  <w:tcW w:w="1972" w:type="dxa"/>
                  <w:noWrap w:val="0"/>
                  <w:vAlign w:val="center"/>
                </w:tcPr>
                <w:p w14:paraId="53DB02D5">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 xml:space="preserve">0.0263 </w:t>
                  </w:r>
                </w:p>
              </w:tc>
            </w:tr>
            <w:tr w14:paraId="22D2F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159" w:type="dxa"/>
                  <w:gridSpan w:val="3"/>
                  <w:noWrap w:val="0"/>
                  <w:vAlign w:val="center"/>
                </w:tcPr>
                <w:p w14:paraId="151B36B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合计</w:t>
                  </w:r>
                </w:p>
              </w:tc>
              <w:tc>
                <w:tcPr>
                  <w:tcW w:w="1806" w:type="dxa"/>
                  <w:noWrap w:val="0"/>
                  <w:vAlign w:val="center"/>
                </w:tcPr>
                <w:p w14:paraId="7C8B3B2A">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 xml:space="preserve">0.0753 </w:t>
                  </w:r>
                </w:p>
              </w:tc>
              <w:tc>
                <w:tcPr>
                  <w:tcW w:w="1972" w:type="dxa"/>
                  <w:noWrap w:val="0"/>
                  <w:vAlign w:val="center"/>
                </w:tcPr>
                <w:p w14:paraId="358FF43C">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 xml:space="preserve">0.1130 </w:t>
                  </w:r>
                </w:p>
              </w:tc>
            </w:tr>
          </w:tbl>
          <w:p w14:paraId="0FDDA5D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
                <w:bCs/>
                <w:color w:val="00B050"/>
                <w:sz w:val="24"/>
                <w:lang w:val="en-US" w:eastAsia="zh-CN"/>
              </w:rPr>
            </w:pPr>
            <w:r>
              <w:rPr>
                <w:rFonts w:hint="eastAsia" w:cs="Times New Roman"/>
                <w:bCs/>
                <w:color w:val="00B050"/>
                <w:lang w:val="en-US" w:eastAsia="zh-CN"/>
              </w:rPr>
              <w:t>3</w:t>
            </w:r>
            <w:r>
              <w:rPr>
                <w:rFonts w:hint="default" w:ascii="Times New Roman" w:hAnsi="Times New Roman" w:cs="Times New Roman"/>
                <w:bCs/>
                <w:color w:val="00B050"/>
                <w:lang w:val="en-US" w:eastAsia="zh-CN"/>
              </w:rPr>
              <w:t>）</w:t>
            </w:r>
            <w:r>
              <w:rPr>
                <w:rFonts w:hint="default" w:ascii="Times New Roman" w:hAnsi="Times New Roman" w:cs="Times New Roman"/>
                <w:b w:val="0"/>
                <w:bCs/>
                <w:color w:val="00B050"/>
                <w:sz w:val="24"/>
                <w:lang w:val="en-US" w:eastAsia="zh-CN"/>
              </w:rPr>
              <w:t>擦版废气为洗网水挥发</w:t>
            </w:r>
            <w:r>
              <w:rPr>
                <w:rFonts w:hint="eastAsia" w:cs="Times New Roman"/>
                <w:b w:val="0"/>
                <w:bCs/>
                <w:color w:val="00B050"/>
                <w:sz w:val="24"/>
                <w:lang w:val="en-US" w:eastAsia="zh-CN"/>
              </w:rPr>
              <w:t>VOC</w:t>
            </w:r>
            <w:r>
              <w:rPr>
                <w:rFonts w:hint="eastAsia" w:ascii="Times New Roman" w:hAnsi="Times New Roman" w:cs="Times New Roman"/>
                <w:b w:val="0"/>
                <w:bCs/>
                <w:color w:val="00B050"/>
                <w:sz w:val="24"/>
                <w:lang w:val="en-US" w:eastAsia="zh-CN"/>
              </w:rPr>
              <w:t>s</w:t>
            </w:r>
            <w:r>
              <w:rPr>
                <w:rFonts w:hint="eastAsia" w:cs="Times New Roman"/>
                <w:b w:val="0"/>
                <w:bCs/>
                <w:color w:val="00B050"/>
                <w:sz w:val="24"/>
                <w:lang w:val="en-US" w:eastAsia="zh-CN"/>
              </w:rPr>
              <w:t>和苯系物</w:t>
            </w:r>
            <w:r>
              <w:rPr>
                <w:rFonts w:hint="default" w:ascii="Times New Roman" w:hAnsi="Times New Roman" w:cs="Times New Roman"/>
                <w:b w:val="0"/>
                <w:bCs/>
                <w:color w:val="00B050"/>
                <w:sz w:val="24"/>
                <w:lang w:val="en-US" w:eastAsia="zh-CN"/>
              </w:rPr>
              <w:t>。根据洗网水MSDS，结合项目原辅料使用情况，擦版废气</w:t>
            </w:r>
            <w:r>
              <w:rPr>
                <w:rFonts w:hint="eastAsia" w:ascii="Times New Roman" w:hAnsi="Times New Roman" w:cs="Times New Roman"/>
                <w:b w:val="0"/>
                <w:bCs/>
                <w:color w:val="00B050"/>
                <w:sz w:val="24"/>
                <w:lang w:val="en-US" w:eastAsia="zh-CN"/>
              </w:rPr>
              <w:t>VOCs</w:t>
            </w:r>
            <w:r>
              <w:rPr>
                <w:rFonts w:hint="default" w:ascii="Times New Roman" w:hAnsi="Times New Roman" w:cs="Times New Roman"/>
                <w:b w:val="0"/>
                <w:bCs/>
                <w:color w:val="00B050"/>
                <w:sz w:val="24"/>
                <w:lang w:val="en-US" w:eastAsia="zh-CN"/>
              </w:rPr>
              <w:t>产生量见表4.2-3。</w:t>
            </w:r>
          </w:p>
          <w:p w14:paraId="3F6DA7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B050"/>
                <w:sz w:val="24"/>
                <w:lang w:val="en-US" w:eastAsia="zh-CN"/>
              </w:rPr>
            </w:pPr>
            <w:r>
              <w:rPr>
                <w:rFonts w:hint="default" w:ascii="Times New Roman" w:hAnsi="Times New Roman" w:eastAsia="宋体" w:cs="Times New Roman"/>
                <w:b/>
                <w:bCs/>
                <w:color w:val="00B050"/>
                <w:sz w:val="24"/>
                <w:lang w:val="en-US" w:eastAsia="zh-CN"/>
              </w:rPr>
              <w:t>表4.2-3  擦版废气源强核算</w:t>
            </w:r>
          </w:p>
          <w:tbl>
            <w:tblPr>
              <w:tblStyle w:val="35"/>
              <w:tblW w:w="8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926"/>
              <w:gridCol w:w="2853"/>
              <w:gridCol w:w="1491"/>
              <w:gridCol w:w="1491"/>
            </w:tblGrid>
            <w:tr w14:paraId="280CE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2" w:type="pct"/>
                  <w:tcBorders>
                    <w:tl2br w:val="nil"/>
                    <w:tr2bl w:val="nil"/>
                  </w:tcBorders>
                  <w:noWrap w:val="0"/>
                  <w:vAlign w:val="center"/>
                </w:tcPr>
                <w:p w14:paraId="4EB3EC9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00B050"/>
                      <w:kern w:val="0"/>
                      <w:szCs w:val="21"/>
                    </w:rPr>
                  </w:pPr>
                  <w:r>
                    <w:rPr>
                      <w:rFonts w:hint="default" w:ascii="Times New Roman" w:hAnsi="Times New Roman" w:cs="Times New Roman"/>
                      <w:b/>
                      <w:bCs/>
                      <w:color w:val="00B050"/>
                      <w:kern w:val="0"/>
                      <w:szCs w:val="21"/>
                      <w:lang w:val="en-US" w:eastAsia="zh-CN"/>
                    </w:rPr>
                    <w:t>原料</w:t>
                  </w:r>
                  <w:r>
                    <w:rPr>
                      <w:rFonts w:hint="default" w:ascii="Times New Roman" w:hAnsi="Times New Roman" w:cs="Times New Roman"/>
                      <w:b/>
                      <w:bCs/>
                      <w:color w:val="00B050"/>
                      <w:kern w:val="0"/>
                      <w:szCs w:val="21"/>
                    </w:rPr>
                    <w:t>名称</w:t>
                  </w:r>
                </w:p>
              </w:tc>
              <w:tc>
                <w:tcPr>
                  <w:tcW w:w="563" w:type="pct"/>
                  <w:tcBorders>
                    <w:tl2br w:val="nil"/>
                    <w:tr2bl w:val="nil"/>
                  </w:tcBorders>
                  <w:noWrap w:val="0"/>
                  <w:vAlign w:val="center"/>
                </w:tcPr>
                <w:p w14:paraId="72E0331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00B050"/>
                      <w:kern w:val="0"/>
                      <w:szCs w:val="21"/>
                    </w:rPr>
                  </w:pPr>
                  <w:r>
                    <w:rPr>
                      <w:rFonts w:hint="default" w:ascii="Times New Roman" w:hAnsi="Times New Roman" w:cs="Times New Roman"/>
                      <w:b/>
                      <w:bCs/>
                      <w:color w:val="00B050"/>
                      <w:kern w:val="0"/>
                      <w:szCs w:val="21"/>
                    </w:rPr>
                    <w:t>用量</w:t>
                  </w:r>
                </w:p>
              </w:tc>
              <w:tc>
                <w:tcPr>
                  <w:tcW w:w="1737" w:type="pct"/>
                  <w:tcBorders>
                    <w:tl2br w:val="nil"/>
                    <w:tr2bl w:val="nil"/>
                  </w:tcBorders>
                  <w:noWrap w:val="0"/>
                  <w:vAlign w:val="center"/>
                </w:tcPr>
                <w:p w14:paraId="15DFBF2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00B050"/>
                      <w:kern w:val="0"/>
                      <w:szCs w:val="21"/>
                    </w:rPr>
                  </w:pPr>
                  <w:r>
                    <w:rPr>
                      <w:rFonts w:hint="default" w:ascii="Times New Roman" w:hAnsi="Times New Roman" w:cs="Times New Roman"/>
                      <w:b/>
                      <w:bCs/>
                      <w:color w:val="00B050"/>
                      <w:kern w:val="0"/>
                      <w:szCs w:val="21"/>
                    </w:rPr>
                    <w:t>挥发分及比例</w:t>
                  </w:r>
                </w:p>
              </w:tc>
              <w:tc>
                <w:tcPr>
                  <w:tcW w:w="907" w:type="pct"/>
                  <w:tcBorders>
                    <w:tl2br w:val="nil"/>
                    <w:tr2bl w:val="nil"/>
                  </w:tcBorders>
                  <w:noWrap w:val="0"/>
                  <w:vAlign w:val="center"/>
                </w:tcPr>
                <w:p w14:paraId="545DE6F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00B050"/>
                      <w:kern w:val="0"/>
                      <w:szCs w:val="21"/>
                    </w:rPr>
                  </w:pPr>
                  <w:r>
                    <w:rPr>
                      <w:rFonts w:hint="eastAsia" w:ascii="Times New Roman" w:hAnsi="Times New Roman" w:cs="Times New Roman"/>
                      <w:b/>
                      <w:bCs/>
                      <w:color w:val="00B050"/>
                      <w:kern w:val="0"/>
                      <w:szCs w:val="21"/>
                      <w:lang w:val="en-US" w:eastAsia="zh-CN"/>
                    </w:rPr>
                    <w:t>VOCs</w:t>
                  </w:r>
                  <w:r>
                    <w:rPr>
                      <w:rFonts w:hint="default" w:ascii="Times New Roman" w:hAnsi="Times New Roman" w:cs="Times New Roman"/>
                      <w:b/>
                      <w:bCs/>
                      <w:color w:val="00B050"/>
                      <w:kern w:val="0"/>
                      <w:szCs w:val="21"/>
                      <w:lang w:val="en-US" w:eastAsia="zh-CN"/>
                    </w:rPr>
                    <w:t>最大</w:t>
                  </w:r>
                  <w:r>
                    <w:rPr>
                      <w:rFonts w:hint="default" w:ascii="Times New Roman" w:hAnsi="Times New Roman" w:cs="Times New Roman"/>
                      <w:b/>
                      <w:bCs/>
                      <w:color w:val="00B050"/>
                      <w:kern w:val="0"/>
                      <w:szCs w:val="21"/>
                    </w:rPr>
                    <w:t>产生量（</w:t>
                  </w:r>
                  <w:r>
                    <w:rPr>
                      <w:rFonts w:hint="default" w:ascii="Times New Roman" w:hAnsi="Times New Roman" w:cs="Times New Roman"/>
                      <w:b/>
                      <w:bCs/>
                      <w:color w:val="00B050"/>
                      <w:kern w:val="0"/>
                      <w:szCs w:val="21"/>
                      <w:lang w:val="en-US" w:eastAsia="zh-CN"/>
                    </w:rPr>
                    <w:t>t</w:t>
                  </w:r>
                  <w:r>
                    <w:rPr>
                      <w:rFonts w:hint="default" w:ascii="Times New Roman" w:hAnsi="Times New Roman" w:cs="Times New Roman"/>
                      <w:b/>
                      <w:bCs/>
                      <w:color w:val="00B050"/>
                      <w:kern w:val="0"/>
                      <w:szCs w:val="21"/>
                    </w:rPr>
                    <w:t>/a）</w:t>
                  </w:r>
                </w:p>
              </w:tc>
              <w:tc>
                <w:tcPr>
                  <w:tcW w:w="907" w:type="pct"/>
                  <w:tcBorders>
                    <w:tl2br w:val="nil"/>
                    <w:tr2bl w:val="nil"/>
                  </w:tcBorders>
                  <w:noWrap w:val="0"/>
                  <w:vAlign w:val="center"/>
                </w:tcPr>
                <w:p w14:paraId="1BFBC37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00B050"/>
                      <w:kern w:val="0"/>
                      <w:szCs w:val="21"/>
                      <w:lang w:val="en-US" w:eastAsia="zh-CN"/>
                    </w:rPr>
                  </w:pPr>
                  <w:r>
                    <w:rPr>
                      <w:rFonts w:hint="eastAsia" w:cs="Times New Roman"/>
                      <w:b/>
                      <w:bCs/>
                      <w:color w:val="00B050"/>
                      <w:kern w:val="0"/>
                      <w:szCs w:val="21"/>
                      <w:lang w:val="en-US" w:eastAsia="zh-CN"/>
                    </w:rPr>
                    <w:t>苯系物最大产生量</w:t>
                  </w:r>
                  <w:r>
                    <w:rPr>
                      <w:rFonts w:hint="default" w:ascii="Times New Roman" w:hAnsi="Times New Roman" w:cs="Times New Roman"/>
                      <w:b/>
                      <w:bCs/>
                      <w:color w:val="00B050"/>
                      <w:kern w:val="0"/>
                      <w:szCs w:val="21"/>
                    </w:rPr>
                    <w:t>（</w:t>
                  </w:r>
                  <w:r>
                    <w:rPr>
                      <w:rFonts w:hint="default" w:ascii="Times New Roman" w:hAnsi="Times New Roman" w:cs="Times New Roman"/>
                      <w:b/>
                      <w:bCs/>
                      <w:color w:val="00B050"/>
                      <w:kern w:val="0"/>
                      <w:szCs w:val="21"/>
                      <w:lang w:val="en-US" w:eastAsia="zh-CN"/>
                    </w:rPr>
                    <w:t>t</w:t>
                  </w:r>
                  <w:r>
                    <w:rPr>
                      <w:rFonts w:hint="default" w:ascii="Times New Roman" w:hAnsi="Times New Roman" w:cs="Times New Roman"/>
                      <w:b/>
                      <w:bCs/>
                      <w:color w:val="00B050"/>
                      <w:kern w:val="0"/>
                      <w:szCs w:val="21"/>
                    </w:rPr>
                    <w:t>/a）</w:t>
                  </w:r>
                </w:p>
              </w:tc>
            </w:tr>
            <w:tr w14:paraId="598E3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2" w:type="pct"/>
                  <w:tcBorders>
                    <w:tl2br w:val="nil"/>
                    <w:tr2bl w:val="nil"/>
                  </w:tcBorders>
                  <w:noWrap w:val="0"/>
                  <w:vAlign w:val="center"/>
                </w:tcPr>
                <w:p w14:paraId="641988F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B050"/>
                      <w:kern w:val="0"/>
                      <w:szCs w:val="21"/>
                    </w:rPr>
                  </w:pPr>
                  <w:r>
                    <w:rPr>
                      <w:rFonts w:hint="default" w:ascii="Times New Roman" w:hAnsi="Times New Roman" w:cs="Times New Roman"/>
                      <w:color w:val="00B050"/>
                      <w:kern w:val="0"/>
                      <w:szCs w:val="21"/>
                    </w:rPr>
                    <w:t>洗网水</w:t>
                  </w:r>
                </w:p>
              </w:tc>
              <w:tc>
                <w:tcPr>
                  <w:tcW w:w="563" w:type="pct"/>
                  <w:tcBorders>
                    <w:tl2br w:val="nil"/>
                    <w:tr2bl w:val="nil"/>
                  </w:tcBorders>
                  <w:noWrap w:val="0"/>
                  <w:vAlign w:val="center"/>
                </w:tcPr>
                <w:p w14:paraId="6685815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B050"/>
                      <w:kern w:val="0"/>
                      <w:szCs w:val="21"/>
                    </w:rPr>
                  </w:pPr>
                  <w:r>
                    <w:rPr>
                      <w:rFonts w:hint="default" w:ascii="Times New Roman" w:hAnsi="Times New Roman" w:cs="Times New Roman"/>
                      <w:color w:val="00B050"/>
                      <w:kern w:val="0"/>
                      <w:szCs w:val="21"/>
                    </w:rPr>
                    <w:t>0.</w:t>
                  </w:r>
                  <w:r>
                    <w:rPr>
                      <w:rFonts w:hint="default" w:ascii="Times New Roman" w:hAnsi="Times New Roman" w:cs="Times New Roman"/>
                      <w:color w:val="00B050"/>
                      <w:kern w:val="0"/>
                      <w:szCs w:val="21"/>
                      <w:lang w:val="en-US" w:eastAsia="zh-CN"/>
                    </w:rPr>
                    <w:t>0</w:t>
                  </w:r>
                  <w:r>
                    <w:rPr>
                      <w:rFonts w:hint="default" w:ascii="Times New Roman" w:hAnsi="Times New Roman" w:cs="Times New Roman"/>
                      <w:color w:val="00B050"/>
                      <w:kern w:val="0"/>
                      <w:szCs w:val="21"/>
                    </w:rPr>
                    <w:t>1t/a</w:t>
                  </w:r>
                </w:p>
              </w:tc>
              <w:tc>
                <w:tcPr>
                  <w:tcW w:w="1737" w:type="pct"/>
                  <w:tcBorders>
                    <w:tl2br w:val="nil"/>
                    <w:tr2bl w:val="nil"/>
                  </w:tcBorders>
                  <w:noWrap w:val="0"/>
                  <w:vAlign w:val="center"/>
                </w:tcPr>
                <w:p w14:paraId="4752C3A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B050"/>
                      <w:kern w:val="0"/>
                      <w:szCs w:val="21"/>
                      <w:lang w:val="en-US" w:eastAsia="zh-CN"/>
                    </w:rPr>
                  </w:pPr>
                  <w:r>
                    <w:rPr>
                      <w:rFonts w:hint="default" w:ascii="Times New Roman" w:hAnsi="Times New Roman" w:cs="Times New Roman"/>
                      <w:color w:val="00B050"/>
                      <w:kern w:val="0"/>
                      <w:szCs w:val="21"/>
                    </w:rPr>
                    <w:t>异佛尔酮</w:t>
                  </w:r>
                  <w:r>
                    <w:rPr>
                      <w:rFonts w:hint="default" w:ascii="Times New Roman" w:hAnsi="Times New Roman" w:cs="Times New Roman"/>
                      <w:color w:val="00B050"/>
                      <w:kern w:val="0"/>
                      <w:szCs w:val="21"/>
                      <w:lang w:val="en-US" w:eastAsia="zh-CN"/>
                    </w:rPr>
                    <w:t>37</w:t>
                  </w:r>
                  <w:r>
                    <w:rPr>
                      <w:rFonts w:hint="default" w:ascii="Times New Roman" w:hAnsi="Times New Roman" w:cs="Times New Roman"/>
                      <w:color w:val="00B050"/>
                      <w:kern w:val="0"/>
                      <w:szCs w:val="21"/>
                    </w:rPr>
                    <w:t>%</w:t>
                  </w:r>
                  <w:r>
                    <w:rPr>
                      <w:rFonts w:hint="default" w:ascii="Times New Roman" w:hAnsi="Times New Roman" w:cs="Times New Roman"/>
                      <w:color w:val="00B050"/>
                      <w:kern w:val="0"/>
                      <w:szCs w:val="21"/>
                      <w:lang w:eastAsia="zh-CN"/>
                    </w:rPr>
                    <w:t>，</w:t>
                  </w:r>
                  <w:r>
                    <w:rPr>
                      <w:rFonts w:hint="default" w:ascii="Times New Roman" w:hAnsi="Times New Roman" w:cs="Times New Roman"/>
                      <w:color w:val="00B050"/>
                      <w:kern w:val="0"/>
                      <w:szCs w:val="21"/>
                      <w:lang w:val="en-US" w:eastAsia="zh-CN"/>
                    </w:rPr>
                    <w:t>三甲苯45％</w:t>
                  </w:r>
                </w:p>
              </w:tc>
              <w:tc>
                <w:tcPr>
                  <w:tcW w:w="907" w:type="pct"/>
                  <w:tcBorders>
                    <w:tl2br w:val="nil"/>
                    <w:tr2bl w:val="nil"/>
                  </w:tcBorders>
                  <w:noWrap w:val="0"/>
                  <w:vAlign w:val="center"/>
                </w:tcPr>
                <w:p w14:paraId="579C890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B050"/>
                      <w:kern w:val="0"/>
                      <w:szCs w:val="21"/>
                      <w:lang w:val="en-US" w:eastAsia="zh-CN"/>
                    </w:rPr>
                  </w:pPr>
                  <w:r>
                    <w:rPr>
                      <w:rFonts w:hint="default" w:ascii="Times New Roman" w:hAnsi="Times New Roman" w:eastAsia="宋体" w:cs="Times New Roman"/>
                      <w:color w:val="00B050"/>
                      <w:kern w:val="0"/>
                      <w:szCs w:val="21"/>
                      <w:lang w:val="en-US" w:eastAsia="zh-CN"/>
                    </w:rPr>
                    <w:t>0.00</w:t>
                  </w:r>
                  <w:r>
                    <w:rPr>
                      <w:rFonts w:hint="eastAsia" w:cs="Times New Roman"/>
                      <w:color w:val="00B050"/>
                      <w:kern w:val="0"/>
                      <w:szCs w:val="21"/>
                      <w:lang w:val="en-US" w:eastAsia="zh-CN"/>
                    </w:rPr>
                    <w:t>37</w:t>
                  </w:r>
                </w:p>
              </w:tc>
              <w:tc>
                <w:tcPr>
                  <w:tcW w:w="907" w:type="pct"/>
                  <w:tcBorders>
                    <w:tl2br w:val="nil"/>
                    <w:tr2bl w:val="nil"/>
                  </w:tcBorders>
                  <w:noWrap w:val="0"/>
                  <w:vAlign w:val="center"/>
                </w:tcPr>
                <w:p w14:paraId="1A3639A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B050"/>
                      <w:kern w:val="0"/>
                      <w:szCs w:val="21"/>
                      <w:lang w:val="en-US" w:eastAsia="zh-CN"/>
                    </w:rPr>
                  </w:pPr>
                  <w:r>
                    <w:rPr>
                      <w:rFonts w:hint="eastAsia" w:cs="Times New Roman"/>
                      <w:color w:val="00B050"/>
                      <w:kern w:val="0"/>
                      <w:szCs w:val="21"/>
                      <w:lang w:val="en-US" w:eastAsia="zh-CN"/>
                    </w:rPr>
                    <w:t>0.0045</w:t>
                  </w:r>
                </w:p>
              </w:tc>
            </w:tr>
            <w:tr w14:paraId="242C4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84" w:type="pct"/>
                  <w:gridSpan w:val="3"/>
                  <w:tcBorders>
                    <w:tl2br w:val="nil"/>
                    <w:tr2bl w:val="nil"/>
                  </w:tcBorders>
                  <w:noWrap w:val="0"/>
                  <w:vAlign w:val="center"/>
                </w:tcPr>
                <w:p w14:paraId="6D6253D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color w:val="00B050"/>
                      <w:kern w:val="0"/>
                      <w:szCs w:val="21"/>
                    </w:rPr>
                  </w:pPr>
                  <w:r>
                    <w:rPr>
                      <w:rFonts w:hint="default" w:ascii="Times New Roman" w:hAnsi="Times New Roman" w:cs="Times New Roman"/>
                      <w:b w:val="0"/>
                      <w:bCs/>
                      <w:color w:val="00B050"/>
                      <w:kern w:val="0"/>
                      <w:szCs w:val="21"/>
                    </w:rPr>
                    <w:t>合计</w:t>
                  </w:r>
                </w:p>
              </w:tc>
              <w:tc>
                <w:tcPr>
                  <w:tcW w:w="907" w:type="pct"/>
                  <w:tcBorders>
                    <w:tl2br w:val="nil"/>
                    <w:tr2bl w:val="nil"/>
                  </w:tcBorders>
                  <w:noWrap w:val="0"/>
                  <w:vAlign w:val="center"/>
                </w:tcPr>
                <w:p w14:paraId="65F6B09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00B050"/>
                      <w:kern w:val="0"/>
                      <w:szCs w:val="21"/>
                      <w:lang w:val="en-US" w:eastAsia="zh-CN"/>
                    </w:rPr>
                  </w:pPr>
                  <w:r>
                    <w:rPr>
                      <w:rFonts w:hint="default" w:ascii="Times New Roman" w:hAnsi="Times New Roman" w:cs="Times New Roman"/>
                      <w:b w:val="0"/>
                      <w:bCs/>
                      <w:color w:val="00B050"/>
                      <w:kern w:val="0"/>
                      <w:szCs w:val="21"/>
                      <w:lang w:val="en-US" w:eastAsia="zh-CN"/>
                    </w:rPr>
                    <w:t>0.00</w:t>
                  </w:r>
                  <w:r>
                    <w:rPr>
                      <w:rFonts w:hint="eastAsia" w:cs="Times New Roman"/>
                      <w:b w:val="0"/>
                      <w:bCs/>
                      <w:color w:val="00B050"/>
                      <w:kern w:val="0"/>
                      <w:szCs w:val="21"/>
                      <w:lang w:val="en-US" w:eastAsia="zh-CN"/>
                    </w:rPr>
                    <w:t>37</w:t>
                  </w:r>
                </w:p>
              </w:tc>
              <w:tc>
                <w:tcPr>
                  <w:tcW w:w="907" w:type="pct"/>
                  <w:tcBorders>
                    <w:tl2br w:val="nil"/>
                    <w:tr2bl w:val="nil"/>
                  </w:tcBorders>
                  <w:noWrap w:val="0"/>
                  <w:vAlign w:val="center"/>
                </w:tcPr>
                <w:p w14:paraId="1A13F51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color w:val="00B050"/>
                      <w:kern w:val="0"/>
                      <w:szCs w:val="21"/>
                      <w:lang w:val="en-US" w:eastAsia="zh-CN"/>
                    </w:rPr>
                  </w:pPr>
                  <w:r>
                    <w:rPr>
                      <w:rFonts w:hint="eastAsia" w:cs="Times New Roman"/>
                      <w:color w:val="00B050"/>
                      <w:kern w:val="0"/>
                      <w:szCs w:val="21"/>
                      <w:lang w:val="en-US" w:eastAsia="zh-CN"/>
                    </w:rPr>
                    <w:t>0.0045</w:t>
                  </w:r>
                </w:p>
              </w:tc>
            </w:tr>
          </w:tbl>
          <w:p w14:paraId="5319DCE5">
            <w:pPr>
              <w:pStyle w:val="49"/>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bCs/>
                <w:color w:val="00B050"/>
                <w:lang w:val="en-US" w:eastAsia="zh-CN"/>
              </w:rPr>
            </w:pPr>
            <w:r>
              <w:rPr>
                <w:rFonts w:hint="eastAsia" w:cs="Times New Roman"/>
                <w:bCs/>
                <w:color w:val="00B050"/>
                <w:lang w:val="en-US" w:eastAsia="zh-CN"/>
              </w:rPr>
              <w:t>4</w:t>
            </w:r>
            <w:r>
              <w:rPr>
                <w:rFonts w:hint="default" w:ascii="Times New Roman" w:hAnsi="Times New Roman" w:cs="Times New Roman"/>
                <w:bCs/>
                <w:color w:val="00B050"/>
                <w:lang w:val="en-US" w:eastAsia="zh-CN"/>
              </w:rPr>
              <w:t>）擦油墨废气</w:t>
            </w:r>
          </w:p>
          <w:p w14:paraId="6A2D2C2E">
            <w:pPr>
              <w:pStyle w:val="49"/>
              <w:keepNext w:val="0"/>
              <w:keepLines w:val="0"/>
              <w:pageBreakBefore w:val="0"/>
              <w:widowControl w:val="0"/>
              <w:kinsoku/>
              <w:wordWrap/>
              <w:overflowPunct/>
              <w:topLinePunct w:val="0"/>
              <w:autoSpaceDE/>
              <w:autoSpaceDN/>
              <w:bidi w:val="0"/>
              <w:adjustRightInd/>
              <w:snapToGrid/>
              <w:ind w:firstLine="482"/>
              <w:textAlignment w:val="auto"/>
              <w:rPr>
                <w:rFonts w:hint="default" w:ascii="Times New Roman" w:hAnsi="Times New Roman" w:eastAsia="宋体" w:cs="Times New Roman"/>
                <w:b/>
                <w:bCs/>
                <w:color w:val="00B050"/>
                <w:sz w:val="24"/>
                <w:lang w:val="en-US" w:eastAsia="zh-CN"/>
              </w:rPr>
            </w:pPr>
            <w:r>
              <w:rPr>
                <w:rFonts w:hint="default" w:ascii="Times New Roman" w:hAnsi="Times New Roman" w:cs="Times New Roman"/>
                <w:b w:val="0"/>
                <w:bCs/>
                <w:color w:val="00B050"/>
                <w:sz w:val="24"/>
                <w:lang w:val="en-US" w:eastAsia="zh-CN"/>
              </w:rPr>
              <w:t>擦油墨废气为防白水挥发产生的有机废气</w:t>
            </w:r>
            <w:r>
              <w:rPr>
                <w:rFonts w:hint="eastAsia" w:ascii="Times New Roman" w:hAnsi="Times New Roman" w:cs="Times New Roman"/>
                <w:b w:val="0"/>
                <w:bCs/>
                <w:color w:val="00B050"/>
                <w:sz w:val="24"/>
                <w:lang w:val="en-US" w:eastAsia="zh-CN"/>
              </w:rPr>
              <w:t>。</w:t>
            </w:r>
            <w:r>
              <w:rPr>
                <w:rFonts w:hint="default" w:ascii="Times New Roman" w:hAnsi="Times New Roman" w:cs="Times New Roman"/>
                <w:b w:val="0"/>
                <w:bCs/>
                <w:color w:val="00B050"/>
                <w:sz w:val="24"/>
                <w:lang w:val="en-US" w:eastAsia="zh-CN"/>
              </w:rPr>
              <w:t>根据防白水MSDS，结合项目原辅料使用情况，项目</w:t>
            </w:r>
            <w:r>
              <w:rPr>
                <w:rFonts w:hint="default" w:ascii="Times New Roman" w:hAnsi="Times New Roman" w:cs="Times New Roman"/>
                <w:bCs/>
                <w:color w:val="00B050"/>
                <w:lang w:val="en-US" w:eastAsia="zh-CN"/>
              </w:rPr>
              <w:t>擦油墨废气</w:t>
            </w:r>
            <w:r>
              <w:rPr>
                <w:rFonts w:hint="eastAsia" w:ascii="Times New Roman" w:hAnsi="Times New Roman" w:cs="Times New Roman"/>
                <w:b w:val="0"/>
                <w:bCs/>
                <w:color w:val="00B050"/>
                <w:sz w:val="24"/>
                <w:lang w:val="en-US" w:eastAsia="zh-CN"/>
              </w:rPr>
              <w:t>VOCs</w:t>
            </w:r>
            <w:r>
              <w:rPr>
                <w:rFonts w:hint="default" w:ascii="Times New Roman" w:hAnsi="Times New Roman" w:cs="Times New Roman"/>
                <w:b w:val="0"/>
                <w:bCs/>
                <w:color w:val="00B050"/>
                <w:sz w:val="24"/>
                <w:lang w:val="en-US" w:eastAsia="zh-CN"/>
              </w:rPr>
              <w:t>产生量见表4.2-4。</w:t>
            </w:r>
          </w:p>
          <w:p w14:paraId="1FE36A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B050"/>
                <w:sz w:val="24"/>
                <w:lang w:val="en-US" w:eastAsia="zh-CN"/>
              </w:rPr>
            </w:pPr>
          </w:p>
          <w:p w14:paraId="0DB612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B050"/>
                <w:sz w:val="24"/>
                <w:lang w:val="en-US" w:eastAsia="zh-CN"/>
              </w:rPr>
            </w:pPr>
            <w:r>
              <w:rPr>
                <w:rFonts w:hint="default" w:ascii="Times New Roman" w:hAnsi="Times New Roman" w:eastAsia="宋体" w:cs="Times New Roman"/>
                <w:b/>
                <w:bCs/>
                <w:color w:val="00B050"/>
                <w:sz w:val="24"/>
                <w:lang w:val="en-US" w:eastAsia="zh-CN"/>
              </w:rPr>
              <w:t xml:space="preserve">表4.2-4  </w:t>
            </w:r>
            <w:r>
              <w:rPr>
                <w:rFonts w:hint="eastAsia" w:ascii="Times New Roman" w:hAnsi="Times New Roman" w:eastAsia="宋体" w:cs="Times New Roman"/>
                <w:b/>
                <w:bCs/>
                <w:color w:val="00B050"/>
                <w:sz w:val="24"/>
                <w:lang w:val="en-US" w:eastAsia="zh-CN"/>
              </w:rPr>
              <w:t>擦油墨</w:t>
            </w:r>
            <w:r>
              <w:rPr>
                <w:rFonts w:hint="default" w:ascii="Times New Roman" w:hAnsi="Times New Roman" w:eastAsia="宋体" w:cs="Times New Roman"/>
                <w:b/>
                <w:bCs/>
                <w:color w:val="00B050"/>
                <w:sz w:val="24"/>
                <w:lang w:val="en-US" w:eastAsia="zh-CN"/>
              </w:rPr>
              <w:t>废气源强核算</w:t>
            </w:r>
          </w:p>
          <w:tbl>
            <w:tblPr>
              <w:tblStyle w:val="35"/>
              <w:tblW w:w="484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4"/>
              <w:gridCol w:w="1380"/>
              <w:gridCol w:w="2399"/>
              <w:gridCol w:w="2134"/>
            </w:tblGrid>
            <w:tr w14:paraId="3DA74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pct"/>
                  <w:tcBorders>
                    <w:tl2br w:val="nil"/>
                    <w:tr2bl w:val="nil"/>
                  </w:tcBorders>
                  <w:noWrap w:val="0"/>
                  <w:vAlign w:val="center"/>
                </w:tcPr>
                <w:p w14:paraId="17E4DC5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00B050"/>
                      <w:kern w:val="0"/>
                      <w:szCs w:val="21"/>
                    </w:rPr>
                  </w:pPr>
                  <w:r>
                    <w:rPr>
                      <w:rFonts w:hint="default" w:ascii="Times New Roman" w:hAnsi="Times New Roman" w:cs="Times New Roman"/>
                      <w:b/>
                      <w:bCs/>
                      <w:color w:val="00B050"/>
                      <w:kern w:val="0"/>
                      <w:szCs w:val="21"/>
                      <w:lang w:val="en-US" w:eastAsia="zh-CN"/>
                    </w:rPr>
                    <w:t>原料</w:t>
                  </w:r>
                  <w:r>
                    <w:rPr>
                      <w:rFonts w:hint="default" w:ascii="Times New Roman" w:hAnsi="Times New Roman" w:cs="Times New Roman"/>
                      <w:b/>
                      <w:bCs/>
                      <w:color w:val="00B050"/>
                      <w:kern w:val="0"/>
                      <w:szCs w:val="21"/>
                    </w:rPr>
                    <w:t>名称</w:t>
                  </w:r>
                </w:p>
              </w:tc>
              <w:tc>
                <w:tcPr>
                  <w:tcW w:w="869" w:type="pct"/>
                  <w:tcBorders>
                    <w:tl2br w:val="nil"/>
                    <w:tr2bl w:val="nil"/>
                  </w:tcBorders>
                  <w:noWrap w:val="0"/>
                  <w:vAlign w:val="center"/>
                </w:tcPr>
                <w:p w14:paraId="18BF52F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00B050"/>
                      <w:kern w:val="0"/>
                      <w:szCs w:val="21"/>
                    </w:rPr>
                  </w:pPr>
                  <w:r>
                    <w:rPr>
                      <w:rFonts w:hint="default" w:ascii="Times New Roman" w:hAnsi="Times New Roman" w:cs="Times New Roman"/>
                      <w:b/>
                      <w:bCs/>
                      <w:color w:val="00B050"/>
                      <w:kern w:val="0"/>
                      <w:szCs w:val="21"/>
                    </w:rPr>
                    <w:t>用量</w:t>
                  </w:r>
                </w:p>
              </w:tc>
              <w:tc>
                <w:tcPr>
                  <w:tcW w:w="1511" w:type="pct"/>
                  <w:tcBorders>
                    <w:tl2br w:val="nil"/>
                    <w:tr2bl w:val="nil"/>
                  </w:tcBorders>
                  <w:noWrap w:val="0"/>
                  <w:vAlign w:val="center"/>
                </w:tcPr>
                <w:p w14:paraId="43AD814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00B050"/>
                      <w:kern w:val="0"/>
                      <w:szCs w:val="21"/>
                    </w:rPr>
                  </w:pPr>
                  <w:r>
                    <w:rPr>
                      <w:rFonts w:hint="default" w:ascii="Times New Roman" w:hAnsi="Times New Roman" w:cs="Times New Roman"/>
                      <w:b/>
                      <w:bCs/>
                      <w:color w:val="00B050"/>
                      <w:kern w:val="0"/>
                      <w:szCs w:val="21"/>
                    </w:rPr>
                    <w:t>挥发分及比例</w:t>
                  </w:r>
                </w:p>
              </w:tc>
              <w:tc>
                <w:tcPr>
                  <w:tcW w:w="1344" w:type="pct"/>
                  <w:tcBorders>
                    <w:tl2br w:val="nil"/>
                    <w:tr2bl w:val="nil"/>
                  </w:tcBorders>
                  <w:noWrap w:val="0"/>
                  <w:vAlign w:val="center"/>
                </w:tcPr>
                <w:p w14:paraId="735E869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00B050"/>
                      <w:kern w:val="0"/>
                      <w:szCs w:val="21"/>
                    </w:rPr>
                  </w:pPr>
                  <w:r>
                    <w:rPr>
                      <w:rFonts w:hint="eastAsia" w:ascii="Times New Roman" w:hAnsi="Times New Roman" w:cs="Times New Roman"/>
                      <w:b/>
                      <w:bCs/>
                      <w:color w:val="00B050"/>
                      <w:kern w:val="0"/>
                      <w:szCs w:val="21"/>
                      <w:lang w:val="en-US" w:eastAsia="zh-CN"/>
                    </w:rPr>
                    <w:t>VOCs</w:t>
                  </w:r>
                  <w:r>
                    <w:rPr>
                      <w:rFonts w:hint="default" w:ascii="Times New Roman" w:hAnsi="Times New Roman" w:cs="Times New Roman"/>
                      <w:b/>
                      <w:bCs/>
                      <w:color w:val="00B050"/>
                      <w:kern w:val="0"/>
                      <w:szCs w:val="21"/>
                      <w:lang w:val="en-US" w:eastAsia="zh-CN"/>
                    </w:rPr>
                    <w:t>最大</w:t>
                  </w:r>
                  <w:r>
                    <w:rPr>
                      <w:rFonts w:hint="default" w:ascii="Times New Roman" w:hAnsi="Times New Roman" w:cs="Times New Roman"/>
                      <w:b/>
                      <w:bCs/>
                      <w:color w:val="00B050"/>
                      <w:kern w:val="0"/>
                      <w:szCs w:val="21"/>
                    </w:rPr>
                    <w:t>产生量（</w:t>
                  </w:r>
                  <w:r>
                    <w:rPr>
                      <w:rFonts w:hint="default" w:ascii="Times New Roman" w:hAnsi="Times New Roman" w:cs="Times New Roman"/>
                      <w:b/>
                      <w:bCs/>
                      <w:color w:val="00B050"/>
                      <w:kern w:val="0"/>
                      <w:szCs w:val="21"/>
                      <w:lang w:val="en-US" w:eastAsia="zh-CN"/>
                    </w:rPr>
                    <w:t>t</w:t>
                  </w:r>
                  <w:r>
                    <w:rPr>
                      <w:rFonts w:hint="default" w:ascii="Times New Roman" w:hAnsi="Times New Roman" w:cs="Times New Roman"/>
                      <w:b/>
                      <w:bCs/>
                      <w:color w:val="00B050"/>
                      <w:kern w:val="0"/>
                      <w:szCs w:val="21"/>
                    </w:rPr>
                    <w:t>/a）</w:t>
                  </w:r>
                </w:p>
              </w:tc>
            </w:tr>
            <w:tr w14:paraId="1F7F1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pct"/>
                  <w:tcBorders>
                    <w:tl2br w:val="nil"/>
                    <w:tr2bl w:val="nil"/>
                  </w:tcBorders>
                  <w:noWrap w:val="0"/>
                  <w:vAlign w:val="center"/>
                </w:tcPr>
                <w:p w14:paraId="4E31B01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B050"/>
                      <w:kern w:val="0"/>
                      <w:szCs w:val="21"/>
                      <w:lang w:eastAsia="zh-CN"/>
                    </w:rPr>
                  </w:pPr>
                  <w:r>
                    <w:rPr>
                      <w:rFonts w:hint="default" w:ascii="Times New Roman" w:hAnsi="Times New Roman" w:cs="Times New Roman"/>
                      <w:color w:val="00B050"/>
                      <w:kern w:val="0"/>
                      <w:szCs w:val="21"/>
                      <w:lang w:val="en-US" w:eastAsia="zh-CN"/>
                    </w:rPr>
                    <w:t>防白水</w:t>
                  </w:r>
                </w:p>
              </w:tc>
              <w:tc>
                <w:tcPr>
                  <w:tcW w:w="869" w:type="pct"/>
                  <w:tcBorders>
                    <w:tl2br w:val="nil"/>
                    <w:tr2bl w:val="nil"/>
                  </w:tcBorders>
                  <w:noWrap w:val="0"/>
                  <w:vAlign w:val="center"/>
                </w:tcPr>
                <w:p w14:paraId="1582EDD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B050"/>
                      <w:kern w:val="0"/>
                      <w:szCs w:val="21"/>
                    </w:rPr>
                  </w:pPr>
                  <w:r>
                    <w:rPr>
                      <w:rFonts w:hint="default" w:ascii="Times New Roman" w:hAnsi="Times New Roman" w:cs="Times New Roman"/>
                      <w:color w:val="00B050"/>
                      <w:kern w:val="0"/>
                      <w:szCs w:val="21"/>
                    </w:rPr>
                    <w:t>0.</w:t>
                  </w:r>
                  <w:r>
                    <w:rPr>
                      <w:rFonts w:hint="default" w:ascii="Times New Roman" w:hAnsi="Times New Roman" w:cs="Times New Roman"/>
                      <w:color w:val="00B050"/>
                      <w:kern w:val="0"/>
                      <w:szCs w:val="21"/>
                      <w:lang w:val="en-US" w:eastAsia="zh-CN"/>
                    </w:rPr>
                    <w:t>0</w:t>
                  </w:r>
                  <w:r>
                    <w:rPr>
                      <w:rFonts w:hint="default" w:ascii="Times New Roman" w:hAnsi="Times New Roman" w:cs="Times New Roman"/>
                      <w:color w:val="00B050"/>
                      <w:kern w:val="0"/>
                      <w:szCs w:val="21"/>
                    </w:rPr>
                    <w:t>1t/a</w:t>
                  </w:r>
                </w:p>
              </w:tc>
              <w:tc>
                <w:tcPr>
                  <w:tcW w:w="1511" w:type="pct"/>
                  <w:tcBorders>
                    <w:tl2br w:val="nil"/>
                    <w:tr2bl w:val="nil"/>
                  </w:tcBorders>
                  <w:noWrap w:val="0"/>
                  <w:vAlign w:val="center"/>
                </w:tcPr>
                <w:p w14:paraId="63DC3EC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B050"/>
                      <w:kern w:val="0"/>
                      <w:szCs w:val="21"/>
                      <w:lang w:val="en-US" w:eastAsia="zh-CN"/>
                    </w:rPr>
                  </w:pPr>
                  <w:r>
                    <w:rPr>
                      <w:rFonts w:hint="default" w:ascii="Times New Roman" w:hAnsi="Times New Roman" w:cs="Times New Roman"/>
                      <w:color w:val="00B050"/>
                      <w:kern w:val="0"/>
                      <w:szCs w:val="21"/>
                    </w:rPr>
                    <w:t>乙二醇单丁醚</w:t>
                  </w:r>
                </w:p>
              </w:tc>
              <w:tc>
                <w:tcPr>
                  <w:tcW w:w="1344" w:type="pct"/>
                  <w:tcBorders>
                    <w:tl2br w:val="nil"/>
                    <w:tr2bl w:val="nil"/>
                  </w:tcBorders>
                  <w:noWrap w:val="0"/>
                  <w:vAlign w:val="center"/>
                </w:tcPr>
                <w:p w14:paraId="1B6316B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B050"/>
                      <w:kern w:val="0"/>
                      <w:szCs w:val="21"/>
                      <w:lang w:val="en-US" w:eastAsia="zh-CN"/>
                    </w:rPr>
                  </w:pPr>
                  <w:r>
                    <w:rPr>
                      <w:rFonts w:hint="default" w:ascii="Times New Roman" w:hAnsi="Times New Roman" w:eastAsia="宋体" w:cs="Times New Roman"/>
                      <w:color w:val="00B050"/>
                      <w:kern w:val="0"/>
                      <w:szCs w:val="21"/>
                      <w:lang w:val="en-US" w:eastAsia="zh-CN"/>
                    </w:rPr>
                    <w:t>0.01</w:t>
                  </w:r>
                </w:p>
              </w:tc>
            </w:tr>
            <w:tr w14:paraId="1A8A4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5" w:type="pct"/>
                  <w:gridSpan w:val="3"/>
                  <w:tcBorders>
                    <w:tl2br w:val="nil"/>
                    <w:tr2bl w:val="nil"/>
                  </w:tcBorders>
                  <w:noWrap w:val="0"/>
                  <w:vAlign w:val="center"/>
                </w:tcPr>
                <w:p w14:paraId="66999D9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val="0"/>
                      <w:bCs/>
                      <w:color w:val="00B050"/>
                      <w:kern w:val="0"/>
                      <w:szCs w:val="21"/>
                    </w:rPr>
                  </w:pPr>
                  <w:r>
                    <w:rPr>
                      <w:rFonts w:hint="default" w:ascii="Times New Roman" w:hAnsi="Times New Roman" w:cs="Times New Roman"/>
                      <w:b w:val="0"/>
                      <w:bCs/>
                      <w:color w:val="00B050"/>
                      <w:kern w:val="0"/>
                      <w:szCs w:val="21"/>
                    </w:rPr>
                    <w:t>合计</w:t>
                  </w:r>
                </w:p>
              </w:tc>
              <w:tc>
                <w:tcPr>
                  <w:tcW w:w="1344" w:type="pct"/>
                  <w:tcBorders>
                    <w:tl2br w:val="nil"/>
                    <w:tr2bl w:val="nil"/>
                  </w:tcBorders>
                  <w:noWrap w:val="0"/>
                  <w:vAlign w:val="center"/>
                </w:tcPr>
                <w:p w14:paraId="391B702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val="0"/>
                      <w:bCs/>
                      <w:color w:val="00B050"/>
                      <w:kern w:val="0"/>
                      <w:szCs w:val="21"/>
                      <w:lang w:val="en-US" w:eastAsia="zh-CN"/>
                    </w:rPr>
                  </w:pPr>
                  <w:r>
                    <w:rPr>
                      <w:rFonts w:hint="default" w:ascii="Times New Roman" w:hAnsi="Times New Roman" w:cs="Times New Roman"/>
                      <w:b w:val="0"/>
                      <w:bCs/>
                      <w:color w:val="00B050"/>
                      <w:kern w:val="0"/>
                      <w:szCs w:val="21"/>
                      <w:lang w:val="en-US" w:eastAsia="zh-CN"/>
                    </w:rPr>
                    <w:t>0.01</w:t>
                  </w:r>
                </w:p>
              </w:tc>
            </w:tr>
          </w:tbl>
          <w:p w14:paraId="74AA3F8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b/>
                <w:bCs/>
                <w:color w:val="00B050"/>
                <w:sz w:val="24"/>
                <w:lang w:val="en-US" w:eastAsia="zh-CN"/>
              </w:rPr>
            </w:pPr>
            <w:r>
              <w:rPr>
                <w:rFonts w:hint="default" w:ascii="Times New Roman" w:hAnsi="Times New Roman" w:cs="Times New Roman"/>
                <w:b w:val="0"/>
                <w:bCs w:val="0"/>
                <w:color w:val="00B050"/>
                <w:sz w:val="24"/>
                <w:lang w:val="en-US" w:eastAsia="zh-CN"/>
              </w:rPr>
              <w:t>项目</w:t>
            </w:r>
            <w:r>
              <w:rPr>
                <w:rFonts w:hint="eastAsia" w:cs="Times New Roman"/>
                <w:b w:val="0"/>
                <w:bCs w:val="0"/>
                <w:color w:val="00B050"/>
                <w:sz w:val="24"/>
                <w:lang w:val="en-US" w:eastAsia="zh-CN"/>
              </w:rPr>
              <w:t>移印工序</w:t>
            </w:r>
            <w:r>
              <w:rPr>
                <w:rFonts w:hint="default" w:ascii="Times New Roman" w:hAnsi="Times New Roman" w:cs="Times New Roman"/>
                <w:b w:val="0"/>
                <w:bCs w:val="0"/>
                <w:color w:val="00B050"/>
                <w:sz w:val="24"/>
                <w:lang w:val="en-US" w:eastAsia="zh-CN"/>
              </w:rPr>
              <w:t>废气产生情况见表4.2-5。</w:t>
            </w:r>
          </w:p>
          <w:p w14:paraId="281AE1A2">
            <w:pPr>
              <w:spacing w:line="240" w:lineRule="auto"/>
              <w:ind w:firstLine="482" w:firstLineChars="200"/>
              <w:jc w:val="center"/>
              <w:rPr>
                <w:rFonts w:hint="default" w:ascii="Times New Roman" w:hAnsi="Times New Roman" w:eastAsia="宋体" w:cs="Times New Roman"/>
                <w:b/>
                <w:color w:val="00B050"/>
                <w:kern w:val="0"/>
                <w:sz w:val="24"/>
                <w:szCs w:val="24"/>
                <w:lang w:val="en-US" w:eastAsia="zh-CN" w:bidi="ar-SA"/>
              </w:rPr>
            </w:pPr>
            <w:r>
              <w:rPr>
                <w:rFonts w:hint="default" w:ascii="Times New Roman" w:hAnsi="Times New Roman" w:eastAsia="宋体" w:cs="Times New Roman"/>
                <w:b/>
                <w:color w:val="00B050"/>
                <w:kern w:val="0"/>
                <w:sz w:val="24"/>
                <w:szCs w:val="24"/>
                <w:lang w:val="en-US" w:eastAsia="zh-CN" w:bidi="ar-SA"/>
              </w:rPr>
              <w:t>表4.2-5   项目</w:t>
            </w:r>
            <w:r>
              <w:rPr>
                <w:rFonts w:hint="eastAsia" w:cs="Times New Roman"/>
                <w:b/>
                <w:color w:val="00B050"/>
                <w:kern w:val="0"/>
                <w:sz w:val="24"/>
                <w:szCs w:val="24"/>
                <w:lang w:val="en-US" w:eastAsia="zh-CN" w:bidi="ar-SA"/>
              </w:rPr>
              <w:t>移印工序</w:t>
            </w:r>
            <w:r>
              <w:rPr>
                <w:rFonts w:hint="default" w:ascii="Times New Roman" w:hAnsi="Times New Roman" w:eastAsia="宋体" w:cs="Times New Roman"/>
                <w:b/>
                <w:color w:val="00B050"/>
                <w:kern w:val="0"/>
                <w:sz w:val="24"/>
                <w:szCs w:val="24"/>
                <w:lang w:val="en-US" w:eastAsia="zh-CN" w:bidi="ar-SA"/>
              </w:rPr>
              <w:t>废气产生汇总表</w:t>
            </w:r>
          </w:p>
          <w:tbl>
            <w:tblPr>
              <w:tblStyle w:val="35"/>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952"/>
              <w:gridCol w:w="2774"/>
              <w:gridCol w:w="2488"/>
            </w:tblGrid>
            <w:tr w14:paraId="45124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455" w:type="pct"/>
                  <w:noWrap w:val="0"/>
                  <w:vAlign w:val="center"/>
                </w:tcPr>
                <w:p w14:paraId="20662DD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B050"/>
                      <w:kern w:val="0"/>
                      <w:szCs w:val="21"/>
                      <w:lang w:val="en-US" w:eastAsia="zh-CN"/>
                    </w:rPr>
                  </w:pPr>
                  <w:r>
                    <w:rPr>
                      <w:rFonts w:hint="default" w:ascii="Times New Roman" w:hAnsi="Times New Roman" w:cs="Times New Roman"/>
                      <w:b/>
                      <w:bCs/>
                      <w:color w:val="00B050"/>
                      <w:kern w:val="0"/>
                      <w:szCs w:val="21"/>
                      <w:lang w:val="en-US" w:eastAsia="zh-CN"/>
                    </w:rPr>
                    <w:t>序号</w:t>
                  </w:r>
                </w:p>
              </w:tc>
              <w:tc>
                <w:tcPr>
                  <w:tcW w:w="1229" w:type="pct"/>
                  <w:noWrap w:val="0"/>
                  <w:vAlign w:val="center"/>
                </w:tcPr>
                <w:p w14:paraId="0057A65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bCs/>
                      <w:color w:val="00B050"/>
                      <w:kern w:val="0"/>
                      <w:szCs w:val="21"/>
                      <w:lang w:val="en-US" w:eastAsia="zh-CN"/>
                    </w:rPr>
                  </w:pPr>
                  <w:r>
                    <w:rPr>
                      <w:rFonts w:hint="default" w:ascii="Times New Roman" w:hAnsi="Times New Roman" w:cs="Times New Roman"/>
                      <w:b/>
                      <w:bCs/>
                      <w:color w:val="00B050"/>
                      <w:kern w:val="0"/>
                      <w:szCs w:val="21"/>
                      <w:lang w:val="en-US" w:eastAsia="zh-CN"/>
                    </w:rPr>
                    <w:t>废气来源</w:t>
                  </w:r>
                </w:p>
              </w:tc>
              <w:tc>
                <w:tcPr>
                  <w:tcW w:w="1747" w:type="pct"/>
                  <w:noWrap w:val="0"/>
                  <w:vAlign w:val="center"/>
                </w:tcPr>
                <w:p w14:paraId="330A29A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00B050"/>
                      <w:kern w:val="0"/>
                      <w:szCs w:val="21"/>
                    </w:rPr>
                  </w:pPr>
                  <w:r>
                    <w:rPr>
                      <w:rFonts w:hint="eastAsia" w:ascii="Times New Roman" w:hAnsi="Times New Roman" w:cs="Times New Roman"/>
                      <w:b/>
                      <w:bCs/>
                      <w:color w:val="00B050"/>
                      <w:kern w:val="0"/>
                      <w:szCs w:val="21"/>
                      <w:lang w:val="en-US" w:eastAsia="zh-CN"/>
                    </w:rPr>
                    <w:t>VOCs</w:t>
                  </w:r>
                  <w:r>
                    <w:rPr>
                      <w:rFonts w:hint="default" w:ascii="Times New Roman" w:hAnsi="Times New Roman" w:cs="Times New Roman"/>
                      <w:b/>
                      <w:bCs/>
                      <w:color w:val="00B050"/>
                      <w:kern w:val="0"/>
                      <w:szCs w:val="21"/>
                      <w:lang w:val="en-US" w:eastAsia="zh-CN"/>
                    </w:rPr>
                    <w:t>最大</w:t>
                  </w:r>
                  <w:r>
                    <w:rPr>
                      <w:rFonts w:hint="default" w:ascii="Times New Roman" w:hAnsi="Times New Roman" w:cs="Times New Roman"/>
                      <w:b/>
                      <w:bCs/>
                      <w:color w:val="00B050"/>
                      <w:kern w:val="0"/>
                      <w:szCs w:val="21"/>
                    </w:rPr>
                    <w:t>产生量（</w:t>
                  </w:r>
                  <w:r>
                    <w:rPr>
                      <w:rFonts w:hint="default" w:ascii="Times New Roman" w:hAnsi="Times New Roman" w:cs="Times New Roman"/>
                      <w:b/>
                      <w:bCs/>
                      <w:color w:val="00B050"/>
                      <w:kern w:val="0"/>
                      <w:szCs w:val="21"/>
                      <w:lang w:val="en-US" w:eastAsia="zh-CN"/>
                    </w:rPr>
                    <w:t>t</w:t>
                  </w:r>
                  <w:r>
                    <w:rPr>
                      <w:rFonts w:hint="default" w:ascii="Times New Roman" w:hAnsi="Times New Roman" w:cs="Times New Roman"/>
                      <w:b/>
                      <w:bCs/>
                      <w:color w:val="00B050"/>
                      <w:kern w:val="0"/>
                      <w:szCs w:val="21"/>
                    </w:rPr>
                    <w:t>/a）</w:t>
                  </w:r>
                </w:p>
              </w:tc>
              <w:tc>
                <w:tcPr>
                  <w:tcW w:w="1567" w:type="pct"/>
                  <w:noWrap w:val="0"/>
                  <w:vAlign w:val="center"/>
                </w:tcPr>
                <w:p w14:paraId="3A69850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b/>
                      <w:bCs/>
                      <w:color w:val="00B050"/>
                      <w:kern w:val="0"/>
                      <w:szCs w:val="21"/>
                      <w:lang w:val="en-US" w:eastAsia="zh-CN"/>
                    </w:rPr>
                  </w:pPr>
                  <w:r>
                    <w:rPr>
                      <w:rFonts w:hint="eastAsia" w:ascii="Times New Roman" w:hAnsi="Times New Roman" w:cs="Times New Roman"/>
                      <w:b/>
                      <w:bCs/>
                      <w:color w:val="00B050"/>
                      <w:kern w:val="0"/>
                      <w:szCs w:val="21"/>
                      <w:lang w:val="en-US" w:eastAsia="zh-CN"/>
                    </w:rPr>
                    <w:t>苯系物最大产生量</w:t>
                  </w:r>
                  <w:r>
                    <w:rPr>
                      <w:rFonts w:hint="default" w:ascii="Times New Roman" w:hAnsi="Times New Roman" w:cs="Times New Roman"/>
                      <w:b/>
                      <w:bCs/>
                      <w:color w:val="00B050"/>
                      <w:kern w:val="0"/>
                      <w:szCs w:val="21"/>
                    </w:rPr>
                    <w:t>（</w:t>
                  </w:r>
                  <w:r>
                    <w:rPr>
                      <w:rFonts w:hint="default" w:ascii="Times New Roman" w:hAnsi="Times New Roman" w:cs="Times New Roman"/>
                      <w:b/>
                      <w:bCs/>
                      <w:color w:val="00B050"/>
                      <w:kern w:val="0"/>
                      <w:szCs w:val="21"/>
                      <w:lang w:val="en-US" w:eastAsia="zh-CN"/>
                    </w:rPr>
                    <w:t>t</w:t>
                  </w:r>
                  <w:r>
                    <w:rPr>
                      <w:rFonts w:hint="default" w:ascii="Times New Roman" w:hAnsi="Times New Roman" w:cs="Times New Roman"/>
                      <w:b/>
                      <w:bCs/>
                      <w:color w:val="00B050"/>
                      <w:kern w:val="0"/>
                      <w:szCs w:val="21"/>
                    </w:rPr>
                    <w:t>/a）</w:t>
                  </w:r>
                </w:p>
              </w:tc>
            </w:tr>
            <w:tr w14:paraId="430C5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455" w:type="pct"/>
                  <w:noWrap w:val="0"/>
                  <w:vAlign w:val="center"/>
                </w:tcPr>
                <w:p w14:paraId="68DA048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B050"/>
                      <w:kern w:val="0"/>
                      <w:sz w:val="21"/>
                      <w:szCs w:val="21"/>
                      <w:lang w:val="en-US" w:eastAsia="zh-CN"/>
                    </w:rPr>
                  </w:pPr>
                  <w:r>
                    <w:rPr>
                      <w:rFonts w:hint="default" w:ascii="Times New Roman" w:hAnsi="Times New Roman" w:eastAsia="宋体" w:cs="Times New Roman"/>
                      <w:color w:val="00B050"/>
                      <w:kern w:val="0"/>
                      <w:sz w:val="21"/>
                      <w:szCs w:val="21"/>
                      <w:lang w:val="en-US" w:eastAsia="zh-CN"/>
                    </w:rPr>
                    <w:t>1</w:t>
                  </w:r>
                </w:p>
              </w:tc>
              <w:tc>
                <w:tcPr>
                  <w:tcW w:w="1229" w:type="pct"/>
                  <w:noWrap w:val="0"/>
                  <w:vAlign w:val="center"/>
                </w:tcPr>
                <w:p w14:paraId="03297C0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B050"/>
                      <w:kern w:val="0"/>
                      <w:sz w:val="21"/>
                      <w:szCs w:val="21"/>
                    </w:rPr>
                  </w:pPr>
                  <w:r>
                    <w:rPr>
                      <w:rFonts w:hint="default" w:ascii="Times New Roman" w:hAnsi="Times New Roman" w:cs="Times New Roman"/>
                      <w:color w:val="00B050"/>
                      <w:kern w:val="0"/>
                      <w:sz w:val="21"/>
                      <w:szCs w:val="21"/>
                      <w:highlight w:val="none"/>
                      <w:lang w:val="en-US" w:eastAsia="zh-CN"/>
                    </w:rPr>
                    <w:t>印刷和烘烤废气</w:t>
                  </w:r>
                </w:p>
              </w:tc>
              <w:tc>
                <w:tcPr>
                  <w:tcW w:w="1747" w:type="pct"/>
                  <w:noWrap w:val="0"/>
                  <w:vAlign w:val="center"/>
                </w:tcPr>
                <w:p w14:paraId="7172284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B050"/>
                      <w:kern w:val="0"/>
                      <w:sz w:val="21"/>
                      <w:szCs w:val="21"/>
                      <w:lang w:val="en-US" w:eastAsia="zh-CN"/>
                    </w:rPr>
                  </w:pPr>
                  <w:r>
                    <w:rPr>
                      <w:rFonts w:hint="default" w:ascii="Times New Roman" w:hAnsi="Times New Roman" w:eastAsia="宋体" w:cs="Times New Roman"/>
                      <w:color w:val="00B050"/>
                      <w:kern w:val="0"/>
                      <w:sz w:val="21"/>
                      <w:szCs w:val="21"/>
                      <w:lang w:val="en-US" w:eastAsia="zh-CN"/>
                    </w:rPr>
                    <w:t>0.1883</w:t>
                  </w:r>
                </w:p>
              </w:tc>
              <w:tc>
                <w:tcPr>
                  <w:tcW w:w="1567" w:type="pct"/>
                  <w:noWrap w:val="0"/>
                  <w:vAlign w:val="center"/>
                </w:tcPr>
                <w:p w14:paraId="34DE192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B050"/>
                      <w:kern w:val="0"/>
                      <w:sz w:val="21"/>
                      <w:szCs w:val="21"/>
                      <w:lang w:val="en-US" w:eastAsia="zh-CN"/>
                    </w:rPr>
                  </w:pPr>
                  <w:r>
                    <w:rPr>
                      <w:rFonts w:hint="eastAsia" w:ascii="Times New Roman" w:hAnsi="Times New Roman" w:eastAsia="宋体" w:cs="Times New Roman"/>
                      <w:color w:val="00B050"/>
                      <w:kern w:val="0"/>
                      <w:sz w:val="21"/>
                      <w:szCs w:val="21"/>
                      <w:lang w:val="en-US" w:eastAsia="zh-CN"/>
                    </w:rPr>
                    <w:t>/</w:t>
                  </w:r>
                </w:p>
              </w:tc>
            </w:tr>
            <w:tr w14:paraId="60EED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455" w:type="pct"/>
                  <w:noWrap w:val="0"/>
                  <w:vAlign w:val="center"/>
                </w:tcPr>
                <w:p w14:paraId="1C0DFF6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B050"/>
                      <w:kern w:val="0"/>
                      <w:sz w:val="21"/>
                      <w:szCs w:val="21"/>
                      <w:lang w:val="en-US" w:eastAsia="zh-CN"/>
                    </w:rPr>
                  </w:pPr>
                  <w:r>
                    <w:rPr>
                      <w:rFonts w:hint="default" w:ascii="Times New Roman" w:hAnsi="Times New Roman" w:eastAsia="宋体" w:cs="Times New Roman"/>
                      <w:color w:val="00B050"/>
                      <w:kern w:val="0"/>
                      <w:sz w:val="21"/>
                      <w:szCs w:val="21"/>
                      <w:lang w:val="en-US" w:eastAsia="zh-CN"/>
                    </w:rPr>
                    <w:t>2</w:t>
                  </w:r>
                </w:p>
              </w:tc>
              <w:tc>
                <w:tcPr>
                  <w:tcW w:w="1229" w:type="pct"/>
                  <w:noWrap w:val="0"/>
                  <w:vAlign w:val="center"/>
                </w:tcPr>
                <w:p w14:paraId="06805A9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B050"/>
                      <w:kern w:val="0"/>
                      <w:sz w:val="21"/>
                      <w:szCs w:val="21"/>
                      <w:highlight w:val="none"/>
                      <w:lang w:val="en-US" w:eastAsia="zh-CN"/>
                    </w:rPr>
                  </w:pPr>
                  <w:r>
                    <w:rPr>
                      <w:rFonts w:hint="default" w:ascii="Times New Roman" w:hAnsi="Times New Roman" w:cs="Times New Roman"/>
                      <w:color w:val="00B050"/>
                      <w:kern w:val="0"/>
                      <w:sz w:val="21"/>
                      <w:szCs w:val="21"/>
                      <w:highlight w:val="none"/>
                      <w:lang w:val="en-US" w:eastAsia="zh-CN"/>
                    </w:rPr>
                    <w:t>擦版废气</w:t>
                  </w:r>
                </w:p>
              </w:tc>
              <w:tc>
                <w:tcPr>
                  <w:tcW w:w="1747" w:type="pct"/>
                  <w:noWrap w:val="0"/>
                  <w:vAlign w:val="center"/>
                </w:tcPr>
                <w:p w14:paraId="635DB1B4">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B050"/>
                      <w:kern w:val="0"/>
                      <w:sz w:val="21"/>
                      <w:szCs w:val="21"/>
                      <w:highlight w:val="none"/>
                      <w:lang w:val="en-US" w:eastAsia="zh-CN"/>
                    </w:rPr>
                  </w:pPr>
                  <w:r>
                    <w:rPr>
                      <w:rFonts w:hint="default" w:ascii="Times New Roman" w:hAnsi="Times New Roman" w:eastAsia="宋体" w:cs="Times New Roman"/>
                      <w:color w:val="00B050"/>
                      <w:kern w:val="0"/>
                      <w:sz w:val="21"/>
                      <w:szCs w:val="21"/>
                      <w:highlight w:val="none"/>
                      <w:lang w:val="en-US" w:eastAsia="zh-CN"/>
                    </w:rPr>
                    <w:t>0.00</w:t>
                  </w:r>
                  <w:r>
                    <w:rPr>
                      <w:rFonts w:hint="eastAsia" w:ascii="Times New Roman" w:hAnsi="Times New Roman" w:eastAsia="宋体" w:cs="Times New Roman"/>
                      <w:color w:val="00B050"/>
                      <w:kern w:val="0"/>
                      <w:sz w:val="21"/>
                      <w:szCs w:val="21"/>
                      <w:highlight w:val="none"/>
                      <w:lang w:val="en-US" w:eastAsia="zh-CN"/>
                    </w:rPr>
                    <w:t>37</w:t>
                  </w:r>
                </w:p>
              </w:tc>
              <w:tc>
                <w:tcPr>
                  <w:tcW w:w="1567" w:type="pct"/>
                  <w:noWrap w:val="0"/>
                  <w:vAlign w:val="center"/>
                </w:tcPr>
                <w:p w14:paraId="1021A32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B050"/>
                      <w:kern w:val="0"/>
                      <w:sz w:val="21"/>
                      <w:szCs w:val="21"/>
                      <w:highlight w:val="none"/>
                      <w:lang w:val="en-US" w:eastAsia="zh-CN"/>
                    </w:rPr>
                  </w:pPr>
                  <w:r>
                    <w:rPr>
                      <w:rFonts w:hint="eastAsia" w:ascii="Times New Roman" w:hAnsi="Times New Roman" w:eastAsia="宋体" w:cs="Times New Roman"/>
                      <w:color w:val="00B050"/>
                      <w:kern w:val="0"/>
                      <w:sz w:val="21"/>
                      <w:szCs w:val="21"/>
                      <w:highlight w:val="none"/>
                      <w:lang w:val="en-US" w:eastAsia="zh-CN"/>
                    </w:rPr>
                    <w:t>0.0045</w:t>
                  </w:r>
                </w:p>
              </w:tc>
            </w:tr>
            <w:tr w14:paraId="79A0E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455" w:type="pct"/>
                  <w:noWrap w:val="0"/>
                  <w:vAlign w:val="center"/>
                </w:tcPr>
                <w:p w14:paraId="30FAD90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B050"/>
                      <w:kern w:val="0"/>
                      <w:sz w:val="21"/>
                      <w:szCs w:val="21"/>
                      <w:lang w:val="en-US" w:eastAsia="zh-CN"/>
                    </w:rPr>
                  </w:pPr>
                  <w:r>
                    <w:rPr>
                      <w:rFonts w:hint="default" w:ascii="Times New Roman" w:hAnsi="Times New Roman" w:eastAsia="宋体" w:cs="Times New Roman"/>
                      <w:color w:val="00B050"/>
                      <w:kern w:val="0"/>
                      <w:sz w:val="21"/>
                      <w:szCs w:val="21"/>
                      <w:lang w:val="en-US" w:eastAsia="zh-CN"/>
                    </w:rPr>
                    <w:t>3</w:t>
                  </w:r>
                </w:p>
              </w:tc>
              <w:tc>
                <w:tcPr>
                  <w:tcW w:w="1229" w:type="pct"/>
                  <w:noWrap w:val="0"/>
                  <w:vAlign w:val="center"/>
                </w:tcPr>
                <w:p w14:paraId="5344753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B050"/>
                      <w:kern w:val="0"/>
                      <w:sz w:val="21"/>
                      <w:szCs w:val="21"/>
                      <w:lang w:val="en-US" w:eastAsia="zh-CN"/>
                    </w:rPr>
                  </w:pPr>
                  <w:r>
                    <w:rPr>
                      <w:rFonts w:hint="default" w:ascii="Times New Roman" w:hAnsi="Times New Roman" w:cs="Times New Roman"/>
                      <w:color w:val="00B050"/>
                      <w:kern w:val="0"/>
                      <w:sz w:val="21"/>
                      <w:szCs w:val="21"/>
                      <w:lang w:val="en-US" w:eastAsia="zh-CN"/>
                    </w:rPr>
                    <w:t>擦油墨废气</w:t>
                  </w:r>
                </w:p>
              </w:tc>
              <w:tc>
                <w:tcPr>
                  <w:tcW w:w="1747" w:type="pct"/>
                  <w:noWrap w:val="0"/>
                  <w:vAlign w:val="center"/>
                </w:tcPr>
                <w:p w14:paraId="6EE129A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B050"/>
                      <w:kern w:val="0"/>
                      <w:sz w:val="21"/>
                      <w:szCs w:val="21"/>
                      <w:lang w:val="en-US" w:eastAsia="zh-CN"/>
                    </w:rPr>
                  </w:pPr>
                  <w:r>
                    <w:rPr>
                      <w:rFonts w:hint="default" w:ascii="Times New Roman" w:hAnsi="Times New Roman" w:eastAsia="宋体" w:cs="Times New Roman"/>
                      <w:color w:val="00B050"/>
                      <w:kern w:val="0"/>
                      <w:sz w:val="21"/>
                      <w:szCs w:val="21"/>
                      <w:lang w:val="en-US" w:eastAsia="zh-CN"/>
                    </w:rPr>
                    <w:t>0.01</w:t>
                  </w:r>
                </w:p>
              </w:tc>
              <w:tc>
                <w:tcPr>
                  <w:tcW w:w="1567" w:type="pct"/>
                  <w:noWrap w:val="0"/>
                  <w:vAlign w:val="center"/>
                </w:tcPr>
                <w:p w14:paraId="1E8DD4D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B050"/>
                      <w:kern w:val="0"/>
                      <w:sz w:val="21"/>
                      <w:szCs w:val="21"/>
                      <w:lang w:val="en-US" w:eastAsia="zh-CN"/>
                    </w:rPr>
                  </w:pPr>
                  <w:r>
                    <w:rPr>
                      <w:rFonts w:hint="eastAsia" w:ascii="Times New Roman" w:hAnsi="Times New Roman" w:eastAsia="宋体" w:cs="Times New Roman"/>
                      <w:color w:val="00B050"/>
                      <w:kern w:val="0"/>
                      <w:sz w:val="21"/>
                      <w:szCs w:val="21"/>
                      <w:lang w:val="en-US" w:eastAsia="zh-CN"/>
                    </w:rPr>
                    <w:t>/</w:t>
                  </w:r>
                </w:p>
              </w:tc>
            </w:tr>
            <w:tr w14:paraId="30245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1685" w:type="pct"/>
                  <w:gridSpan w:val="2"/>
                  <w:noWrap w:val="0"/>
                  <w:vAlign w:val="center"/>
                </w:tcPr>
                <w:p w14:paraId="515D112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B050"/>
                      <w:kern w:val="0"/>
                      <w:sz w:val="21"/>
                      <w:szCs w:val="21"/>
                      <w:lang w:val="en-US" w:eastAsia="zh-CN"/>
                    </w:rPr>
                  </w:pPr>
                  <w:r>
                    <w:rPr>
                      <w:rFonts w:hint="default" w:ascii="Times New Roman" w:hAnsi="Times New Roman" w:cs="Times New Roman"/>
                      <w:color w:val="00B050"/>
                      <w:kern w:val="0"/>
                      <w:sz w:val="21"/>
                      <w:szCs w:val="21"/>
                      <w:lang w:val="en-US" w:eastAsia="zh-CN"/>
                    </w:rPr>
                    <w:t>合计</w:t>
                  </w:r>
                </w:p>
              </w:tc>
              <w:tc>
                <w:tcPr>
                  <w:tcW w:w="1747" w:type="pct"/>
                  <w:noWrap w:val="0"/>
                  <w:vAlign w:val="center"/>
                </w:tcPr>
                <w:p w14:paraId="0E50642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B050"/>
                      <w:kern w:val="2"/>
                      <w:sz w:val="21"/>
                      <w:szCs w:val="21"/>
                      <w:u w:val="none"/>
                      <w:lang w:val="en-US" w:eastAsia="zh-CN" w:bidi="ar-SA"/>
                    </w:rPr>
                  </w:pPr>
                  <w:r>
                    <w:rPr>
                      <w:rFonts w:hint="default" w:ascii="Times New Roman" w:hAnsi="Times New Roman" w:eastAsia="宋体" w:cs="Times New Roman"/>
                      <w:i w:val="0"/>
                      <w:iCs w:val="0"/>
                      <w:color w:val="00B050"/>
                      <w:kern w:val="0"/>
                      <w:sz w:val="21"/>
                      <w:szCs w:val="21"/>
                      <w:u w:val="none"/>
                      <w:lang w:val="en-US" w:eastAsia="zh-CN" w:bidi="ar"/>
                    </w:rPr>
                    <w:t>0.20</w:t>
                  </w:r>
                  <w:r>
                    <w:rPr>
                      <w:rFonts w:hint="eastAsia" w:ascii="Times New Roman" w:hAnsi="Times New Roman" w:eastAsia="宋体" w:cs="Times New Roman"/>
                      <w:i w:val="0"/>
                      <w:iCs w:val="0"/>
                      <w:color w:val="00B050"/>
                      <w:kern w:val="0"/>
                      <w:sz w:val="21"/>
                      <w:szCs w:val="21"/>
                      <w:u w:val="none"/>
                      <w:lang w:val="en-US" w:eastAsia="zh-CN" w:bidi="ar"/>
                    </w:rPr>
                    <w:t>2</w:t>
                  </w:r>
                </w:p>
              </w:tc>
              <w:tc>
                <w:tcPr>
                  <w:tcW w:w="1567" w:type="pct"/>
                  <w:noWrap w:val="0"/>
                  <w:vAlign w:val="center"/>
                </w:tcPr>
                <w:p w14:paraId="2478EA0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eastAsia" w:ascii="Times New Roman" w:hAnsi="Times New Roman" w:eastAsia="宋体" w:cs="Times New Roman"/>
                      <w:color w:val="00B050"/>
                      <w:kern w:val="0"/>
                      <w:sz w:val="21"/>
                      <w:szCs w:val="21"/>
                      <w:highlight w:val="none"/>
                      <w:lang w:val="en-US" w:eastAsia="zh-CN"/>
                    </w:rPr>
                    <w:t>0.0045</w:t>
                  </w:r>
                </w:p>
              </w:tc>
            </w:tr>
          </w:tbl>
          <w:p w14:paraId="53ECF9DB">
            <w:pPr>
              <w:keepNext w:val="0"/>
              <w:keepLines w:val="0"/>
              <w:pageBreakBefore w:val="0"/>
              <w:widowControl w:val="0"/>
              <w:numPr>
                <w:ilvl w:val="0"/>
                <w:numId w:val="0"/>
              </w:numPr>
              <w:kinsoku/>
              <w:wordWrap/>
              <w:overflowPunct/>
              <w:topLinePunct w:val="0"/>
              <w:bidi w:val="0"/>
              <w:spacing w:line="360" w:lineRule="auto"/>
              <w:ind w:firstLine="480" w:firstLineChars="200"/>
              <w:jc w:val="left"/>
              <w:rPr>
                <w:rFonts w:hint="default" w:ascii="Times New Roman" w:hAnsi="Times New Roman" w:cs="Times New Roman"/>
                <w:bCs/>
                <w:color w:val="00B050"/>
                <w:sz w:val="24"/>
              </w:rPr>
            </w:pPr>
            <w:r>
              <w:rPr>
                <w:rFonts w:hint="default" w:ascii="Times New Roman" w:hAnsi="Times New Roman" w:eastAsia="宋体" w:cs="Times New Roman"/>
                <w:bCs/>
                <w:color w:val="00B050"/>
                <w:kern w:val="2"/>
                <w:sz w:val="24"/>
                <w:szCs w:val="24"/>
                <w:lang w:val="en-US" w:eastAsia="zh-CN" w:bidi="ar-SA"/>
              </w:rPr>
              <w:t>5）</w:t>
            </w:r>
            <w:r>
              <w:rPr>
                <w:rFonts w:hint="default" w:ascii="Times New Roman" w:hAnsi="Times New Roman" w:cs="Times New Roman"/>
                <w:b/>
                <w:bCs/>
                <w:color w:val="00B050"/>
                <w:sz w:val="24"/>
              </w:rPr>
              <w:t>废气收集方式及设计风量</w:t>
            </w:r>
            <w:r>
              <w:rPr>
                <w:rFonts w:hint="default" w:ascii="Times New Roman" w:hAnsi="Times New Roman" w:cs="Times New Roman"/>
                <w:bCs/>
                <w:color w:val="00B050"/>
                <w:sz w:val="24"/>
              </w:rPr>
              <w:t>：</w:t>
            </w:r>
          </w:p>
          <w:p w14:paraId="78436811">
            <w:pPr>
              <w:keepNext w:val="0"/>
              <w:keepLines w:val="0"/>
              <w:pageBreakBefore w:val="0"/>
              <w:widowControl w:val="0"/>
              <w:numPr>
                <w:ilvl w:val="0"/>
                <w:numId w:val="0"/>
              </w:numPr>
              <w:kinsoku/>
              <w:wordWrap/>
              <w:overflowPunct/>
              <w:topLinePunct w:val="0"/>
              <w:bidi w:val="0"/>
              <w:spacing w:line="360" w:lineRule="auto"/>
              <w:ind w:firstLine="480" w:firstLineChars="200"/>
              <w:jc w:val="left"/>
              <w:rPr>
                <w:rFonts w:hint="eastAsia" w:cs="Times New Roman"/>
                <w:bCs/>
                <w:color w:val="00B050"/>
                <w:kern w:val="2"/>
                <w:sz w:val="24"/>
                <w:szCs w:val="24"/>
                <w:lang w:val="en-US" w:eastAsia="zh-CN" w:bidi="ar-SA"/>
              </w:rPr>
            </w:pPr>
            <w:r>
              <w:rPr>
                <w:rFonts w:hint="eastAsia" w:cs="Times New Roman"/>
                <w:bCs/>
                <w:color w:val="00B050"/>
                <w:kern w:val="2"/>
                <w:sz w:val="24"/>
                <w:szCs w:val="24"/>
                <w:lang w:val="en-US" w:eastAsia="zh-CN" w:bidi="ar-SA"/>
              </w:rPr>
              <w:t>1、路由器注塑工序风量核算：</w:t>
            </w:r>
          </w:p>
          <w:p w14:paraId="4E299B2B">
            <w:pPr>
              <w:keepNext w:val="0"/>
              <w:keepLines w:val="0"/>
              <w:pageBreakBefore w:val="0"/>
              <w:widowControl w:val="0"/>
              <w:numPr>
                <w:ilvl w:val="0"/>
                <w:numId w:val="0"/>
              </w:numPr>
              <w:kinsoku/>
              <w:wordWrap/>
              <w:overflowPunct/>
              <w:topLinePunct w:val="0"/>
              <w:bidi w:val="0"/>
              <w:spacing w:line="360" w:lineRule="auto"/>
              <w:ind w:firstLine="480" w:firstLineChars="200"/>
              <w:jc w:val="left"/>
              <w:rPr>
                <w:rFonts w:hint="default" w:ascii="Times New Roman" w:hAnsi="Times New Roman" w:cs="Times New Roman"/>
                <w:bCs/>
                <w:color w:val="00B050"/>
                <w:sz w:val="24"/>
              </w:rPr>
            </w:pPr>
            <w:r>
              <w:rPr>
                <w:rFonts w:hint="eastAsia" w:cs="Times New Roman"/>
                <w:bCs/>
                <w:color w:val="00B050"/>
                <w:sz w:val="24"/>
                <w:lang w:val="en-US" w:eastAsia="zh-CN"/>
              </w:rPr>
              <w:t>路由器注塑</w:t>
            </w:r>
            <w:r>
              <w:rPr>
                <w:rFonts w:hint="default" w:ascii="Times New Roman" w:hAnsi="Times New Roman" w:cs="Times New Roman"/>
                <w:bCs/>
                <w:color w:val="00B050"/>
                <w:sz w:val="24"/>
              </w:rPr>
              <w:t>设有</w:t>
            </w:r>
            <w:r>
              <w:rPr>
                <w:rFonts w:hint="eastAsia" w:cs="Times New Roman"/>
                <w:bCs/>
                <w:color w:val="00B050"/>
                <w:sz w:val="24"/>
                <w:lang w:val="en-US" w:eastAsia="zh-CN"/>
              </w:rPr>
              <w:t>16</w:t>
            </w:r>
            <w:r>
              <w:rPr>
                <w:rFonts w:hint="default" w:ascii="Times New Roman" w:hAnsi="Times New Roman" w:cs="Times New Roman"/>
                <w:bCs/>
                <w:color w:val="00B050"/>
                <w:sz w:val="24"/>
              </w:rPr>
              <w:t>台注塑机</w:t>
            </w:r>
            <w:r>
              <w:rPr>
                <w:rFonts w:hint="default" w:ascii="Times New Roman" w:hAnsi="Times New Roman" w:cs="Times New Roman"/>
                <w:bCs/>
                <w:color w:val="00B050"/>
                <w:sz w:val="24"/>
                <w:lang w:val="en-US" w:eastAsia="zh-CN"/>
              </w:rPr>
              <w:t>，</w:t>
            </w:r>
            <w:r>
              <w:rPr>
                <w:rFonts w:hint="default" w:ascii="Times New Roman" w:hAnsi="Times New Roman" w:cs="Times New Roman"/>
                <w:bCs/>
                <w:color w:val="00B050"/>
                <w:sz w:val="24"/>
              </w:rPr>
              <w:t>拟在每台</w:t>
            </w:r>
            <w:r>
              <w:rPr>
                <w:rFonts w:hint="default" w:ascii="Times New Roman" w:hAnsi="Times New Roman" w:cs="Times New Roman"/>
                <w:bCs/>
                <w:color w:val="00B050"/>
                <w:sz w:val="24"/>
                <w:lang w:val="en-US" w:eastAsia="zh-CN"/>
              </w:rPr>
              <w:t>设备</w:t>
            </w:r>
            <w:r>
              <w:rPr>
                <w:rFonts w:hint="default" w:ascii="Times New Roman" w:hAnsi="Times New Roman" w:cs="Times New Roman"/>
                <w:bCs/>
                <w:color w:val="00B050"/>
                <w:sz w:val="24"/>
              </w:rPr>
              <w:t>的出料口上方设置集气罩，对注塑废气进行收集。</w:t>
            </w:r>
          </w:p>
          <w:p w14:paraId="2AEB5B78">
            <w:pPr>
              <w:pStyle w:val="14"/>
              <w:keepNext w:val="0"/>
              <w:keepLines w:val="0"/>
              <w:pageBreakBefore w:val="0"/>
              <w:widowControl w:val="0"/>
              <w:kinsoku/>
              <w:wordWrap/>
              <w:overflowPunct/>
              <w:topLinePunct w:val="0"/>
              <w:bidi w:val="0"/>
              <w:snapToGrid/>
              <w:spacing w:before="0" w:after="0" w:line="360" w:lineRule="auto"/>
              <w:ind w:right="0" w:firstLine="480" w:firstLineChars="200"/>
              <w:rPr>
                <w:rFonts w:hint="default" w:ascii="Times New Roman" w:hAnsi="Times New Roman" w:cs="Times New Roman"/>
                <w:color w:val="00B050"/>
                <w:kern w:val="2"/>
                <w:sz w:val="24"/>
                <w:szCs w:val="24"/>
              </w:rPr>
            </w:pPr>
            <w:r>
              <w:rPr>
                <w:rFonts w:hint="default" w:ascii="Times New Roman" w:hAnsi="Times New Roman" w:cs="Times New Roman"/>
                <w:color w:val="00B050"/>
                <w:kern w:val="2"/>
                <w:sz w:val="24"/>
                <w:szCs w:val="24"/>
              </w:rPr>
              <w:t>本项目每个注塑机开模处设置1个上部伞形集气罩对注塑废气进行收集，集气罩内径为0.3m。根据《废气处理工程技术手册》</w:t>
            </w:r>
            <w:r>
              <w:rPr>
                <w:rFonts w:hint="default" w:ascii="Times New Roman" w:hAnsi="Times New Roman" w:cs="Times New Roman"/>
                <w:color w:val="00B050"/>
                <w:sz w:val="24"/>
                <w:szCs w:val="24"/>
              </w:rPr>
              <w:t>（化学工业出版社，2012.11，王纯、张殿印主编）</w:t>
            </w:r>
            <w:r>
              <w:rPr>
                <w:rFonts w:hint="default" w:ascii="Times New Roman" w:hAnsi="Times New Roman" w:cs="Times New Roman"/>
                <w:color w:val="00B050"/>
                <w:kern w:val="2"/>
                <w:sz w:val="24"/>
                <w:szCs w:val="24"/>
              </w:rPr>
              <w:t>。</w:t>
            </w:r>
          </w:p>
          <w:p w14:paraId="42BF4393">
            <w:pPr>
              <w:pStyle w:val="14"/>
              <w:keepNext w:val="0"/>
              <w:keepLines w:val="0"/>
              <w:pageBreakBefore w:val="0"/>
              <w:widowControl w:val="0"/>
              <w:kinsoku/>
              <w:wordWrap/>
              <w:overflowPunct/>
              <w:topLinePunct w:val="0"/>
              <w:bidi w:val="0"/>
              <w:snapToGrid/>
              <w:spacing w:before="0" w:after="0" w:line="360" w:lineRule="auto"/>
              <w:ind w:right="0" w:firstLine="480" w:firstLineChars="200"/>
              <w:rPr>
                <w:rFonts w:hint="default" w:ascii="Times New Roman" w:hAnsi="Times New Roman" w:cs="Times New Roman"/>
                <w:color w:val="00B050"/>
                <w:sz w:val="24"/>
                <w:szCs w:val="24"/>
              </w:rPr>
            </w:pPr>
            <w:r>
              <w:rPr>
                <w:rFonts w:hint="default" w:ascii="Times New Roman" w:hAnsi="Times New Roman" w:cs="Times New Roman"/>
                <w:color w:val="00B050"/>
                <w:sz w:val="24"/>
                <w:szCs w:val="24"/>
              </w:rPr>
              <w:t>根据该手册，上部伞形罩排气量计算公式如下：</w:t>
            </w:r>
          </w:p>
          <w:p w14:paraId="586DDC1F">
            <w:pPr>
              <w:pStyle w:val="229"/>
              <w:keepNext w:val="0"/>
              <w:keepLines w:val="0"/>
              <w:pageBreakBefore w:val="0"/>
              <w:widowControl w:val="0"/>
              <w:kinsoku/>
              <w:wordWrap/>
              <w:overflowPunct/>
              <w:topLinePunct w:val="0"/>
              <w:autoSpaceDE w:val="0"/>
              <w:autoSpaceDN w:val="0"/>
              <w:bidi w:val="0"/>
              <w:adjustRightInd w:val="0"/>
              <w:spacing w:line="360" w:lineRule="auto"/>
              <w:ind w:firstLine="480"/>
              <w:jc w:val="center"/>
              <w:textAlignment w:val="baseline"/>
              <w:rPr>
                <w:rFonts w:hint="default" w:ascii="Times New Roman" w:hAnsi="Times New Roman" w:cs="Times New Roman"/>
                <w:color w:val="00B050"/>
                <w:sz w:val="28"/>
                <w:szCs w:val="28"/>
              </w:rPr>
            </w:pPr>
            <w:r>
              <w:rPr>
                <w:rFonts w:hint="default" w:ascii="Times New Roman" w:hAnsi="Times New Roman" w:cs="Times New Roman"/>
                <w:color w:val="00B050"/>
                <w:sz w:val="24"/>
                <w:szCs w:val="24"/>
              </w:rPr>
              <w:t>Q=1.4ÞH</w:t>
            </w:r>
            <w:r>
              <w:rPr>
                <w:rFonts w:hint="default" w:ascii="Times New Roman" w:hAnsi="Times New Roman" w:cs="Times New Roman"/>
                <w:color w:val="00B050"/>
                <w:sz w:val="28"/>
                <w:szCs w:val="28"/>
              </w:rPr>
              <w:t>υ</w:t>
            </w:r>
            <w:r>
              <w:rPr>
                <w:rFonts w:hint="default" w:ascii="Times New Roman" w:hAnsi="Times New Roman" w:cs="Times New Roman"/>
                <w:color w:val="00B050"/>
                <w:sz w:val="28"/>
                <w:szCs w:val="28"/>
                <w:vertAlign w:val="subscript"/>
              </w:rPr>
              <w:t>χ</w:t>
            </w:r>
            <w:r>
              <w:rPr>
                <w:rFonts w:hint="default" w:ascii="Times New Roman" w:hAnsi="Times New Roman" w:cs="Times New Roman"/>
                <w:color w:val="00B050"/>
                <w:sz w:val="28"/>
                <w:szCs w:val="28"/>
              </w:rPr>
              <w:t>（</w:t>
            </w:r>
            <w:r>
              <w:rPr>
                <w:rFonts w:hint="default" w:ascii="Times New Roman" w:hAnsi="Times New Roman" w:cs="Times New Roman"/>
                <w:color w:val="00B050"/>
                <w:sz w:val="24"/>
                <w:szCs w:val="24"/>
              </w:rPr>
              <w:t>m</w:t>
            </w:r>
            <w:r>
              <w:rPr>
                <w:rFonts w:hint="default" w:ascii="Times New Roman" w:hAnsi="Times New Roman" w:cs="Times New Roman"/>
                <w:color w:val="00B050"/>
                <w:sz w:val="24"/>
                <w:szCs w:val="24"/>
                <w:vertAlign w:val="superscript"/>
              </w:rPr>
              <w:t>3</w:t>
            </w:r>
            <w:r>
              <w:rPr>
                <w:rFonts w:hint="default" w:ascii="Times New Roman" w:hAnsi="Times New Roman" w:cs="Times New Roman"/>
                <w:color w:val="00B050"/>
                <w:sz w:val="24"/>
                <w:szCs w:val="24"/>
              </w:rPr>
              <w:t>/s</w:t>
            </w:r>
            <w:r>
              <w:rPr>
                <w:rFonts w:hint="default" w:ascii="Times New Roman" w:hAnsi="Times New Roman" w:cs="Times New Roman"/>
                <w:color w:val="00B050"/>
                <w:sz w:val="28"/>
                <w:szCs w:val="28"/>
              </w:rPr>
              <w:t>）</w:t>
            </w:r>
          </w:p>
          <w:p w14:paraId="5A84BD22">
            <w:pPr>
              <w:pStyle w:val="229"/>
              <w:keepNext w:val="0"/>
              <w:keepLines w:val="0"/>
              <w:pageBreakBefore w:val="0"/>
              <w:widowControl w:val="0"/>
              <w:kinsoku/>
              <w:wordWrap/>
              <w:overflowPunct/>
              <w:topLinePunct w:val="0"/>
              <w:autoSpaceDE w:val="0"/>
              <w:autoSpaceDN w:val="0"/>
              <w:bidi w:val="0"/>
              <w:adjustRightInd w:val="0"/>
              <w:spacing w:line="360" w:lineRule="auto"/>
              <w:ind w:firstLine="480"/>
              <w:textAlignment w:val="baseline"/>
              <w:rPr>
                <w:rFonts w:hint="default" w:ascii="Times New Roman" w:hAnsi="Times New Roman" w:cs="Times New Roman"/>
                <w:color w:val="00B050"/>
                <w:sz w:val="24"/>
                <w:szCs w:val="24"/>
              </w:rPr>
            </w:pPr>
            <w:r>
              <w:rPr>
                <w:rFonts w:hint="default" w:ascii="Times New Roman" w:hAnsi="Times New Roman" w:cs="Times New Roman"/>
                <w:color w:val="00B050"/>
                <w:sz w:val="24"/>
                <w:szCs w:val="24"/>
              </w:rPr>
              <w:t>Þ为罩口周长；Þ=πd；d为集气罩内径0.3m，则Þ为0.942m；</w:t>
            </w:r>
          </w:p>
          <w:p w14:paraId="3213AA12">
            <w:pPr>
              <w:pStyle w:val="14"/>
              <w:keepNext w:val="0"/>
              <w:keepLines w:val="0"/>
              <w:pageBreakBefore w:val="0"/>
              <w:widowControl w:val="0"/>
              <w:kinsoku/>
              <w:wordWrap/>
              <w:overflowPunct/>
              <w:topLinePunct w:val="0"/>
              <w:bidi w:val="0"/>
              <w:snapToGrid/>
              <w:spacing w:before="0" w:after="0" w:line="360" w:lineRule="auto"/>
              <w:ind w:right="0" w:firstLine="480" w:firstLineChars="200"/>
              <w:rPr>
                <w:rFonts w:hint="default" w:ascii="Times New Roman" w:hAnsi="Times New Roman" w:cs="Times New Roman"/>
                <w:color w:val="00B050"/>
                <w:kern w:val="2"/>
                <w:sz w:val="24"/>
                <w:szCs w:val="24"/>
              </w:rPr>
            </w:pPr>
            <w:r>
              <w:rPr>
                <w:rFonts w:hint="default" w:ascii="Times New Roman" w:hAnsi="Times New Roman" w:cs="Times New Roman"/>
                <w:color w:val="00B050"/>
                <w:sz w:val="24"/>
                <w:szCs w:val="24"/>
              </w:rPr>
              <w:t>H为</w:t>
            </w:r>
            <w:r>
              <w:rPr>
                <w:rFonts w:hint="default" w:ascii="Times New Roman" w:hAnsi="Times New Roman" w:cs="Times New Roman"/>
                <w:color w:val="00B050"/>
                <w:kern w:val="2"/>
                <w:sz w:val="24"/>
                <w:szCs w:val="24"/>
              </w:rPr>
              <w:t>罩口至控制点距离，m，0.4m；</w:t>
            </w:r>
          </w:p>
          <w:p w14:paraId="6DF17001">
            <w:pPr>
              <w:pStyle w:val="14"/>
              <w:keepNext w:val="0"/>
              <w:keepLines w:val="0"/>
              <w:pageBreakBefore w:val="0"/>
              <w:widowControl w:val="0"/>
              <w:kinsoku/>
              <w:wordWrap/>
              <w:overflowPunct/>
              <w:topLinePunct w:val="0"/>
              <w:bidi w:val="0"/>
              <w:snapToGrid/>
              <w:spacing w:before="0" w:after="0" w:line="360" w:lineRule="auto"/>
              <w:ind w:right="0" w:firstLine="480" w:firstLineChars="200"/>
              <w:rPr>
                <w:rFonts w:hint="default" w:ascii="Times New Roman" w:hAnsi="Times New Roman" w:cs="Times New Roman"/>
                <w:color w:val="00B050"/>
                <w:sz w:val="24"/>
                <w:szCs w:val="24"/>
              </w:rPr>
            </w:pPr>
            <w:r>
              <w:rPr>
                <w:rFonts w:hint="default" w:ascii="Times New Roman" w:hAnsi="Times New Roman" w:cs="Times New Roman"/>
                <w:color w:val="00B050"/>
                <w:sz w:val="24"/>
                <w:szCs w:val="24"/>
              </w:rPr>
              <w:t>υ</w:t>
            </w:r>
            <w:r>
              <w:rPr>
                <w:rFonts w:hint="default" w:ascii="Times New Roman" w:hAnsi="Times New Roman" w:cs="Times New Roman"/>
                <w:color w:val="00B050"/>
                <w:sz w:val="24"/>
                <w:szCs w:val="24"/>
                <w:vertAlign w:val="subscript"/>
              </w:rPr>
              <w:t>χ</w:t>
            </w:r>
            <w:r>
              <w:rPr>
                <w:rFonts w:hint="default" w:ascii="Times New Roman" w:hAnsi="Times New Roman" w:cs="Times New Roman"/>
                <w:color w:val="00B050"/>
                <w:sz w:val="24"/>
                <w:szCs w:val="24"/>
              </w:rPr>
              <w:t>为吸入速度，一般取值0.5m/s。</w:t>
            </w:r>
          </w:p>
          <w:p w14:paraId="0ACF85E3">
            <w:pPr>
              <w:pStyle w:val="14"/>
              <w:keepNext w:val="0"/>
              <w:keepLines w:val="0"/>
              <w:pageBreakBefore w:val="0"/>
              <w:widowControl w:val="0"/>
              <w:kinsoku/>
              <w:wordWrap/>
              <w:overflowPunct/>
              <w:topLinePunct w:val="0"/>
              <w:bidi w:val="0"/>
              <w:snapToGrid/>
              <w:spacing w:before="0" w:after="0" w:line="360" w:lineRule="auto"/>
              <w:ind w:right="0" w:firstLine="480" w:firstLineChars="200"/>
              <w:rPr>
                <w:rFonts w:hint="default" w:ascii="Times New Roman" w:hAnsi="Times New Roman" w:cs="Times New Roman"/>
                <w:color w:val="00B050"/>
                <w:kern w:val="2"/>
                <w:sz w:val="24"/>
                <w:szCs w:val="24"/>
              </w:rPr>
            </w:pPr>
            <w:r>
              <w:rPr>
                <w:rFonts w:hint="default" w:ascii="Times New Roman" w:hAnsi="Times New Roman" w:cs="Times New Roman"/>
                <w:color w:val="00B050"/>
                <w:kern w:val="2"/>
                <w:sz w:val="24"/>
                <w:szCs w:val="24"/>
              </w:rPr>
              <w:t>根据上式计算，单个集气罩需要的风量为950m</w:t>
            </w:r>
            <w:r>
              <w:rPr>
                <w:rFonts w:hint="default" w:ascii="Times New Roman" w:hAnsi="Times New Roman" w:cs="Times New Roman"/>
                <w:color w:val="00B050"/>
                <w:kern w:val="2"/>
                <w:sz w:val="24"/>
                <w:szCs w:val="24"/>
                <w:vertAlign w:val="superscript"/>
              </w:rPr>
              <w:t>3</w:t>
            </w:r>
            <w:r>
              <w:rPr>
                <w:rFonts w:hint="default" w:ascii="Times New Roman" w:hAnsi="Times New Roman" w:cs="Times New Roman"/>
                <w:color w:val="00B050"/>
                <w:kern w:val="2"/>
                <w:sz w:val="24"/>
                <w:szCs w:val="24"/>
              </w:rPr>
              <w:t>/h。</w:t>
            </w:r>
          </w:p>
          <w:p w14:paraId="3CFF7FEE">
            <w:pPr>
              <w:pStyle w:val="14"/>
              <w:keepNext w:val="0"/>
              <w:keepLines w:val="0"/>
              <w:pageBreakBefore w:val="0"/>
              <w:widowControl w:val="0"/>
              <w:kinsoku/>
              <w:wordWrap/>
              <w:overflowPunct/>
              <w:topLinePunct w:val="0"/>
              <w:bidi w:val="0"/>
              <w:snapToGrid/>
              <w:spacing w:before="0" w:after="0" w:line="360" w:lineRule="auto"/>
              <w:ind w:right="0" w:firstLine="480" w:firstLineChars="200"/>
              <w:rPr>
                <w:rFonts w:hint="default" w:ascii="Times New Roman" w:hAnsi="Times New Roman" w:cs="Times New Roman"/>
                <w:color w:val="00B050"/>
                <w:kern w:val="2"/>
                <w:sz w:val="24"/>
                <w:szCs w:val="24"/>
              </w:rPr>
            </w:pPr>
            <w:r>
              <w:rPr>
                <w:rFonts w:hint="eastAsia" w:cs="Times New Roman"/>
                <w:color w:val="00B050"/>
                <w:kern w:val="2"/>
                <w:sz w:val="24"/>
                <w:szCs w:val="24"/>
                <w:lang w:val="en-US" w:eastAsia="zh-CN"/>
              </w:rPr>
              <w:t>路由器注塑</w:t>
            </w:r>
            <w:r>
              <w:rPr>
                <w:rFonts w:hint="default" w:ascii="Times New Roman" w:hAnsi="Times New Roman" w:cs="Times New Roman"/>
                <w:color w:val="00B050"/>
                <w:kern w:val="2"/>
                <w:sz w:val="24"/>
                <w:szCs w:val="24"/>
              </w:rPr>
              <w:t>共设置</w:t>
            </w:r>
            <w:r>
              <w:rPr>
                <w:rFonts w:hint="default" w:ascii="Times New Roman" w:hAnsi="Times New Roman" w:cs="Times New Roman"/>
                <w:color w:val="00B050"/>
                <w:kern w:val="2"/>
                <w:sz w:val="24"/>
                <w:szCs w:val="24"/>
                <w:lang w:val="en-US" w:eastAsia="zh-CN"/>
              </w:rPr>
              <w:t>16</w:t>
            </w:r>
            <w:r>
              <w:rPr>
                <w:rFonts w:hint="default" w:ascii="Times New Roman" w:hAnsi="Times New Roman" w:cs="Times New Roman"/>
                <w:color w:val="00B050"/>
                <w:kern w:val="2"/>
                <w:sz w:val="24"/>
                <w:szCs w:val="24"/>
              </w:rPr>
              <w:t>台注塑机。经核算，风量为</w:t>
            </w:r>
            <w:r>
              <w:rPr>
                <w:rFonts w:hint="default" w:ascii="Times New Roman" w:hAnsi="Times New Roman" w:cs="Times New Roman"/>
                <w:color w:val="00B050"/>
                <w:kern w:val="2"/>
                <w:sz w:val="24"/>
                <w:szCs w:val="24"/>
                <w:lang w:val="en-US" w:eastAsia="zh-CN"/>
              </w:rPr>
              <w:t>15200</w:t>
            </w:r>
            <w:r>
              <w:rPr>
                <w:rFonts w:hint="default" w:ascii="Times New Roman" w:hAnsi="Times New Roman" w:cs="Times New Roman"/>
                <w:color w:val="00B050"/>
                <w:kern w:val="2"/>
                <w:sz w:val="24"/>
                <w:szCs w:val="24"/>
              </w:rPr>
              <w:t>m</w:t>
            </w:r>
            <w:r>
              <w:rPr>
                <w:rFonts w:hint="default" w:ascii="Times New Roman" w:hAnsi="Times New Roman" w:cs="Times New Roman"/>
                <w:color w:val="00B050"/>
                <w:kern w:val="2"/>
                <w:sz w:val="24"/>
                <w:szCs w:val="24"/>
                <w:vertAlign w:val="superscript"/>
              </w:rPr>
              <w:t>3</w:t>
            </w:r>
            <w:r>
              <w:rPr>
                <w:rFonts w:hint="default" w:ascii="Times New Roman" w:hAnsi="Times New Roman" w:cs="Times New Roman"/>
                <w:color w:val="00B050"/>
                <w:kern w:val="2"/>
                <w:sz w:val="24"/>
                <w:szCs w:val="24"/>
              </w:rPr>
              <w:t>/h</w:t>
            </w:r>
            <w:r>
              <w:rPr>
                <w:rFonts w:hint="default" w:ascii="Times New Roman" w:hAnsi="Times New Roman" w:cs="Times New Roman"/>
                <w:color w:val="00B050"/>
                <w:kern w:val="2"/>
                <w:sz w:val="24"/>
                <w:szCs w:val="24"/>
                <w:lang w:eastAsia="zh-CN"/>
              </w:rPr>
              <w:t>，</w:t>
            </w:r>
            <w:r>
              <w:rPr>
                <w:rFonts w:hint="default" w:ascii="Times New Roman" w:hAnsi="Times New Roman" w:cs="Times New Roman"/>
                <w:color w:val="00B050"/>
                <w:kern w:val="2"/>
                <w:sz w:val="24"/>
                <w:szCs w:val="24"/>
                <w:lang w:val="en-US" w:eastAsia="zh-CN"/>
              </w:rPr>
              <w:t>本次取值16000</w:t>
            </w:r>
            <w:r>
              <w:rPr>
                <w:rFonts w:hint="default" w:ascii="Times New Roman" w:hAnsi="Times New Roman" w:cs="Times New Roman"/>
                <w:color w:val="00B050"/>
                <w:kern w:val="2"/>
                <w:sz w:val="24"/>
                <w:szCs w:val="24"/>
              </w:rPr>
              <w:t>m</w:t>
            </w:r>
            <w:r>
              <w:rPr>
                <w:rFonts w:hint="default" w:ascii="Times New Roman" w:hAnsi="Times New Roman" w:cs="Times New Roman"/>
                <w:color w:val="00B050"/>
                <w:kern w:val="2"/>
                <w:sz w:val="24"/>
                <w:szCs w:val="24"/>
                <w:vertAlign w:val="superscript"/>
              </w:rPr>
              <w:t>3</w:t>
            </w:r>
            <w:r>
              <w:rPr>
                <w:rFonts w:hint="default" w:ascii="Times New Roman" w:hAnsi="Times New Roman" w:cs="Times New Roman"/>
                <w:color w:val="00B050"/>
                <w:kern w:val="2"/>
                <w:sz w:val="24"/>
                <w:szCs w:val="24"/>
              </w:rPr>
              <w:t>/h。</w:t>
            </w:r>
          </w:p>
          <w:p w14:paraId="656DEB09">
            <w:pPr>
              <w:keepNext w:val="0"/>
              <w:keepLines w:val="0"/>
              <w:pageBreakBefore w:val="0"/>
              <w:widowControl w:val="0"/>
              <w:kinsoku/>
              <w:wordWrap/>
              <w:overflowPunct/>
              <w:topLinePunct w:val="0"/>
              <w:bidi w:val="0"/>
              <w:adjustRightInd w:val="0"/>
              <w:snapToGrid w:val="0"/>
              <w:spacing w:line="360" w:lineRule="auto"/>
              <w:ind w:firstLine="480" w:firstLineChars="200"/>
              <w:rPr>
                <w:rFonts w:hint="default" w:ascii="Times New Roman" w:hAnsi="Times New Roman" w:cs="Times New Roman"/>
                <w:color w:val="00B050"/>
                <w:sz w:val="24"/>
                <w:lang w:val="en-US" w:eastAsia="zh-CN"/>
              </w:rPr>
            </w:pPr>
            <w:r>
              <w:rPr>
                <w:rFonts w:hint="eastAsia" w:cs="Times New Roman"/>
                <w:color w:val="00B050"/>
                <w:sz w:val="24"/>
                <w:lang w:val="en-US" w:eastAsia="zh-CN"/>
              </w:rPr>
              <w:t>2、路由器移印工序风量核算</w:t>
            </w:r>
          </w:p>
          <w:p w14:paraId="423099FA">
            <w:pPr>
              <w:pStyle w:val="49"/>
              <w:keepNext w:val="0"/>
              <w:keepLines w:val="0"/>
              <w:pageBreakBefore w:val="0"/>
              <w:widowControl w:val="0"/>
              <w:kinsoku/>
              <w:wordWrap/>
              <w:overflowPunct/>
              <w:topLinePunct w:val="0"/>
              <w:bidi w:val="0"/>
              <w:spacing w:line="360" w:lineRule="auto"/>
              <w:ind w:firstLine="482"/>
              <w:textAlignment w:val="auto"/>
              <w:rPr>
                <w:rFonts w:hint="default" w:ascii="Times New Roman" w:hAnsi="Times New Roman" w:cs="Times New Roman"/>
                <w:color w:val="00B050"/>
                <w:sz w:val="24"/>
                <w:szCs w:val="24"/>
              </w:rPr>
            </w:pPr>
            <w:r>
              <w:rPr>
                <w:rFonts w:hint="default" w:ascii="Times New Roman" w:hAnsi="Times New Roman" w:cs="Times New Roman"/>
                <w:color w:val="00B050"/>
                <w:sz w:val="24"/>
                <w:szCs w:val="24"/>
              </w:rPr>
              <w:t>根据建设单位提供资料，有机废气经集气罩收集，烘箱、隧道炉废气通过支管从设备排气口引至废气收集管道。项目产生的有机废气</w:t>
            </w:r>
            <w:r>
              <w:rPr>
                <w:rFonts w:hint="default" w:ascii="Times New Roman" w:hAnsi="Times New Roman" w:cs="Times New Roman"/>
                <w:color w:val="00B050"/>
                <w:sz w:val="24"/>
                <w:szCs w:val="24"/>
                <w:lang w:val="en-US" w:eastAsia="zh-CN"/>
              </w:rPr>
              <w:t>和污染物</w:t>
            </w:r>
            <w:r>
              <w:rPr>
                <w:rFonts w:hint="default" w:ascii="Times New Roman" w:hAnsi="Times New Roman" w:cs="Times New Roman"/>
                <w:color w:val="00B050"/>
                <w:sz w:val="24"/>
                <w:szCs w:val="24"/>
              </w:rPr>
              <w:t>收集后</w:t>
            </w:r>
            <w:r>
              <w:rPr>
                <w:rFonts w:hint="default" w:ascii="Times New Roman" w:hAnsi="Times New Roman" w:cs="Times New Roman"/>
                <w:color w:val="00B050"/>
                <w:sz w:val="24"/>
                <w:szCs w:val="24"/>
                <w:lang w:eastAsia="zh-CN"/>
              </w:rPr>
              <w:t>，</w:t>
            </w:r>
            <w:r>
              <w:rPr>
                <w:rFonts w:hint="default" w:ascii="Times New Roman" w:hAnsi="Times New Roman" w:cs="Times New Roman"/>
                <w:color w:val="00B050"/>
                <w:sz w:val="24"/>
                <w:szCs w:val="24"/>
              </w:rPr>
              <w:t>再引至屋顶废气处理设施进行</w:t>
            </w:r>
            <w:r>
              <w:rPr>
                <w:rFonts w:hint="eastAsia" w:ascii="Times New Roman" w:hAnsi="Times New Roman" w:cs="Times New Roman"/>
                <w:color w:val="00B050"/>
                <w:sz w:val="24"/>
                <w:szCs w:val="24"/>
                <w:lang w:val="en-US" w:eastAsia="zh-CN"/>
              </w:rPr>
              <w:t>处理</w:t>
            </w:r>
            <w:r>
              <w:rPr>
                <w:rFonts w:hint="default" w:ascii="Times New Roman" w:hAnsi="Times New Roman" w:cs="Times New Roman"/>
                <w:color w:val="00B050"/>
                <w:sz w:val="24"/>
                <w:szCs w:val="24"/>
              </w:rPr>
              <w:t>。</w:t>
            </w:r>
          </w:p>
          <w:p w14:paraId="45C5CE94">
            <w:pPr>
              <w:pStyle w:val="49"/>
              <w:keepNext w:val="0"/>
              <w:keepLines w:val="0"/>
              <w:pageBreakBefore w:val="0"/>
              <w:widowControl w:val="0"/>
              <w:kinsoku/>
              <w:wordWrap/>
              <w:overflowPunct/>
              <w:topLinePunct w:val="0"/>
              <w:bidi w:val="0"/>
              <w:spacing w:line="360" w:lineRule="auto"/>
              <w:ind w:firstLine="482"/>
              <w:textAlignment w:val="auto"/>
              <w:rPr>
                <w:rFonts w:hint="default" w:ascii="Times New Roman" w:hAnsi="Times New Roman" w:eastAsia="宋体" w:cs="Times New Roman"/>
                <w:b w:val="0"/>
                <w:bCs w:val="0"/>
                <w:color w:val="00B050"/>
                <w:sz w:val="24"/>
                <w:lang w:val="en-US" w:eastAsia="zh-CN"/>
              </w:rPr>
            </w:pPr>
            <w:r>
              <w:rPr>
                <w:rFonts w:hint="default" w:ascii="Times New Roman" w:hAnsi="Times New Roman" w:cs="Times New Roman"/>
                <w:b w:val="0"/>
                <w:bCs w:val="0"/>
                <w:color w:val="00B050"/>
                <w:sz w:val="24"/>
                <w:lang w:val="en-US" w:eastAsia="zh-CN"/>
              </w:rPr>
              <w:t>废气量核算</w:t>
            </w:r>
          </w:p>
          <w:p w14:paraId="2F3F692B">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00B050"/>
                <w:sz w:val="24"/>
                <w:lang w:val="en-US" w:eastAsia="zh-CN"/>
              </w:rPr>
            </w:pPr>
            <w:r>
              <w:rPr>
                <w:rFonts w:hint="default" w:ascii="Times New Roman" w:hAnsi="Times New Roman" w:cs="Times New Roman"/>
                <w:color w:val="00B050"/>
                <w:sz w:val="24"/>
              </w:rPr>
              <w:t>根据设计集气罩尺寸情况，参考</w:t>
            </w:r>
            <w:r>
              <w:rPr>
                <w:rFonts w:hint="default" w:ascii="Times New Roman" w:hAnsi="Times New Roman" w:cs="Times New Roman"/>
                <w:color w:val="00B050"/>
                <w:sz w:val="24"/>
                <w:lang w:val="en-US" w:eastAsia="zh-CN"/>
              </w:rPr>
              <w:t>《印刷工业污染物防控可行技术指南》（HJ1089-2020）附录D印刷生产废气收集技术。</w:t>
            </w:r>
          </w:p>
          <w:p w14:paraId="2C2E881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val="0"/>
                <w:color w:val="00B050"/>
                <w:sz w:val="24"/>
                <w:lang w:val="en-US" w:eastAsia="zh-CN"/>
              </w:rPr>
            </w:pPr>
            <w:r>
              <w:rPr>
                <w:rFonts w:hint="default" w:ascii="Times New Roman" w:hAnsi="Times New Roman" w:cs="Times New Roman"/>
                <w:b w:val="0"/>
                <w:bCs w:val="0"/>
                <w:color w:val="00B050"/>
                <w:sz w:val="24"/>
                <w:lang w:val="en-US" w:eastAsia="zh-CN"/>
              </w:rPr>
              <w:t>①密闭罩及通风柜风量计算公式：</w:t>
            </w:r>
          </w:p>
          <w:p w14:paraId="2E80E2CC">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jc w:val="center"/>
              <w:textAlignment w:val="auto"/>
              <w:rPr>
                <w:rFonts w:hint="default" w:ascii="Times New Roman" w:hAnsi="Times New Roman" w:cs="Times New Roman"/>
                <w:bCs/>
                <w:color w:val="00B050"/>
                <w:sz w:val="24"/>
                <w:lang w:val="en-US" w:eastAsia="zh-CN"/>
              </w:rPr>
            </w:pPr>
            <w:r>
              <w:rPr>
                <w:rFonts w:hint="default" w:ascii="Times New Roman" w:hAnsi="Times New Roman" w:cs="Times New Roman"/>
                <w:bCs/>
                <w:color w:val="00B050"/>
                <w:sz w:val="24"/>
                <w:lang w:val="en-US" w:eastAsia="zh-CN"/>
              </w:rPr>
              <w:t>L</w:t>
            </w:r>
            <w:r>
              <w:rPr>
                <w:rFonts w:hint="default" w:ascii="Times New Roman" w:hAnsi="Times New Roman" w:cs="Times New Roman"/>
                <w:bCs/>
                <w:color w:val="00B050"/>
                <w:sz w:val="24"/>
              </w:rPr>
              <w:t>=</w:t>
            </w:r>
            <w:r>
              <w:rPr>
                <w:rFonts w:hint="default" w:ascii="Times New Roman" w:hAnsi="Times New Roman" w:cs="Times New Roman"/>
                <w:bCs/>
                <w:color w:val="00B050"/>
                <w:sz w:val="24"/>
                <w:lang w:val="en-US" w:eastAsia="zh-CN"/>
              </w:rPr>
              <w:t>V×</w:t>
            </w:r>
            <w:r>
              <w:rPr>
                <w:rFonts w:hint="default" w:ascii="Times New Roman" w:hAnsi="Times New Roman" w:cs="Times New Roman"/>
                <w:bCs/>
                <w:color w:val="00B050"/>
                <w:sz w:val="24"/>
              </w:rPr>
              <w:t>F</w:t>
            </w:r>
            <w:r>
              <w:rPr>
                <w:rFonts w:hint="default" w:ascii="Times New Roman" w:hAnsi="Times New Roman" w:cs="Times New Roman"/>
                <w:bCs/>
                <w:color w:val="00B050"/>
                <w:sz w:val="24"/>
                <w:lang w:val="en-US" w:eastAsia="zh-CN"/>
              </w:rPr>
              <w:t>×β×3600</w:t>
            </w:r>
          </w:p>
          <w:p w14:paraId="348A890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Cs/>
                <w:color w:val="00B050"/>
                <w:sz w:val="24"/>
              </w:rPr>
            </w:pPr>
            <w:r>
              <w:rPr>
                <w:rFonts w:hint="default" w:ascii="Times New Roman" w:hAnsi="Times New Roman" w:cs="Times New Roman"/>
                <w:bCs/>
                <w:color w:val="00B050"/>
                <w:sz w:val="24"/>
              </w:rPr>
              <w:t>式中：</w:t>
            </w:r>
            <w:r>
              <w:rPr>
                <w:rFonts w:hint="default" w:ascii="Times New Roman" w:hAnsi="Times New Roman" w:cs="Times New Roman"/>
                <w:bCs/>
                <w:color w:val="00B050"/>
                <w:sz w:val="24"/>
                <w:lang w:val="en-US" w:eastAsia="zh-CN"/>
              </w:rPr>
              <w:t>L</w:t>
            </w:r>
            <w:r>
              <w:rPr>
                <w:rFonts w:hint="default" w:ascii="Times New Roman" w:hAnsi="Times New Roman" w:cs="Times New Roman"/>
                <w:bCs/>
                <w:color w:val="00B050"/>
                <w:sz w:val="24"/>
              </w:rPr>
              <w:t>—</w:t>
            </w:r>
            <w:r>
              <w:rPr>
                <w:rFonts w:hint="default" w:ascii="Times New Roman" w:hAnsi="Times New Roman" w:cs="Times New Roman"/>
                <w:color w:val="00B050"/>
                <w:sz w:val="24"/>
                <w:lang w:val="en-US" w:eastAsia="zh-CN"/>
              </w:rPr>
              <w:t>密闭罩及通风柜</w:t>
            </w:r>
            <w:r>
              <w:rPr>
                <w:rFonts w:hint="default" w:ascii="Times New Roman" w:hAnsi="Times New Roman" w:cs="Times New Roman"/>
                <w:bCs/>
                <w:color w:val="00B050"/>
                <w:sz w:val="24"/>
                <w:lang w:val="en-US" w:eastAsia="zh-CN"/>
              </w:rPr>
              <w:t>的计算风量</w:t>
            </w:r>
            <w:r>
              <w:rPr>
                <w:rFonts w:hint="default" w:ascii="Times New Roman" w:hAnsi="Times New Roman" w:cs="Times New Roman"/>
                <w:bCs/>
                <w:color w:val="00B050"/>
                <w:sz w:val="24"/>
              </w:rPr>
              <w:t>，m</w:t>
            </w:r>
            <w:r>
              <w:rPr>
                <w:rFonts w:hint="default" w:ascii="Times New Roman" w:hAnsi="Times New Roman" w:cs="Times New Roman"/>
                <w:bCs/>
                <w:color w:val="00B050"/>
                <w:sz w:val="24"/>
                <w:vertAlign w:val="superscript"/>
              </w:rPr>
              <w:t>3</w:t>
            </w:r>
            <w:r>
              <w:rPr>
                <w:rFonts w:hint="default" w:ascii="Times New Roman" w:hAnsi="Times New Roman" w:cs="Times New Roman"/>
                <w:bCs/>
                <w:color w:val="00B050"/>
                <w:sz w:val="24"/>
              </w:rPr>
              <w:t>/h；</w:t>
            </w:r>
          </w:p>
          <w:p w14:paraId="3506DA6F">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left"/>
              <w:textAlignment w:val="auto"/>
              <w:rPr>
                <w:rFonts w:hint="default" w:ascii="Times New Roman" w:hAnsi="Times New Roman" w:eastAsia="宋体" w:cs="Times New Roman"/>
                <w:bCs/>
                <w:color w:val="00B050"/>
                <w:sz w:val="24"/>
                <w:lang w:val="en-US" w:eastAsia="zh-CN"/>
              </w:rPr>
            </w:pPr>
            <w:r>
              <w:rPr>
                <w:rFonts w:hint="default" w:ascii="Times New Roman" w:hAnsi="Times New Roman" w:cs="Times New Roman"/>
                <w:bCs/>
                <w:color w:val="00B050"/>
                <w:sz w:val="24"/>
                <w:lang w:val="en-US" w:eastAsia="zh-CN"/>
              </w:rPr>
              <w:t>V</w:t>
            </w:r>
            <w:r>
              <w:rPr>
                <w:rFonts w:hint="default" w:ascii="Times New Roman" w:hAnsi="Times New Roman" w:cs="Times New Roman"/>
                <w:bCs/>
                <w:color w:val="00B050"/>
                <w:sz w:val="24"/>
              </w:rPr>
              <w:t>—</w:t>
            </w:r>
            <w:r>
              <w:rPr>
                <w:rFonts w:hint="default" w:ascii="Times New Roman" w:hAnsi="Times New Roman" w:cs="Times New Roman"/>
                <w:bCs/>
                <w:color w:val="00B050"/>
                <w:sz w:val="24"/>
                <w:lang w:val="en-US" w:eastAsia="zh-CN"/>
              </w:rPr>
              <w:t>操作口平均风速</w:t>
            </w:r>
            <w:r>
              <w:rPr>
                <w:rFonts w:hint="default" w:ascii="Times New Roman" w:hAnsi="Times New Roman" w:cs="Times New Roman"/>
                <w:bCs/>
                <w:color w:val="00B050"/>
                <w:sz w:val="24"/>
              </w:rPr>
              <w:t>，</w:t>
            </w:r>
            <w:r>
              <w:rPr>
                <w:rFonts w:hint="default" w:ascii="Times New Roman" w:hAnsi="Times New Roman" w:cs="Times New Roman"/>
                <w:bCs/>
                <w:color w:val="00B050"/>
                <w:sz w:val="24"/>
                <w:lang w:val="en-US" w:eastAsia="zh-CN"/>
              </w:rPr>
              <w:t>m</w:t>
            </w:r>
            <w:r>
              <w:rPr>
                <w:rFonts w:hint="default" w:ascii="Times New Roman" w:hAnsi="Times New Roman" w:cs="Times New Roman"/>
                <w:bCs/>
                <w:color w:val="00B050"/>
                <w:sz w:val="24"/>
              </w:rPr>
              <w:t>/</w:t>
            </w:r>
            <w:r>
              <w:rPr>
                <w:rFonts w:hint="default" w:ascii="Times New Roman" w:hAnsi="Times New Roman" w:cs="Times New Roman"/>
                <w:bCs/>
                <w:color w:val="00B050"/>
                <w:sz w:val="24"/>
                <w:lang w:val="en-US" w:eastAsia="zh-CN"/>
              </w:rPr>
              <w:t>s</w:t>
            </w:r>
            <w:r>
              <w:rPr>
                <w:rFonts w:hint="default" w:ascii="Times New Roman" w:hAnsi="Times New Roman" w:cs="Times New Roman"/>
                <w:bCs/>
                <w:color w:val="00B050"/>
                <w:sz w:val="24"/>
              </w:rPr>
              <w:t>，</w:t>
            </w:r>
            <w:r>
              <w:rPr>
                <w:rFonts w:hint="default" w:ascii="Times New Roman" w:hAnsi="Times New Roman" w:cs="Times New Roman"/>
                <w:bCs/>
                <w:color w:val="00B050"/>
                <w:sz w:val="24"/>
                <w:lang w:val="en-US" w:eastAsia="zh-CN"/>
              </w:rPr>
              <w:t>一般取0.4~0.5</w:t>
            </w:r>
            <w:r>
              <w:rPr>
                <w:rFonts w:hint="default" w:ascii="Times New Roman" w:hAnsi="Times New Roman" w:cs="Times New Roman"/>
                <w:bCs/>
                <w:color w:val="00B050"/>
                <w:sz w:val="24"/>
              </w:rPr>
              <w:t>；</w:t>
            </w:r>
            <w:r>
              <w:rPr>
                <w:rFonts w:hint="default" w:ascii="Times New Roman" w:hAnsi="Times New Roman" w:cs="Times New Roman"/>
                <w:bCs/>
                <w:color w:val="00B050"/>
                <w:sz w:val="24"/>
                <w:lang w:val="en-US" w:eastAsia="zh-CN"/>
              </w:rPr>
              <w:t>本次评价取值0.4。</w:t>
            </w:r>
          </w:p>
          <w:p w14:paraId="00C80CD8">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cs="Times New Roman"/>
                <w:bCs/>
                <w:color w:val="00B050"/>
                <w:sz w:val="24"/>
                <w:vertAlign w:val="baseline"/>
                <w:lang w:val="en-US" w:eastAsia="zh-CN"/>
              </w:rPr>
            </w:pPr>
            <w:r>
              <w:rPr>
                <w:rFonts w:hint="default" w:ascii="Times New Roman" w:hAnsi="Times New Roman" w:cs="Times New Roman"/>
                <w:bCs/>
                <w:color w:val="00B050"/>
                <w:sz w:val="24"/>
                <w:lang w:val="en-US" w:eastAsia="zh-CN"/>
              </w:rPr>
              <w:t>F</w:t>
            </w:r>
            <w:r>
              <w:rPr>
                <w:rFonts w:hint="default" w:ascii="Times New Roman" w:hAnsi="Times New Roman" w:cs="Times New Roman"/>
                <w:bCs/>
                <w:color w:val="00B050"/>
                <w:sz w:val="24"/>
              </w:rPr>
              <w:t>—</w:t>
            </w:r>
            <w:r>
              <w:rPr>
                <w:rFonts w:hint="default" w:ascii="Times New Roman" w:hAnsi="Times New Roman" w:cs="Times New Roman"/>
                <w:bCs/>
                <w:color w:val="00B050"/>
                <w:sz w:val="24"/>
                <w:lang w:val="en-US" w:eastAsia="zh-CN"/>
              </w:rPr>
              <w:t>操作口面积</w:t>
            </w:r>
            <w:r>
              <w:rPr>
                <w:rFonts w:hint="default" w:ascii="Times New Roman" w:hAnsi="Times New Roman" w:cs="Times New Roman"/>
                <w:bCs/>
                <w:color w:val="00B050"/>
                <w:sz w:val="24"/>
              </w:rPr>
              <w:t>，m</w:t>
            </w:r>
            <w:r>
              <w:rPr>
                <w:rFonts w:hint="default" w:ascii="Times New Roman" w:hAnsi="Times New Roman" w:cs="Times New Roman"/>
                <w:bCs/>
                <w:color w:val="00B050"/>
                <w:sz w:val="24"/>
                <w:vertAlign w:val="superscript"/>
                <w:lang w:val="en-US" w:eastAsia="zh-CN"/>
              </w:rPr>
              <w:t>2</w:t>
            </w:r>
          </w:p>
          <w:p w14:paraId="593E963D">
            <w:pPr>
              <w:keepNext w:val="0"/>
              <w:keepLines w:val="0"/>
              <w:pageBreakBefore w:val="0"/>
              <w:widowControl w:val="0"/>
              <w:kinsoku/>
              <w:wordWrap/>
              <w:overflowPunct/>
              <w:topLinePunct w:val="0"/>
              <w:autoSpaceDE/>
              <w:autoSpaceDN/>
              <w:bidi w:val="0"/>
              <w:adjustRightInd/>
              <w:snapToGrid/>
              <w:spacing w:line="360" w:lineRule="auto"/>
              <w:ind w:firstLine="1200" w:firstLineChars="500"/>
              <w:textAlignment w:val="auto"/>
              <w:rPr>
                <w:rFonts w:hint="default" w:ascii="Times New Roman" w:hAnsi="Times New Roman" w:cs="Times New Roman"/>
                <w:bCs/>
                <w:color w:val="00B050"/>
                <w:sz w:val="24"/>
                <w:vertAlign w:val="baseline"/>
                <w:lang w:val="en-US" w:eastAsia="zh-CN"/>
              </w:rPr>
            </w:pPr>
            <w:r>
              <w:rPr>
                <w:rFonts w:hint="default" w:ascii="Times New Roman" w:hAnsi="Times New Roman" w:cs="Times New Roman"/>
                <w:bCs/>
                <w:color w:val="00B050"/>
                <w:sz w:val="24"/>
                <w:lang w:val="en-US" w:eastAsia="zh-CN"/>
              </w:rPr>
              <w:t>β</w:t>
            </w:r>
            <w:r>
              <w:rPr>
                <w:rFonts w:hint="default" w:ascii="Times New Roman" w:hAnsi="Times New Roman" w:cs="Times New Roman"/>
                <w:bCs/>
                <w:color w:val="00B050"/>
                <w:sz w:val="24"/>
              </w:rPr>
              <w:t>—</w:t>
            </w:r>
            <w:r>
              <w:rPr>
                <w:rFonts w:hint="default" w:ascii="Times New Roman" w:hAnsi="Times New Roman" w:cs="Times New Roman"/>
                <w:bCs/>
                <w:color w:val="00B050"/>
                <w:sz w:val="24"/>
                <w:lang w:val="en-US" w:eastAsia="zh-CN"/>
              </w:rPr>
              <w:t>安全系数，一般取</w:t>
            </w:r>
            <w:r>
              <w:rPr>
                <w:rFonts w:hint="default" w:ascii="Times New Roman" w:hAnsi="Times New Roman" w:eastAsia="宋体" w:cs="Times New Roman"/>
                <w:bCs/>
                <w:color w:val="00B050"/>
                <w:sz w:val="24"/>
                <w:lang w:val="en-US" w:eastAsia="zh-CN"/>
              </w:rPr>
              <w:t>1.05-1.1。</w:t>
            </w:r>
          </w:p>
          <w:p w14:paraId="35910DE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val="0"/>
                <w:color w:val="00B050"/>
                <w:sz w:val="24"/>
              </w:rPr>
            </w:pPr>
            <w:r>
              <w:rPr>
                <w:rFonts w:hint="default" w:ascii="Times New Roman" w:hAnsi="Times New Roman" w:cs="Times New Roman"/>
                <w:b w:val="0"/>
                <w:bCs w:val="0"/>
                <w:color w:val="00B050"/>
                <w:sz w:val="24"/>
                <w:lang w:val="en-US" w:eastAsia="zh-CN"/>
              </w:rPr>
              <w:t>②外部</w:t>
            </w:r>
            <w:r>
              <w:rPr>
                <w:rFonts w:hint="default" w:ascii="Times New Roman" w:hAnsi="Times New Roman" w:cs="Times New Roman"/>
                <w:b w:val="0"/>
                <w:bCs w:val="0"/>
                <w:color w:val="00B050"/>
                <w:sz w:val="24"/>
              </w:rPr>
              <w:t>排气罩</w:t>
            </w:r>
            <w:r>
              <w:rPr>
                <w:rFonts w:hint="default" w:ascii="Times New Roman" w:hAnsi="Times New Roman" w:cs="Times New Roman"/>
                <w:b w:val="0"/>
                <w:bCs w:val="0"/>
                <w:color w:val="00B050"/>
                <w:sz w:val="24"/>
                <w:lang w:val="en-US" w:eastAsia="zh-CN"/>
              </w:rPr>
              <w:t>风量</w:t>
            </w:r>
            <w:r>
              <w:rPr>
                <w:rFonts w:hint="default" w:ascii="Times New Roman" w:hAnsi="Times New Roman" w:cs="Times New Roman"/>
                <w:b w:val="0"/>
                <w:bCs w:val="0"/>
                <w:color w:val="00B050"/>
                <w:sz w:val="24"/>
              </w:rPr>
              <w:t>公式：</w:t>
            </w:r>
          </w:p>
          <w:p w14:paraId="431A634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Cs/>
                <w:color w:val="00B050"/>
                <w:sz w:val="24"/>
                <w:lang w:val="en-US" w:eastAsia="zh-CN"/>
              </w:rPr>
            </w:pPr>
            <w:r>
              <w:rPr>
                <w:rFonts w:hint="default" w:ascii="Times New Roman" w:hAnsi="Times New Roman" w:cs="Times New Roman"/>
                <w:bCs/>
                <w:color w:val="00B050"/>
                <w:sz w:val="24"/>
                <w:lang w:val="en-US" w:eastAsia="zh-CN"/>
              </w:rPr>
              <w:t>L</w:t>
            </w:r>
            <w:r>
              <w:rPr>
                <w:rFonts w:hint="default" w:ascii="Times New Roman" w:hAnsi="Times New Roman" w:cs="Times New Roman"/>
                <w:bCs/>
                <w:color w:val="00B050"/>
                <w:sz w:val="24"/>
                <w:vertAlign w:val="subscript"/>
                <w:lang w:val="en-US" w:eastAsia="zh-CN"/>
              </w:rPr>
              <w:t>1</w:t>
            </w:r>
            <w:r>
              <w:rPr>
                <w:rFonts w:hint="default" w:ascii="Times New Roman" w:hAnsi="Times New Roman" w:cs="Times New Roman"/>
                <w:bCs/>
                <w:color w:val="00B050"/>
                <w:sz w:val="24"/>
              </w:rPr>
              <w:t>=</w:t>
            </w:r>
            <w:r>
              <w:rPr>
                <w:rFonts w:hint="default" w:ascii="Times New Roman" w:hAnsi="Times New Roman" w:cs="Times New Roman"/>
                <w:bCs/>
                <w:color w:val="00B050"/>
                <w:sz w:val="24"/>
                <w:lang w:val="en-US" w:eastAsia="zh-CN"/>
              </w:rPr>
              <w:t>V</w:t>
            </w:r>
            <w:r>
              <w:rPr>
                <w:rFonts w:hint="default" w:ascii="Times New Roman" w:hAnsi="Times New Roman" w:cs="Times New Roman"/>
                <w:bCs/>
                <w:color w:val="00B050"/>
                <w:sz w:val="24"/>
                <w:vertAlign w:val="subscript"/>
                <w:lang w:val="en-US" w:eastAsia="zh-CN"/>
              </w:rPr>
              <w:t>1</w:t>
            </w:r>
            <w:r>
              <w:rPr>
                <w:rFonts w:hint="default" w:ascii="Times New Roman" w:hAnsi="Times New Roman" w:cs="Times New Roman"/>
                <w:bCs/>
                <w:color w:val="00B050"/>
                <w:sz w:val="24"/>
                <w:lang w:val="en-US" w:eastAsia="zh-CN"/>
              </w:rPr>
              <w:t>×</w:t>
            </w:r>
            <w:r>
              <w:rPr>
                <w:rFonts w:hint="default" w:ascii="Times New Roman" w:hAnsi="Times New Roman" w:cs="Times New Roman"/>
                <w:bCs/>
                <w:color w:val="00B050"/>
                <w:sz w:val="24"/>
              </w:rPr>
              <w:t>F</w:t>
            </w:r>
            <w:r>
              <w:rPr>
                <w:rFonts w:hint="default" w:ascii="Times New Roman" w:hAnsi="Times New Roman" w:cs="Times New Roman"/>
                <w:bCs/>
                <w:color w:val="00B050"/>
                <w:sz w:val="24"/>
                <w:vertAlign w:val="subscript"/>
                <w:lang w:val="en-US" w:eastAsia="zh-CN"/>
              </w:rPr>
              <w:t>1</w:t>
            </w:r>
            <w:r>
              <w:rPr>
                <w:rFonts w:hint="default" w:ascii="Times New Roman" w:hAnsi="Times New Roman" w:cs="Times New Roman"/>
                <w:bCs/>
                <w:color w:val="00B050"/>
                <w:sz w:val="24"/>
                <w:lang w:val="en-US" w:eastAsia="zh-CN"/>
              </w:rPr>
              <w:t>×3600</w:t>
            </w:r>
          </w:p>
          <w:p w14:paraId="788FBA3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Cs/>
                <w:color w:val="00B050"/>
                <w:sz w:val="24"/>
              </w:rPr>
            </w:pPr>
            <w:r>
              <w:rPr>
                <w:rFonts w:hint="default" w:ascii="Times New Roman" w:hAnsi="Times New Roman" w:cs="Times New Roman"/>
                <w:bCs/>
                <w:color w:val="00B050"/>
                <w:sz w:val="24"/>
              </w:rPr>
              <w:t>式中：</w:t>
            </w:r>
            <w:r>
              <w:rPr>
                <w:rFonts w:hint="default" w:ascii="Times New Roman" w:hAnsi="Times New Roman" w:cs="Times New Roman"/>
                <w:bCs/>
                <w:color w:val="00B050"/>
                <w:sz w:val="24"/>
                <w:lang w:val="en-US" w:eastAsia="zh-CN"/>
              </w:rPr>
              <w:t>L</w:t>
            </w:r>
            <w:r>
              <w:rPr>
                <w:rFonts w:hint="default" w:ascii="Times New Roman" w:hAnsi="Times New Roman" w:cs="Times New Roman"/>
                <w:bCs/>
                <w:color w:val="00B050"/>
                <w:sz w:val="24"/>
                <w:vertAlign w:val="subscript"/>
                <w:lang w:val="en-US" w:eastAsia="zh-CN"/>
              </w:rPr>
              <w:t>1</w:t>
            </w:r>
            <w:r>
              <w:rPr>
                <w:rFonts w:hint="default" w:ascii="Times New Roman" w:hAnsi="Times New Roman" w:cs="Times New Roman"/>
                <w:bCs/>
                <w:color w:val="00B050"/>
                <w:sz w:val="24"/>
              </w:rPr>
              <w:t>—</w:t>
            </w:r>
            <w:r>
              <w:rPr>
                <w:rFonts w:hint="default" w:ascii="Times New Roman" w:hAnsi="Times New Roman" w:cs="Times New Roman"/>
                <w:bCs/>
                <w:color w:val="00B050"/>
                <w:sz w:val="24"/>
                <w:lang w:val="en-US" w:eastAsia="zh-CN"/>
              </w:rPr>
              <w:t>顶吸罩的计算风量</w:t>
            </w:r>
            <w:r>
              <w:rPr>
                <w:rFonts w:hint="default" w:ascii="Times New Roman" w:hAnsi="Times New Roman" w:cs="Times New Roman"/>
                <w:bCs/>
                <w:color w:val="00B050"/>
                <w:sz w:val="24"/>
              </w:rPr>
              <w:t>，m</w:t>
            </w:r>
            <w:r>
              <w:rPr>
                <w:rFonts w:hint="default" w:ascii="Times New Roman" w:hAnsi="Times New Roman" w:cs="Times New Roman"/>
                <w:bCs/>
                <w:color w:val="00B050"/>
                <w:sz w:val="24"/>
                <w:vertAlign w:val="superscript"/>
              </w:rPr>
              <w:t>3</w:t>
            </w:r>
            <w:r>
              <w:rPr>
                <w:rFonts w:hint="default" w:ascii="Times New Roman" w:hAnsi="Times New Roman" w:cs="Times New Roman"/>
                <w:bCs/>
                <w:color w:val="00B050"/>
                <w:sz w:val="24"/>
              </w:rPr>
              <w:t>/h；</w:t>
            </w:r>
          </w:p>
          <w:p w14:paraId="63AB2BBA">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left"/>
              <w:textAlignment w:val="auto"/>
              <w:rPr>
                <w:rFonts w:hint="default" w:ascii="Times New Roman" w:hAnsi="Times New Roman" w:cs="Times New Roman"/>
                <w:bCs/>
                <w:color w:val="00B050"/>
                <w:sz w:val="24"/>
              </w:rPr>
            </w:pPr>
            <w:r>
              <w:rPr>
                <w:rFonts w:hint="default" w:ascii="Times New Roman" w:hAnsi="Times New Roman" w:cs="Times New Roman"/>
                <w:bCs/>
                <w:color w:val="00B050"/>
                <w:sz w:val="24"/>
                <w:lang w:val="en-US" w:eastAsia="zh-CN"/>
              </w:rPr>
              <w:t>V</w:t>
            </w:r>
            <w:r>
              <w:rPr>
                <w:rFonts w:hint="default" w:ascii="Times New Roman" w:hAnsi="Times New Roman" w:cs="Times New Roman"/>
                <w:bCs/>
                <w:color w:val="00B050"/>
                <w:sz w:val="24"/>
                <w:vertAlign w:val="subscript"/>
                <w:lang w:val="en-US" w:eastAsia="zh-CN"/>
              </w:rPr>
              <w:t>1</w:t>
            </w:r>
            <w:r>
              <w:rPr>
                <w:rFonts w:hint="default" w:ascii="Times New Roman" w:hAnsi="Times New Roman" w:cs="Times New Roman"/>
                <w:bCs/>
                <w:color w:val="00B050"/>
                <w:sz w:val="24"/>
              </w:rPr>
              <w:t>—罩口</w:t>
            </w:r>
            <w:r>
              <w:rPr>
                <w:rFonts w:hint="default" w:ascii="Times New Roman" w:hAnsi="Times New Roman" w:cs="Times New Roman"/>
                <w:bCs/>
                <w:color w:val="00B050"/>
                <w:sz w:val="24"/>
                <w:lang w:val="en-US" w:eastAsia="zh-CN"/>
              </w:rPr>
              <w:t>平均风速</w:t>
            </w:r>
            <w:r>
              <w:rPr>
                <w:rFonts w:hint="default" w:ascii="Times New Roman" w:hAnsi="Times New Roman" w:cs="Times New Roman"/>
                <w:bCs/>
                <w:color w:val="00B050"/>
                <w:sz w:val="24"/>
              </w:rPr>
              <w:t>，</w:t>
            </w:r>
            <w:r>
              <w:rPr>
                <w:rFonts w:hint="default" w:ascii="Times New Roman" w:hAnsi="Times New Roman" w:cs="Times New Roman"/>
                <w:bCs/>
                <w:color w:val="00B050"/>
                <w:sz w:val="24"/>
                <w:lang w:val="en-US" w:eastAsia="zh-CN"/>
              </w:rPr>
              <w:t>m</w:t>
            </w:r>
            <w:r>
              <w:rPr>
                <w:rFonts w:hint="default" w:ascii="Times New Roman" w:hAnsi="Times New Roman" w:cs="Times New Roman"/>
                <w:bCs/>
                <w:color w:val="00B050"/>
                <w:sz w:val="24"/>
              </w:rPr>
              <w:t>/</w:t>
            </w:r>
            <w:r>
              <w:rPr>
                <w:rFonts w:hint="default" w:ascii="Times New Roman" w:hAnsi="Times New Roman" w:cs="Times New Roman"/>
                <w:bCs/>
                <w:color w:val="00B050"/>
                <w:sz w:val="24"/>
                <w:lang w:val="en-US" w:eastAsia="zh-CN"/>
              </w:rPr>
              <w:t>s</w:t>
            </w:r>
            <w:r>
              <w:rPr>
                <w:rFonts w:hint="default" w:ascii="Times New Roman" w:hAnsi="Times New Roman" w:cs="Times New Roman"/>
                <w:bCs/>
                <w:color w:val="00B050"/>
                <w:sz w:val="24"/>
              </w:rPr>
              <w:t>，</w:t>
            </w:r>
            <w:r>
              <w:rPr>
                <w:rFonts w:hint="default" w:ascii="Times New Roman" w:hAnsi="Times New Roman" w:cs="Times New Roman"/>
                <w:bCs/>
                <w:color w:val="00B050"/>
                <w:sz w:val="24"/>
                <w:lang w:val="en-US" w:eastAsia="zh-CN"/>
              </w:rPr>
              <w:t>一般敞开取0.5~0.7</w:t>
            </w:r>
            <w:r>
              <w:rPr>
                <w:rFonts w:hint="default" w:ascii="Times New Roman" w:hAnsi="Times New Roman" w:cs="Times New Roman"/>
                <w:bCs/>
                <w:color w:val="00B050"/>
                <w:sz w:val="24"/>
              </w:rPr>
              <w:t>；</w:t>
            </w:r>
          </w:p>
          <w:p w14:paraId="43B84B65">
            <w:pPr>
              <w:keepNext w:val="0"/>
              <w:keepLines w:val="0"/>
              <w:pageBreakBefore w:val="0"/>
              <w:widowControl w:val="0"/>
              <w:kinsoku/>
              <w:wordWrap/>
              <w:overflowPunct/>
              <w:topLinePunct w:val="0"/>
              <w:bidi w:val="0"/>
              <w:adjustRightInd w:val="0"/>
              <w:snapToGrid w:val="0"/>
              <w:spacing w:line="360" w:lineRule="auto"/>
              <w:ind w:firstLine="1200" w:firstLineChars="500"/>
              <w:jc w:val="left"/>
              <w:textAlignment w:val="auto"/>
              <w:rPr>
                <w:rFonts w:hint="default" w:ascii="Times New Roman" w:hAnsi="Times New Roman" w:cs="Times New Roman"/>
                <w:color w:val="00B050"/>
                <w:sz w:val="24"/>
              </w:rPr>
            </w:pPr>
            <w:r>
              <w:rPr>
                <w:rFonts w:hint="default" w:ascii="Times New Roman" w:hAnsi="Times New Roman" w:cs="Times New Roman"/>
                <w:bCs/>
                <w:color w:val="00B050"/>
                <w:sz w:val="24"/>
                <w:lang w:val="en-US" w:eastAsia="zh-CN"/>
              </w:rPr>
              <w:t>F</w:t>
            </w:r>
            <w:r>
              <w:rPr>
                <w:rFonts w:hint="default" w:ascii="Times New Roman" w:hAnsi="Times New Roman" w:cs="Times New Roman"/>
                <w:bCs/>
                <w:color w:val="00B050"/>
                <w:sz w:val="24"/>
                <w:vertAlign w:val="subscript"/>
                <w:lang w:val="en-US" w:eastAsia="zh-CN"/>
              </w:rPr>
              <w:t>1</w:t>
            </w:r>
            <w:r>
              <w:rPr>
                <w:rFonts w:hint="default" w:ascii="Times New Roman" w:hAnsi="Times New Roman" w:cs="Times New Roman"/>
                <w:bCs/>
                <w:color w:val="00B050"/>
                <w:sz w:val="24"/>
              </w:rPr>
              <w:t>—</w:t>
            </w:r>
            <w:r>
              <w:rPr>
                <w:rFonts w:hint="default" w:ascii="Times New Roman" w:hAnsi="Times New Roman" w:cs="Times New Roman"/>
                <w:bCs/>
                <w:color w:val="00B050"/>
                <w:sz w:val="24"/>
                <w:lang w:val="en-US" w:eastAsia="zh-CN"/>
              </w:rPr>
              <w:t>排风罩开口面面积</w:t>
            </w:r>
            <w:r>
              <w:rPr>
                <w:rFonts w:hint="default" w:ascii="Times New Roman" w:hAnsi="Times New Roman" w:cs="Times New Roman"/>
                <w:bCs/>
                <w:color w:val="00B050"/>
                <w:sz w:val="24"/>
              </w:rPr>
              <w:t>，m</w:t>
            </w:r>
            <w:r>
              <w:rPr>
                <w:rFonts w:hint="default" w:ascii="Times New Roman" w:hAnsi="Times New Roman" w:cs="Times New Roman"/>
                <w:bCs/>
                <w:color w:val="00B050"/>
                <w:sz w:val="24"/>
                <w:vertAlign w:val="superscript"/>
                <w:lang w:val="en-US" w:eastAsia="zh-CN"/>
              </w:rPr>
              <w:t>2</w:t>
            </w:r>
            <w:r>
              <w:rPr>
                <w:rFonts w:hint="default" w:ascii="Times New Roman" w:hAnsi="Times New Roman" w:cs="Times New Roman"/>
                <w:color w:val="00B050"/>
                <w:sz w:val="24"/>
              </w:rPr>
              <w:t>。</w:t>
            </w:r>
          </w:p>
          <w:p w14:paraId="2553A59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00B050"/>
                <w:sz w:val="24"/>
              </w:rPr>
            </w:pPr>
            <w:r>
              <w:rPr>
                <w:rFonts w:hint="default" w:ascii="Times New Roman" w:hAnsi="Times New Roman" w:cs="Times New Roman"/>
                <w:color w:val="00B050"/>
                <w:sz w:val="24"/>
              </w:rPr>
              <w:t>各集气罩风量设计情况见下表。</w:t>
            </w:r>
          </w:p>
          <w:p w14:paraId="0EEB6746">
            <w:pPr>
              <w:pStyle w:val="49"/>
              <w:spacing w:line="240" w:lineRule="auto"/>
              <w:ind w:left="0" w:leftChars="0" w:firstLine="0" w:firstLineChars="0"/>
              <w:jc w:val="center"/>
              <w:rPr>
                <w:rFonts w:hint="default" w:ascii="Times New Roman" w:hAnsi="Times New Roman" w:cs="Times New Roman"/>
                <w:color w:val="00B050"/>
                <w:sz w:val="24"/>
                <w:lang w:val="en-US" w:eastAsia="zh-CN"/>
              </w:rPr>
            </w:pPr>
            <w:r>
              <w:rPr>
                <w:rFonts w:hint="default" w:ascii="Times New Roman" w:hAnsi="Times New Roman" w:eastAsia="宋体" w:cs="Times New Roman"/>
                <w:b/>
                <w:color w:val="00B050"/>
                <w:kern w:val="0"/>
                <w:sz w:val="24"/>
                <w:szCs w:val="24"/>
                <w:lang w:val="en-US" w:eastAsia="zh-CN" w:bidi="ar-SA"/>
              </w:rPr>
              <w:t>表4.2-6   项目移印机风量设计情况汇总表</w:t>
            </w:r>
          </w:p>
          <w:tbl>
            <w:tblPr>
              <w:tblStyle w:val="35"/>
              <w:tblW w:w="7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1109"/>
              <w:gridCol w:w="1109"/>
              <w:gridCol w:w="1109"/>
              <w:gridCol w:w="1218"/>
              <w:gridCol w:w="733"/>
              <w:gridCol w:w="831"/>
              <w:gridCol w:w="811"/>
            </w:tblGrid>
            <w:tr w14:paraId="3110A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1017" w:type="dxa"/>
                  <w:noWrap w:val="0"/>
                  <w:vAlign w:val="center"/>
                </w:tcPr>
                <w:p w14:paraId="2DD1135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设备名称</w:t>
                  </w:r>
                </w:p>
              </w:tc>
              <w:tc>
                <w:tcPr>
                  <w:tcW w:w="1109" w:type="dxa"/>
                  <w:noWrap w:val="0"/>
                  <w:vAlign w:val="center"/>
                </w:tcPr>
                <w:p w14:paraId="5290569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集气方式</w:t>
                  </w:r>
                </w:p>
              </w:tc>
              <w:tc>
                <w:tcPr>
                  <w:tcW w:w="1109" w:type="dxa"/>
                  <w:noWrap w:val="0"/>
                  <w:vAlign w:val="center"/>
                </w:tcPr>
                <w:p w14:paraId="7922269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操作面积m</w:t>
                  </w:r>
                  <w:r>
                    <w:rPr>
                      <w:rFonts w:hint="default" w:ascii="Times New Roman" w:hAnsi="Times New Roman" w:eastAsia="宋体" w:cs="Times New Roman"/>
                      <w:i w:val="0"/>
                      <w:iCs w:val="0"/>
                      <w:color w:val="00B050"/>
                      <w:kern w:val="0"/>
                      <w:sz w:val="21"/>
                      <w:szCs w:val="21"/>
                      <w:u w:val="none"/>
                      <w:vertAlign w:val="superscript"/>
                      <w:lang w:val="en-US" w:eastAsia="zh-CN" w:bidi="ar"/>
                    </w:rPr>
                    <w:t>2</w:t>
                  </w:r>
                </w:p>
              </w:tc>
              <w:tc>
                <w:tcPr>
                  <w:tcW w:w="1109" w:type="dxa"/>
                  <w:noWrap w:val="0"/>
                  <w:vAlign w:val="center"/>
                </w:tcPr>
                <w:p w14:paraId="55B9108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β—安全系数</w:t>
                  </w:r>
                </w:p>
              </w:tc>
              <w:tc>
                <w:tcPr>
                  <w:tcW w:w="1218" w:type="dxa"/>
                  <w:noWrap w:val="0"/>
                  <w:vAlign w:val="center"/>
                </w:tcPr>
                <w:p w14:paraId="6677AF3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操作口平均风速，m/s</w:t>
                  </w:r>
                </w:p>
              </w:tc>
              <w:tc>
                <w:tcPr>
                  <w:tcW w:w="733" w:type="dxa"/>
                  <w:noWrap w:val="0"/>
                  <w:vAlign w:val="center"/>
                </w:tcPr>
                <w:p w14:paraId="4F74846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常数</w:t>
                  </w:r>
                </w:p>
              </w:tc>
              <w:tc>
                <w:tcPr>
                  <w:tcW w:w="831" w:type="dxa"/>
                  <w:noWrap w:val="0"/>
                  <w:vAlign w:val="center"/>
                </w:tcPr>
                <w:p w14:paraId="6116874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集气罩数</w:t>
                  </w:r>
                </w:p>
              </w:tc>
              <w:tc>
                <w:tcPr>
                  <w:tcW w:w="811" w:type="dxa"/>
                  <w:noWrap w:val="0"/>
                  <w:vAlign w:val="center"/>
                </w:tcPr>
                <w:p w14:paraId="51850CE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风量</w:t>
                  </w:r>
                </w:p>
              </w:tc>
            </w:tr>
            <w:tr w14:paraId="371EB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17" w:type="dxa"/>
                  <w:noWrap w:val="0"/>
                  <w:vAlign w:val="center"/>
                </w:tcPr>
                <w:p w14:paraId="3FD1697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移印（烤箱）</w:t>
                  </w:r>
                </w:p>
              </w:tc>
              <w:tc>
                <w:tcPr>
                  <w:tcW w:w="1109" w:type="dxa"/>
                  <w:noWrap w:val="0"/>
                  <w:vAlign w:val="center"/>
                </w:tcPr>
                <w:p w14:paraId="357B90D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b/>
                      <w:bCs/>
                      <w:i w:val="0"/>
                      <w:iCs w:val="0"/>
                      <w:color w:val="00B050"/>
                      <w:kern w:val="0"/>
                      <w:sz w:val="21"/>
                      <w:szCs w:val="21"/>
                      <w:u w:val="none"/>
                      <w:lang w:val="en-US" w:eastAsia="zh-CN" w:bidi="ar"/>
                    </w:rPr>
                    <w:t>密闭罩</w:t>
                  </w:r>
                </w:p>
              </w:tc>
              <w:tc>
                <w:tcPr>
                  <w:tcW w:w="1109" w:type="dxa"/>
                  <w:noWrap w:val="0"/>
                  <w:vAlign w:val="center"/>
                </w:tcPr>
                <w:p w14:paraId="0D05C76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0.2826</w:t>
                  </w:r>
                </w:p>
              </w:tc>
              <w:tc>
                <w:tcPr>
                  <w:tcW w:w="1109" w:type="dxa"/>
                  <w:noWrap w:val="0"/>
                  <w:vAlign w:val="center"/>
                </w:tcPr>
                <w:p w14:paraId="780F607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1.05</w:t>
                  </w:r>
                </w:p>
              </w:tc>
              <w:tc>
                <w:tcPr>
                  <w:tcW w:w="1218" w:type="dxa"/>
                  <w:noWrap w:val="0"/>
                  <w:vAlign w:val="center"/>
                </w:tcPr>
                <w:p w14:paraId="263B309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0.4</w:t>
                  </w:r>
                </w:p>
              </w:tc>
              <w:tc>
                <w:tcPr>
                  <w:tcW w:w="733" w:type="dxa"/>
                  <w:noWrap w:val="0"/>
                  <w:vAlign w:val="center"/>
                </w:tcPr>
                <w:p w14:paraId="65289CB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3600</w:t>
                  </w:r>
                </w:p>
              </w:tc>
              <w:tc>
                <w:tcPr>
                  <w:tcW w:w="831" w:type="dxa"/>
                  <w:noWrap w:val="0"/>
                  <w:vAlign w:val="center"/>
                </w:tcPr>
                <w:p w14:paraId="13B799C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18</w:t>
                  </w:r>
                </w:p>
              </w:tc>
              <w:tc>
                <w:tcPr>
                  <w:tcW w:w="811" w:type="dxa"/>
                  <w:noWrap w:val="0"/>
                  <w:vAlign w:val="center"/>
                </w:tcPr>
                <w:p w14:paraId="63E8B4B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B050"/>
                      <w:sz w:val="21"/>
                      <w:szCs w:val="21"/>
                      <w:u w:val="none"/>
                      <w:lang w:val="en-US"/>
                    </w:rPr>
                  </w:pPr>
                  <w:r>
                    <w:rPr>
                      <w:rFonts w:hint="default" w:ascii="Times New Roman" w:hAnsi="Times New Roman" w:eastAsia="宋体" w:cs="Times New Roman"/>
                      <w:i w:val="0"/>
                      <w:iCs w:val="0"/>
                      <w:color w:val="00B050"/>
                      <w:kern w:val="0"/>
                      <w:sz w:val="21"/>
                      <w:szCs w:val="21"/>
                      <w:u w:val="none"/>
                      <w:lang w:val="en-US" w:eastAsia="zh-CN" w:bidi="ar"/>
                    </w:rPr>
                    <w:t>7691</w:t>
                  </w:r>
                </w:p>
              </w:tc>
            </w:tr>
          </w:tbl>
          <w:p w14:paraId="34A3FFEE">
            <w:pPr>
              <w:pStyle w:val="49"/>
              <w:keepNext w:val="0"/>
              <w:keepLines w:val="0"/>
              <w:pageBreakBefore w:val="0"/>
              <w:widowControl w:val="0"/>
              <w:kinsoku/>
              <w:wordWrap/>
              <w:overflowPunct/>
              <w:topLinePunct w:val="0"/>
              <w:autoSpaceDE/>
              <w:autoSpaceDN/>
              <w:bidi w:val="0"/>
              <w:ind w:firstLine="482"/>
              <w:textAlignment w:val="auto"/>
              <w:rPr>
                <w:rFonts w:hint="default" w:ascii="Times New Roman" w:hAnsi="Times New Roman" w:cs="Times New Roman"/>
                <w:color w:val="00B050"/>
                <w:sz w:val="24"/>
              </w:rPr>
            </w:pPr>
            <w:r>
              <w:rPr>
                <w:rFonts w:hint="eastAsia" w:cs="Times New Roman"/>
                <w:color w:val="00B050"/>
                <w:sz w:val="24"/>
                <w:lang w:val="en-US" w:eastAsia="zh-CN"/>
              </w:rPr>
              <w:t>根据上表，移印工序</w:t>
            </w:r>
            <w:r>
              <w:rPr>
                <w:rFonts w:hint="default" w:ascii="Times New Roman" w:hAnsi="Times New Roman" w:cs="Times New Roman"/>
                <w:color w:val="00B050"/>
                <w:sz w:val="24"/>
                <w:lang w:val="en-US" w:eastAsia="zh-CN"/>
              </w:rPr>
              <w:t>废气量为7691</w:t>
            </w:r>
            <w:r>
              <w:rPr>
                <w:rFonts w:hint="default" w:ascii="Times New Roman" w:hAnsi="Times New Roman" w:cs="Times New Roman"/>
                <w:color w:val="00B050"/>
                <w:sz w:val="24"/>
              </w:rPr>
              <w:t>m</w:t>
            </w:r>
            <w:r>
              <w:rPr>
                <w:rFonts w:hint="default" w:ascii="Times New Roman" w:hAnsi="Times New Roman" w:cs="Times New Roman"/>
                <w:color w:val="00B050"/>
                <w:sz w:val="24"/>
                <w:vertAlign w:val="superscript"/>
              </w:rPr>
              <w:t>3</w:t>
            </w:r>
            <w:r>
              <w:rPr>
                <w:rFonts w:hint="default" w:ascii="Times New Roman" w:hAnsi="Times New Roman" w:cs="Times New Roman"/>
                <w:color w:val="00B050"/>
                <w:sz w:val="24"/>
              </w:rPr>
              <w:t>/h，</w:t>
            </w:r>
            <w:r>
              <w:rPr>
                <w:rFonts w:hint="default" w:ascii="Times New Roman" w:hAnsi="Times New Roman" w:cs="Times New Roman"/>
                <w:color w:val="00B050"/>
                <w:sz w:val="24"/>
                <w:lang w:val="en-US" w:eastAsia="zh-CN"/>
              </w:rPr>
              <w:t>本次评价取值为7700</w:t>
            </w:r>
            <w:r>
              <w:rPr>
                <w:rFonts w:hint="default" w:ascii="Times New Roman" w:hAnsi="Times New Roman" w:cs="Times New Roman"/>
                <w:color w:val="00B050"/>
                <w:sz w:val="24"/>
              </w:rPr>
              <w:t>m</w:t>
            </w:r>
            <w:r>
              <w:rPr>
                <w:rFonts w:hint="default" w:ascii="Times New Roman" w:hAnsi="Times New Roman" w:cs="Times New Roman"/>
                <w:color w:val="00B050"/>
                <w:sz w:val="24"/>
                <w:vertAlign w:val="superscript"/>
              </w:rPr>
              <w:t>3</w:t>
            </w:r>
            <w:r>
              <w:rPr>
                <w:rFonts w:hint="default" w:ascii="Times New Roman" w:hAnsi="Times New Roman" w:cs="Times New Roman"/>
                <w:color w:val="00B050"/>
                <w:sz w:val="24"/>
              </w:rPr>
              <w:t>/h。</w:t>
            </w:r>
          </w:p>
          <w:p w14:paraId="4CF4A958">
            <w:pPr>
              <w:pStyle w:val="49"/>
              <w:keepNext w:val="0"/>
              <w:keepLines w:val="0"/>
              <w:pageBreakBefore w:val="0"/>
              <w:widowControl w:val="0"/>
              <w:kinsoku/>
              <w:wordWrap/>
              <w:overflowPunct/>
              <w:topLinePunct w:val="0"/>
              <w:autoSpaceDE/>
              <w:autoSpaceDN/>
              <w:bidi w:val="0"/>
              <w:ind w:firstLine="482"/>
              <w:textAlignment w:val="auto"/>
              <w:rPr>
                <w:rFonts w:hint="eastAsia" w:ascii="Times New Roman" w:hAnsi="Times New Roman" w:eastAsia="宋体" w:cs="Times New Roman"/>
                <w:color w:val="00B050"/>
                <w:sz w:val="24"/>
                <w:lang w:val="en-US" w:eastAsia="zh-CN"/>
              </w:rPr>
            </w:pPr>
            <w:r>
              <w:rPr>
                <w:rFonts w:hint="eastAsia" w:cs="Times New Roman"/>
                <w:color w:val="00B050"/>
                <w:sz w:val="24"/>
                <w:lang w:val="en-US" w:eastAsia="zh-CN"/>
              </w:rPr>
              <w:t>本项目移印机位于注塑机旁边，属于注塑工序的辅助设施。因此，本次废气收集注塑废气和移印废气一并收集。根据上述计算，废气合计为23700</w:t>
            </w:r>
            <w:r>
              <w:rPr>
                <w:rFonts w:hint="default" w:ascii="Times New Roman" w:hAnsi="Times New Roman" w:cs="Times New Roman"/>
                <w:color w:val="00B050"/>
                <w:sz w:val="24"/>
              </w:rPr>
              <w:t>m</w:t>
            </w:r>
            <w:r>
              <w:rPr>
                <w:rFonts w:hint="default" w:ascii="Times New Roman" w:hAnsi="Times New Roman" w:cs="Times New Roman"/>
                <w:color w:val="00B050"/>
                <w:sz w:val="24"/>
                <w:vertAlign w:val="superscript"/>
              </w:rPr>
              <w:t>3</w:t>
            </w:r>
            <w:r>
              <w:rPr>
                <w:rFonts w:hint="default" w:ascii="Times New Roman" w:hAnsi="Times New Roman" w:cs="Times New Roman"/>
                <w:color w:val="00B050"/>
                <w:sz w:val="24"/>
              </w:rPr>
              <w:t>/h</w:t>
            </w:r>
            <w:r>
              <w:rPr>
                <w:rFonts w:hint="eastAsia" w:cs="Times New Roman"/>
                <w:color w:val="00B050"/>
                <w:sz w:val="24"/>
                <w:lang w:eastAsia="zh-CN"/>
              </w:rPr>
              <w:t>。废气</w:t>
            </w:r>
            <w:r>
              <w:rPr>
                <w:rFonts w:hint="eastAsia" w:cs="Times New Roman"/>
                <w:color w:val="00B050"/>
                <w:sz w:val="24"/>
                <w:lang w:val="en-US" w:eastAsia="zh-CN"/>
              </w:rPr>
              <w:t>分别收</w:t>
            </w:r>
            <w:r>
              <w:rPr>
                <w:rFonts w:hint="eastAsia" w:cs="Times New Roman"/>
                <w:color w:val="00B050"/>
                <w:sz w:val="24"/>
                <w:lang w:eastAsia="zh-CN"/>
              </w:rPr>
              <w:t>集后引至“两级活性炭”装置处理达标后，经1根32m高排气筒排放。</w:t>
            </w:r>
          </w:p>
          <w:p w14:paraId="235A1ED6">
            <w:pPr>
              <w:keepNext w:val="0"/>
              <w:keepLines w:val="0"/>
              <w:pageBreakBefore w:val="0"/>
              <w:widowControl w:val="0"/>
              <w:kinsoku/>
              <w:wordWrap/>
              <w:overflowPunct/>
              <w:topLinePunct w:val="0"/>
              <w:bidi w:val="0"/>
              <w:adjustRightInd w:val="0"/>
              <w:snapToGrid w:val="0"/>
              <w:spacing w:line="360" w:lineRule="auto"/>
              <w:ind w:firstLine="480" w:firstLineChars="200"/>
              <w:rPr>
                <w:rFonts w:hint="default" w:ascii="Times New Roman" w:hAnsi="Times New Roman" w:cs="Times New Roman"/>
                <w:color w:val="00B050"/>
                <w:spacing w:val="-3"/>
                <w:sz w:val="24"/>
                <w:highlight w:val="none"/>
              </w:rPr>
            </w:pPr>
            <w:r>
              <w:rPr>
                <w:rFonts w:hint="eastAsia" w:ascii="Times New Roman" w:hAnsi="Times New Roman" w:cs="Times New Roman"/>
                <w:color w:val="00B050"/>
                <w:sz w:val="24"/>
                <w:lang w:val="en-US" w:eastAsia="zh-CN"/>
              </w:rPr>
              <w:t>本项目</w:t>
            </w:r>
            <w:r>
              <w:rPr>
                <w:rFonts w:hint="eastAsia" w:cs="Times New Roman"/>
                <w:color w:val="00B050"/>
                <w:sz w:val="24"/>
                <w:lang w:val="en-US" w:eastAsia="zh-CN"/>
              </w:rPr>
              <w:t>采用直径为</w:t>
            </w:r>
            <w:r>
              <w:rPr>
                <w:rFonts w:hint="eastAsia" w:ascii="Times New Roman" w:hAnsi="Times New Roman" w:cs="Times New Roman"/>
                <w:color w:val="00B050"/>
                <w:sz w:val="24"/>
                <w:lang w:val="en-US" w:eastAsia="zh-CN"/>
              </w:rPr>
              <w:t>0.3m集气罩</w:t>
            </w:r>
            <w:r>
              <w:rPr>
                <w:rFonts w:hint="eastAsia" w:cs="Times New Roman"/>
                <w:color w:val="00B050"/>
                <w:sz w:val="24"/>
                <w:lang w:val="en-US" w:eastAsia="zh-CN"/>
              </w:rPr>
              <w:t>，罩口距产污点距离控制在1m左右。根据工程经验，</w:t>
            </w:r>
            <w:r>
              <w:rPr>
                <w:rFonts w:hint="eastAsia" w:ascii="Times New Roman" w:hAnsi="Times New Roman" w:cs="Times New Roman"/>
                <w:color w:val="00B050"/>
                <w:sz w:val="24"/>
                <w:lang w:val="en-US" w:eastAsia="zh-CN"/>
              </w:rPr>
              <w:t>本次收集效率取值</w:t>
            </w:r>
            <w:r>
              <w:rPr>
                <w:rFonts w:hint="default" w:ascii="Times New Roman" w:hAnsi="Times New Roman" w:cs="Times New Roman"/>
                <w:color w:val="00B050"/>
                <w:sz w:val="24"/>
              </w:rPr>
              <w:t>80%</w:t>
            </w:r>
            <w:r>
              <w:rPr>
                <w:rFonts w:hint="eastAsia" w:ascii="Times New Roman" w:hAnsi="Times New Roman" w:cs="Times New Roman"/>
                <w:color w:val="00B050"/>
                <w:sz w:val="24"/>
                <w:lang w:eastAsia="zh-CN"/>
              </w:rPr>
              <w:t>。</w:t>
            </w:r>
            <w:r>
              <w:rPr>
                <w:rFonts w:hint="default" w:ascii="Times New Roman" w:hAnsi="Times New Roman" w:cs="Times New Roman"/>
                <w:color w:val="00B050"/>
                <w:sz w:val="24"/>
                <w:highlight w:val="none"/>
              </w:rPr>
              <w:t>非甲烷总烃“两级活性炭”处理效率按</w:t>
            </w:r>
            <w:r>
              <w:rPr>
                <w:rFonts w:hint="eastAsia" w:cs="Times New Roman"/>
                <w:color w:val="00B050"/>
                <w:sz w:val="24"/>
                <w:highlight w:val="none"/>
                <w:lang w:val="en-US" w:eastAsia="zh-CN"/>
              </w:rPr>
              <w:t>75</w:t>
            </w:r>
            <w:r>
              <w:rPr>
                <w:rFonts w:hint="default" w:ascii="Times New Roman" w:hAnsi="Times New Roman" w:cs="Times New Roman"/>
                <w:color w:val="00B050"/>
                <w:sz w:val="24"/>
                <w:highlight w:val="none"/>
              </w:rPr>
              <w:t>%计。</w:t>
            </w:r>
            <w:r>
              <w:rPr>
                <w:rFonts w:hint="default" w:ascii="Times New Roman" w:hAnsi="Times New Roman" w:cs="Times New Roman"/>
                <w:color w:val="00B050"/>
                <w:spacing w:val="-3"/>
                <w:sz w:val="24"/>
                <w:highlight w:val="none"/>
              </w:rPr>
              <w:t>注塑工序每天运行8h，年工作天数为300d。</w:t>
            </w:r>
          </w:p>
          <w:p w14:paraId="2D895E3E">
            <w:pPr>
              <w:keepNext w:val="0"/>
              <w:keepLines w:val="0"/>
              <w:pageBreakBefore w:val="0"/>
              <w:widowControl w:val="0"/>
              <w:kinsoku/>
              <w:wordWrap/>
              <w:overflowPunct/>
              <w:topLinePunct w:val="0"/>
              <w:bidi w:val="0"/>
              <w:adjustRightInd w:val="0"/>
              <w:snapToGrid w:val="0"/>
              <w:spacing w:line="360" w:lineRule="auto"/>
              <w:ind w:firstLine="480" w:firstLineChars="200"/>
              <w:rPr>
                <w:rFonts w:hint="default" w:ascii="Times New Roman" w:hAnsi="Times New Roman" w:cs="Times New Roman"/>
                <w:color w:val="00B050"/>
                <w:sz w:val="24"/>
                <w:highlight w:val="none"/>
              </w:rPr>
            </w:pPr>
            <w:r>
              <w:rPr>
                <w:rFonts w:hint="default" w:ascii="Times New Roman" w:hAnsi="Times New Roman" w:cs="Times New Roman"/>
                <w:color w:val="00B050"/>
                <w:sz w:val="24"/>
                <w:highlight w:val="none"/>
              </w:rPr>
              <w:t>经核算，项目注塑废气经“两级活性炭”装置处理后，非甲烷总烃有组织排放量为</w:t>
            </w:r>
            <w:r>
              <w:rPr>
                <w:rFonts w:hint="eastAsia" w:cs="Times New Roman"/>
                <w:color w:val="00B050"/>
                <w:sz w:val="24"/>
                <w:highlight w:val="none"/>
                <w:lang w:val="en-US" w:eastAsia="zh-CN"/>
              </w:rPr>
              <w:t>0.1157</w:t>
            </w:r>
            <w:r>
              <w:rPr>
                <w:rFonts w:hint="default" w:ascii="Times New Roman" w:hAnsi="Times New Roman" w:cs="Times New Roman"/>
                <w:color w:val="00B050"/>
                <w:sz w:val="24"/>
                <w:highlight w:val="none"/>
              </w:rPr>
              <w:t>t/a，排放速率为</w:t>
            </w:r>
            <w:r>
              <w:rPr>
                <w:rFonts w:hint="eastAsia" w:cs="Times New Roman"/>
                <w:color w:val="00B050"/>
                <w:sz w:val="24"/>
                <w:highlight w:val="none"/>
                <w:lang w:val="en-US" w:eastAsia="zh-CN"/>
              </w:rPr>
              <w:t>0.0482</w:t>
            </w:r>
            <w:r>
              <w:rPr>
                <w:rFonts w:hint="default" w:ascii="Times New Roman" w:hAnsi="Times New Roman" w:cs="Times New Roman"/>
                <w:color w:val="00B050"/>
                <w:sz w:val="24"/>
                <w:highlight w:val="none"/>
              </w:rPr>
              <w:t>kg/h，排放浓度为</w:t>
            </w:r>
            <w:r>
              <w:rPr>
                <w:rFonts w:hint="eastAsia" w:cs="Times New Roman"/>
                <w:color w:val="00B050"/>
                <w:sz w:val="24"/>
                <w:highlight w:val="none"/>
                <w:lang w:val="en-US" w:eastAsia="zh-CN"/>
              </w:rPr>
              <w:t>2.0347</w:t>
            </w:r>
            <w:r>
              <w:rPr>
                <w:rFonts w:hint="default" w:ascii="Times New Roman" w:hAnsi="Times New Roman" w:cs="Times New Roman"/>
                <w:color w:val="00B050"/>
                <w:sz w:val="24"/>
                <w:highlight w:val="none"/>
              </w:rPr>
              <w:t>mg/m</w:t>
            </w:r>
            <w:r>
              <w:rPr>
                <w:rFonts w:hint="default" w:ascii="Times New Roman" w:hAnsi="Times New Roman" w:cs="Times New Roman"/>
                <w:color w:val="00B050"/>
                <w:sz w:val="24"/>
                <w:highlight w:val="none"/>
                <w:vertAlign w:val="superscript"/>
              </w:rPr>
              <w:t>3</w:t>
            </w:r>
            <w:r>
              <w:rPr>
                <w:rFonts w:hint="default" w:ascii="Times New Roman" w:hAnsi="Times New Roman" w:cs="Times New Roman"/>
                <w:color w:val="00B050"/>
                <w:sz w:val="24"/>
                <w:highlight w:val="none"/>
              </w:rPr>
              <w:t>；非甲烷总烃无组织排放量为</w:t>
            </w:r>
            <w:r>
              <w:rPr>
                <w:rFonts w:hint="eastAsia" w:cs="Times New Roman"/>
                <w:color w:val="00B050"/>
                <w:sz w:val="24"/>
                <w:highlight w:val="none"/>
                <w:lang w:val="en-US" w:eastAsia="zh-CN"/>
              </w:rPr>
              <w:t>0.1157</w:t>
            </w:r>
            <w:r>
              <w:rPr>
                <w:rFonts w:hint="default" w:ascii="Times New Roman" w:hAnsi="Times New Roman" w:cs="Times New Roman"/>
                <w:color w:val="00B050"/>
                <w:sz w:val="24"/>
                <w:highlight w:val="none"/>
              </w:rPr>
              <w:t>t/a，排放速率为</w:t>
            </w:r>
            <w:r>
              <w:rPr>
                <w:rFonts w:hint="eastAsia" w:cs="Times New Roman"/>
                <w:color w:val="00B050"/>
                <w:sz w:val="24"/>
                <w:highlight w:val="none"/>
                <w:lang w:val="en-US" w:eastAsia="zh-CN"/>
              </w:rPr>
              <w:t>0.0482</w:t>
            </w:r>
            <w:r>
              <w:rPr>
                <w:rFonts w:hint="default" w:ascii="Times New Roman" w:hAnsi="Times New Roman" w:cs="Times New Roman"/>
                <w:color w:val="00B050"/>
                <w:sz w:val="24"/>
                <w:highlight w:val="none"/>
              </w:rPr>
              <w:t>kg/h。</w:t>
            </w:r>
            <w:r>
              <w:rPr>
                <w:rFonts w:hint="eastAsia" w:ascii="Times New Roman" w:hAnsi="Times New Roman" w:cs="Times New Roman"/>
                <w:color w:val="00B050"/>
                <w:sz w:val="24"/>
                <w:highlight w:val="none"/>
                <w:lang w:val="en-US" w:eastAsia="zh-CN"/>
              </w:rPr>
              <w:t>三甲苯</w:t>
            </w:r>
            <w:r>
              <w:rPr>
                <w:rFonts w:hint="default" w:ascii="Times New Roman" w:hAnsi="Times New Roman" w:cs="Times New Roman"/>
                <w:color w:val="00B050"/>
                <w:sz w:val="24"/>
                <w:highlight w:val="none"/>
              </w:rPr>
              <w:t>有组织排放量为</w:t>
            </w:r>
            <w:r>
              <w:rPr>
                <w:rFonts w:hint="eastAsia" w:ascii="Times New Roman" w:hAnsi="Times New Roman" w:cs="Times New Roman"/>
                <w:color w:val="00B050"/>
                <w:sz w:val="24"/>
                <w:highlight w:val="none"/>
                <w:lang w:val="en-US" w:eastAsia="zh-CN"/>
              </w:rPr>
              <w:t>0.0009</w:t>
            </w:r>
            <w:r>
              <w:rPr>
                <w:rFonts w:hint="default" w:ascii="Times New Roman" w:hAnsi="Times New Roman" w:cs="Times New Roman"/>
                <w:color w:val="00B050"/>
                <w:sz w:val="24"/>
                <w:highlight w:val="none"/>
              </w:rPr>
              <w:t>t/a，排放速率为</w:t>
            </w:r>
            <w:r>
              <w:rPr>
                <w:rFonts w:hint="eastAsia" w:ascii="Times New Roman" w:hAnsi="Times New Roman" w:cs="Times New Roman"/>
                <w:color w:val="00B050"/>
                <w:sz w:val="24"/>
                <w:highlight w:val="none"/>
                <w:lang w:val="en-US" w:eastAsia="zh-CN"/>
              </w:rPr>
              <w:t>0.0004</w:t>
            </w:r>
            <w:r>
              <w:rPr>
                <w:rFonts w:hint="default" w:ascii="Times New Roman" w:hAnsi="Times New Roman" w:cs="Times New Roman"/>
                <w:color w:val="00B050"/>
                <w:sz w:val="24"/>
                <w:highlight w:val="none"/>
              </w:rPr>
              <w:t>kg/h，排放浓度为</w:t>
            </w:r>
            <w:r>
              <w:rPr>
                <w:rFonts w:hint="eastAsia" w:ascii="Times New Roman" w:hAnsi="Times New Roman" w:cs="Times New Roman"/>
                <w:color w:val="00B050"/>
                <w:sz w:val="24"/>
                <w:highlight w:val="none"/>
                <w:lang w:val="en-US" w:eastAsia="zh-CN"/>
              </w:rPr>
              <w:t>0.</w:t>
            </w:r>
            <w:r>
              <w:rPr>
                <w:rFonts w:hint="eastAsia" w:cs="Times New Roman"/>
                <w:color w:val="00B050"/>
                <w:sz w:val="24"/>
                <w:highlight w:val="none"/>
                <w:lang w:val="en-US" w:eastAsia="zh-CN"/>
              </w:rPr>
              <w:t>0158</w:t>
            </w:r>
            <w:r>
              <w:rPr>
                <w:rFonts w:hint="default" w:ascii="Times New Roman" w:hAnsi="Times New Roman" w:cs="Times New Roman"/>
                <w:color w:val="00B050"/>
                <w:sz w:val="24"/>
                <w:highlight w:val="none"/>
              </w:rPr>
              <w:t>mg/m</w:t>
            </w:r>
            <w:r>
              <w:rPr>
                <w:rFonts w:hint="default" w:ascii="Times New Roman" w:hAnsi="Times New Roman" w:cs="Times New Roman"/>
                <w:color w:val="00B050"/>
                <w:sz w:val="24"/>
                <w:highlight w:val="none"/>
                <w:vertAlign w:val="superscript"/>
              </w:rPr>
              <w:t>3</w:t>
            </w:r>
            <w:r>
              <w:rPr>
                <w:rFonts w:hint="default" w:ascii="Times New Roman" w:hAnsi="Times New Roman" w:cs="Times New Roman"/>
                <w:color w:val="00B050"/>
                <w:sz w:val="24"/>
                <w:highlight w:val="none"/>
              </w:rPr>
              <w:t>；非甲烷总烃无组织排放量为</w:t>
            </w:r>
            <w:r>
              <w:rPr>
                <w:rFonts w:hint="eastAsia" w:ascii="Times New Roman" w:hAnsi="Times New Roman" w:cs="Times New Roman"/>
                <w:color w:val="00B050"/>
                <w:sz w:val="24"/>
                <w:highlight w:val="none"/>
                <w:lang w:val="en-US" w:eastAsia="zh-CN"/>
              </w:rPr>
              <w:t>0.0009</w:t>
            </w:r>
            <w:r>
              <w:rPr>
                <w:rFonts w:hint="default" w:ascii="Times New Roman" w:hAnsi="Times New Roman" w:cs="Times New Roman"/>
                <w:color w:val="00B050"/>
                <w:sz w:val="24"/>
                <w:highlight w:val="none"/>
              </w:rPr>
              <w:t>t/a，排放速率为</w:t>
            </w:r>
            <w:r>
              <w:rPr>
                <w:rFonts w:hint="eastAsia" w:ascii="Times New Roman" w:hAnsi="Times New Roman" w:cs="Times New Roman"/>
                <w:color w:val="00B050"/>
                <w:sz w:val="24"/>
                <w:highlight w:val="none"/>
                <w:lang w:val="en-US" w:eastAsia="zh-CN"/>
              </w:rPr>
              <w:t>0.0004</w:t>
            </w:r>
            <w:r>
              <w:rPr>
                <w:rFonts w:hint="default" w:ascii="Times New Roman" w:hAnsi="Times New Roman" w:cs="Times New Roman"/>
                <w:color w:val="00B050"/>
                <w:sz w:val="24"/>
                <w:highlight w:val="none"/>
              </w:rPr>
              <w:t>kg/h。</w:t>
            </w:r>
          </w:p>
          <w:p w14:paraId="1145683E">
            <w:pPr>
              <w:keepNext w:val="0"/>
              <w:keepLines w:val="0"/>
              <w:pageBreakBefore w:val="0"/>
              <w:widowControl w:val="0"/>
              <w:numPr>
                <w:ilvl w:val="0"/>
                <w:numId w:val="0"/>
              </w:numPr>
              <w:kinsoku/>
              <w:wordWrap/>
              <w:overflowPunct/>
              <w:topLinePunct w:val="0"/>
              <w:bidi w:val="0"/>
              <w:spacing w:line="360" w:lineRule="auto"/>
              <w:ind w:left="0" w:leftChars="0" w:firstLine="482" w:firstLineChars="200"/>
              <w:jc w:val="left"/>
              <w:rPr>
                <w:rFonts w:hint="default" w:ascii="Times New Roman" w:hAnsi="Times New Roman" w:eastAsia="宋体" w:cs="Times New Roman"/>
                <w:b/>
                <w:color w:val="00B050"/>
                <w:sz w:val="24"/>
                <w:lang w:val="en-US" w:eastAsia="zh-CN"/>
              </w:rPr>
            </w:pPr>
            <w:r>
              <w:rPr>
                <w:rFonts w:hint="default" w:ascii="Times New Roman" w:hAnsi="Times New Roman" w:cs="Times New Roman"/>
                <w:b/>
                <w:color w:val="00B050"/>
                <w:kern w:val="2"/>
                <w:sz w:val="24"/>
                <w:szCs w:val="24"/>
                <w:lang w:val="en-US" w:eastAsia="zh-CN" w:bidi="ar-SA"/>
              </w:rPr>
              <w:t>（</w:t>
            </w:r>
            <w:r>
              <w:rPr>
                <w:rFonts w:hint="eastAsia" w:cs="Times New Roman"/>
                <w:b/>
                <w:color w:val="00B050"/>
                <w:kern w:val="2"/>
                <w:sz w:val="24"/>
                <w:szCs w:val="24"/>
                <w:lang w:val="en-US" w:eastAsia="zh-CN" w:bidi="ar-SA"/>
              </w:rPr>
              <w:t>3</w:t>
            </w:r>
            <w:r>
              <w:rPr>
                <w:rFonts w:hint="default" w:ascii="Times New Roman" w:hAnsi="Times New Roman" w:cs="Times New Roman"/>
                <w:b/>
                <w:color w:val="00B050"/>
                <w:kern w:val="2"/>
                <w:sz w:val="24"/>
                <w:szCs w:val="24"/>
                <w:lang w:val="en-US" w:eastAsia="zh-CN" w:bidi="ar-SA"/>
              </w:rPr>
              <w:t>）</w:t>
            </w:r>
            <w:r>
              <w:rPr>
                <w:rFonts w:hint="default" w:ascii="Times New Roman" w:hAnsi="Times New Roman" w:cs="Times New Roman"/>
                <w:b/>
                <w:color w:val="00B050"/>
                <w:sz w:val="24"/>
                <w:lang w:val="en-US" w:eastAsia="zh-CN"/>
              </w:rPr>
              <w:t>注塑</w:t>
            </w:r>
            <w:r>
              <w:rPr>
                <w:rFonts w:hint="default" w:ascii="Times New Roman" w:hAnsi="Times New Roman" w:cs="Times New Roman"/>
                <w:b/>
                <w:color w:val="00B050"/>
                <w:sz w:val="24"/>
              </w:rPr>
              <w:t>废气G2</w:t>
            </w:r>
            <w:r>
              <w:rPr>
                <w:rFonts w:hint="eastAsia" w:cs="Times New Roman"/>
                <w:b/>
                <w:color w:val="00B050"/>
                <w:sz w:val="24"/>
                <w:lang w:val="en-US" w:eastAsia="zh-CN"/>
              </w:rPr>
              <w:t>-2（手机充电器塑胶外壳产品注塑）</w:t>
            </w:r>
          </w:p>
          <w:p w14:paraId="25E55FF9">
            <w:pPr>
              <w:keepNext w:val="0"/>
              <w:keepLines w:val="0"/>
              <w:pageBreakBefore w:val="0"/>
              <w:widowControl w:val="0"/>
              <w:kinsoku/>
              <w:wordWrap/>
              <w:overflowPunct/>
              <w:topLinePunct w:val="0"/>
              <w:bidi w:val="0"/>
              <w:spacing w:line="360" w:lineRule="auto"/>
              <w:ind w:firstLine="480" w:firstLineChars="200"/>
              <w:rPr>
                <w:rFonts w:hint="default" w:ascii="Times New Roman" w:hAnsi="Times New Roman" w:cs="Times New Roman"/>
                <w:bCs/>
                <w:color w:val="00B050"/>
                <w:sz w:val="24"/>
              </w:rPr>
            </w:pPr>
            <w:r>
              <w:rPr>
                <w:rFonts w:hint="eastAsia" w:cs="Times New Roman"/>
                <w:bCs/>
                <w:color w:val="00B050"/>
                <w:sz w:val="24"/>
                <w:lang w:val="en-US" w:eastAsia="zh-CN"/>
              </w:rPr>
              <w:t>手机充电器塑胶外壳</w:t>
            </w:r>
            <w:r>
              <w:rPr>
                <w:rFonts w:hint="default" w:ascii="Times New Roman" w:hAnsi="Times New Roman" w:cs="Times New Roman"/>
                <w:bCs/>
                <w:color w:val="00B050"/>
                <w:sz w:val="24"/>
              </w:rPr>
              <w:t>注塑机采用电加热，注塑机开模过程中会产生有机废气。根据原料理化性质可知，各类塑料的注塑温度均低于塑料的分解温度，因此不会导致塑料粒子的热分解。但塑料原料在受热情况下，少量游离单体可能挥发出来。</w:t>
            </w:r>
          </w:p>
          <w:p w14:paraId="076E18C2">
            <w:pPr>
              <w:keepNext w:val="0"/>
              <w:keepLines w:val="0"/>
              <w:pageBreakBefore w:val="0"/>
              <w:widowControl w:val="0"/>
              <w:numPr>
                <w:ilvl w:val="0"/>
                <w:numId w:val="0"/>
              </w:numPr>
              <w:kinsoku/>
              <w:wordWrap/>
              <w:overflowPunct/>
              <w:topLinePunct w:val="0"/>
              <w:bidi w:val="0"/>
              <w:spacing w:line="360" w:lineRule="auto"/>
              <w:ind w:firstLine="480" w:firstLineChars="200"/>
              <w:jc w:val="left"/>
              <w:rPr>
                <w:rFonts w:hint="default" w:ascii="Times New Roman" w:hAnsi="Times New Roman" w:cs="Times New Roman"/>
                <w:bCs/>
                <w:color w:val="00B050"/>
                <w:sz w:val="24"/>
                <w:lang w:val="en-US"/>
              </w:rPr>
            </w:pPr>
            <w:r>
              <w:rPr>
                <w:rFonts w:hint="eastAsia" w:cs="Times New Roman"/>
                <w:bCs/>
                <w:color w:val="00B050"/>
                <w:sz w:val="24"/>
                <w:highlight w:val="none"/>
                <w:lang w:val="en-US" w:eastAsia="zh-CN"/>
              </w:rPr>
              <w:t>本项目注塑原料包括：PC、PBT+30GF。原料在加热过程中会产生碳氢化合物、颗粒物、乙醛、酚类、氯苯类、二氯甲烷等挥发性有机物产生</w:t>
            </w:r>
            <w:r>
              <w:rPr>
                <w:rFonts w:hint="default" w:ascii="Times New Roman" w:hAnsi="Times New Roman" w:cs="Times New Roman"/>
                <w:bCs/>
                <w:color w:val="00B050"/>
                <w:sz w:val="24"/>
                <w:szCs w:val="24"/>
                <w:highlight w:val="none"/>
              </w:rPr>
              <w:t>。</w:t>
            </w:r>
            <w:r>
              <w:rPr>
                <w:rFonts w:hint="eastAsia" w:cs="Times New Roman"/>
                <w:bCs/>
                <w:color w:val="00B050"/>
                <w:sz w:val="24"/>
                <w:szCs w:val="24"/>
                <w:highlight w:val="none"/>
                <w:lang w:val="en-US" w:eastAsia="zh-CN"/>
              </w:rPr>
              <w:t>由于</w:t>
            </w:r>
            <w:r>
              <w:rPr>
                <w:rFonts w:hint="eastAsia" w:cs="Times New Roman"/>
                <w:bCs/>
                <w:color w:val="00B050"/>
                <w:sz w:val="24"/>
                <w:highlight w:val="none"/>
                <w:lang w:val="en-US" w:eastAsia="zh-CN"/>
              </w:rPr>
              <w:t>乙醛、酚类、氯苯类、二氯甲烷</w:t>
            </w:r>
            <w:r>
              <w:rPr>
                <w:rFonts w:hint="eastAsia" w:cs="Times New Roman"/>
                <w:bCs/>
                <w:color w:val="00B050"/>
                <w:sz w:val="24"/>
                <w:szCs w:val="24"/>
                <w:highlight w:val="none"/>
                <w:lang w:val="en-US" w:eastAsia="zh-CN"/>
              </w:rPr>
              <w:t>产生量极少。</w:t>
            </w:r>
            <w:r>
              <w:rPr>
                <w:rFonts w:hint="default" w:ascii="Times New Roman" w:hAnsi="Times New Roman" w:cs="Times New Roman"/>
                <w:bCs/>
                <w:color w:val="00B050"/>
                <w:sz w:val="24"/>
                <w:szCs w:val="24"/>
                <w:highlight w:val="none"/>
              </w:rPr>
              <w:t>因此，类比同类项目，并结合项目实际情况，本次评价以非甲烷总烃、颗粒物作为注塑废气评价因子。</w:t>
            </w:r>
          </w:p>
          <w:p w14:paraId="6C0947E5">
            <w:pPr>
              <w:keepNext w:val="0"/>
              <w:keepLines w:val="0"/>
              <w:pageBreakBefore w:val="0"/>
              <w:widowControl w:val="0"/>
              <w:kinsoku/>
              <w:wordWrap/>
              <w:overflowPunct/>
              <w:topLinePunct w:val="0"/>
              <w:bidi w:val="0"/>
              <w:spacing w:line="360" w:lineRule="auto"/>
              <w:ind w:firstLine="482" w:firstLineChars="200"/>
              <w:jc w:val="left"/>
              <w:rPr>
                <w:rFonts w:hint="default" w:ascii="Times New Roman" w:hAnsi="Times New Roman" w:cs="Times New Roman"/>
                <w:bCs/>
                <w:color w:val="00B050"/>
                <w:sz w:val="24"/>
                <w:highlight w:val="none"/>
              </w:rPr>
            </w:pPr>
            <w:r>
              <w:rPr>
                <w:rFonts w:hint="default" w:ascii="Times New Roman" w:hAnsi="Times New Roman" w:cs="Times New Roman"/>
                <w:b/>
                <w:bCs w:val="0"/>
                <w:color w:val="00B050"/>
                <w:sz w:val="24"/>
                <w:highlight w:val="none"/>
              </w:rPr>
              <w:t>非甲烷总烃</w:t>
            </w:r>
            <w:r>
              <w:rPr>
                <w:rFonts w:hint="default" w:ascii="Times New Roman" w:hAnsi="Times New Roman" w:cs="Times New Roman"/>
                <w:b/>
                <w:bCs w:val="0"/>
                <w:color w:val="00B050"/>
                <w:sz w:val="24"/>
                <w:highlight w:val="none"/>
                <w:lang w:eastAsia="zh-CN"/>
              </w:rPr>
              <w:t>：</w:t>
            </w:r>
            <w:r>
              <w:rPr>
                <w:rFonts w:hint="default" w:ascii="Times New Roman" w:hAnsi="Times New Roman" w:cs="Times New Roman"/>
                <w:bCs/>
                <w:color w:val="00B050"/>
                <w:sz w:val="24"/>
                <w:highlight w:val="none"/>
              </w:rPr>
              <w:t>参考《排放源统计调查产排污核算方法和系数手册》“292 塑料制品行业系数手册-2929 塑料零件及其他塑料制品制造行业系数表”，挥发性有机物产污系数按照2.70kg/t-产品计。</w:t>
            </w:r>
          </w:p>
          <w:p w14:paraId="53EE7373">
            <w:pPr>
              <w:keepNext w:val="0"/>
              <w:keepLines w:val="0"/>
              <w:pageBreakBefore w:val="0"/>
              <w:widowControl w:val="0"/>
              <w:kinsoku/>
              <w:wordWrap/>
              <w:overflowPunct/>
              <w:topLinePunct w:val="0"/>
              <w:bidi w:val="0"/>
              <w:spacing w:line="360" w:lineRule="auto"/>
              <w:ind w:firstLine="480" w:firstLineChars="200"/>
              <w:jc w:val="left"/>
              <w:rPr>
                <w:rFonts w:hint="default" w:ascii="Times New Roman" w:hAnsi="Times New Roman" w:cs="Times New Roman"/>
                <w:bCs/>
                <w:color w:val="00B050"/>
                <w:sz w:val="24"/>
                <w:lang w:val="en-US" w:eastAsia="zh-CN"/>
              </w:rPr>
            </w:pPr>
            <w:r>
              <w:rPr>
                <w:rFonts w:hint="default" w:ascii="Times New Roman" w:hAnsi="Times New Roman" w:cs="Times New Roman"/>
                <w:bCs/>
                <w:color w:val="00B050"/>
                <w:sz w:val="24"/>
                <w:highlight w:val="none"/>
              </w:rPr>
              <w:t>本项目</w:t>
            </w:r>
            <w:r>
              <w:rPr>
                <w:rFonts w:hint="eastAsia" w:cs="Times New Roman"/>
                <w:bCs/>
                <w:color w:val="00B050"/>
                <w:sz w:val="24"/>
                <w:lang w:val="en-US" w:eastAsia="zh-CN"/>
              </w:rPr>
              <w:t>手机充电器塑胶外壳由注塑件和五金件（黄铜和铝片）组成</w:t>
            </w:r>
            <w:r>
              <w:rPr>
                <w:rFonts w:hint="eastAsia" w:cs="Times New Roman"/>
                <w:bCs/>
                <w:color w:val="00B050"/>
                <w:sz w:val="24"/>
                <w:highlight w:val="none"/>
                <w:lang w:val="en-US" w:eastAsia="zh-CN"/>
              </w:rPr>
              <w:t>，</w:t>
            </w:r>
            <w:r>
              <w:rPr>
                <w:rFonts w:hint="default" w:ascii="Times New Roman" w:hAnsi="Times New Roman" w:cs="Times New Roman"/>
                <w:bCs/>
                <w:color w:val="00B050"/>
                <w:sz w:val="24"/>
                <w:highlight w:val="none"/>
              </w:rPr>
              <w:t>约</w:t>
            </w:r>
            <w:r>
              <w:rPr>
                <w:rFonts w:hint="eastAsia" w:cs="Times New Roman"/>
                <w:bCs/>
                <w:color w:val="00B050"/>
                <w:sz w:val="24"/>
                <w:highlight w:val="none"/>
                <w:lang w:val="en-US" w:eastAsia="zh-CN"/>
              </w:rPr>
              <w:t>712.8678</w:t>
            </w:r>
            <w:r>
              <w:rPr>
                <w:rFonts w:hint="default" w:ascii="Times New Roman" w:hAnsi="Times New Roman" w:cs="Times New Roman"/>
                <w:bCs/>
                <w:color w:val="00B050"/>
                <w:sz w:val="24"/>
                <w:highlight w:val="none"/>
              </w:rPr>
              <w:t>t/a</w:t>
            </w:r>
            <w:r>
              <w:rPr>
                <w:rFonts w:hint="eastAsia" w:cs="Times New Roman"/>
                <w:bCs/>
                <w:color w:val="00B050"/>
                <w:sz w:val="24"/>
                <w:highlight w:val="none"/>
                <w:lang w:eastAsia="zh-CN"/>
              </w:rPr>
              <w:t>（</w:t>
            </w:r>
            <w:r>
              <w:rPr>
                <w:rFonts w:hint="eastAsia" w:cs="Times New Roman"/>
                <w:bCs/>
                <w:color w:val="00B050"/>
                <w:sz w:val="24"/>
                <w:highlight w:val="none"/>
                <w:lang w:val="en-US" w:eastAsia="zh-CN"/>
              </w:rPr>
              <w:t>其中五金件（</w:t>
            </w:r>
            <w:r>
              <w:rPr>
                <w:rFonts w:hint="eastAsia" w:cs="Times New Roman"/>
                <w:bCs/>
                <w:color w:val="00B050"/>
                <w:sz w:val="24"/>
                <w:lang w:val="en-US" w:eastAsia="zh-CN"/>
              </w:rPr>
              <w:t>黄铜和铝片</w:t>
            </w:r>
            <w:r>
              <w:rPr>
                <w:rFonts w:hint="eastAsia" w:cs="Times New Roman"/>
                <w:bCs/>
                <w:color w:val="00B050"/>
                <w:sz w:val="24"/>
                <w:highlight w:val="none"/>
                <w:lang w:val="en-US" w:eastAsia="zh-CN"/>
              </w:rPr>
              <w:t>）110t/a、注塑件602.8678t/a</w:t>
            </w:r>
            <w:r>
              <w:rPr>
                <w:rFonts w:hint="eastAsia" w:cs="Times New Roman"/>
                <w:bCs/>
                <w:color w:val="00B050"/>
                <w:sz w:val="24"/>
                <w:highlight w:val="none"/>
                <w:lang w:eastAsia="zh-CN"/>
              </w:rPr>
              <w:t>）</w:t>
            </w:r>
            <w:r>
              <w:rPr>
                <w:rFonts w:hint="eastAsia" w:cs="Times New Roman"/>
                <w:bCs/>
                <w:color w:val="00B050"/>
                <w:sz w:val="24"/>
                <w:highlight w:val="none"/>
                <w:lang w:val="en-US" w:eastAsia="zh-CN"/>
              </w:rPr>
              <w:t>。因此，本次评价</w:t>
            </w:r>
            <w:r>
              <w:rPr>
                <w:rFonts w:hint="eastAsia" w:cs="Times New Roman"/>
                <w:bCs/>
                <w:color w:val="00B050"/>
                <w:sz w:val="24"/>
                <w:lang w:val="en-US" w:eastAsia="zh-CN"/>
              </w:rPr>
              <w:t>手机充电器塑胶外壳产品按照</w:t>
            </w:r>
            <w:r>
              <w:rPr>
                <w:rFonts w:hint="eastAsia" w:cs="Times New Roman"/>
                <w:bCs/>
                <w:color w:val="00B050"/>
                <w:sz w:val="24"/>
                <w:highlight w:val="none"/>
                <w:lang w:val="en-US" w:eastAsia="zh-CN"/>
              </w:rPr>
              <w:t>602.8678t/a来核算注塑工序</w:t>
            </w:r>
            <w:r>
              <w:rPr>
                <w:rFonts w:hint="default" w:ascii="Times New Roman" w:hAnsi="Times New Roman" w:cs="Times New Roman"/>
                <w:bCs/>
                <w:color w:val="00B050"/>
                <w:sz w:val="24"/>
                <w:highlight w:val="none"/>
              </w:rPr>
              <w:t>非甲烷总烃</w:t>
            </w:r>
            <w:r>
              <w:rPr>
                <w:rFonts w:hint="eastAsia" w:cs="Times New Roman"/>
                <w:bCs/>
                <w:color w:val="00B050"/>
                <w:sz w:val="24"/>
                <w:highlight w:val="none"/>
                <w:lang w:val="en-US" w:eastAsia="zh-CN"/>
              </w:rPr>
              <w:t>源强</w:t>
            </w:r>
            <w:r>
              <w:rPr>
                <w:rFonts w:hint="eastAsia" w:cs="Times New Roman"/>
                <w:bCs/>
                <w:color w:val="00B050"/>
                <w:sz w:val="24"/>
                <w:highlight w:val="none"/>
                <w:lang w:eastAsia="zh-CN"/>
              </w:rPr>
              <w:t>。</w:t>
            </w:r>
            <w:r>
              <w:rPr>
                <w:rFonts w:hint="eastAsia" w:cs="Times New Roman"/>
                <w:bCs/>
                <w:color w:val="00B050"/>
                <w:sz w:val="24"/>
                <w:highlight w:val="none"/>
                <w:lang w:val="en-US" w:eastAsia="zh-CN"/>
              </w:rPr>
              <w:t>经核算，</w:t>
            </w:r>
            <w:r>
              <w:rPr>
                <w:rFonts w:hint="default" w:ascii="Times New Roman" w:hAnsi="Times New Roman" w:cs="Times New Roman"/>
                <w:bCs/>
                <w:color w:val="00B050"/>
                <w:sz w:val="24"/>
                <w:highlight w:val="none"/>
              </w:rPr>
              <w:t>以非甲烷总烃计产生量约</w:t>
            </w:r>
            <w:r>
              <w:rPr>
                <w:rFonts w:hint="eastAsia" w:cs="Times New Roman"/>
                <w:bCs/>
                <w:color w:val="00B050"/>
                <w:sz w:val="24"/>
                <w:highlight w:val="none"/>
                <w:lang w:val="en-US" w:eastAsia="zh-CN"/>
              </w:rPr>
              <w:t>1.6322</w:t>
            </w:r>
            <w:r>
              <w:rPr>
                <w:rFonts w:hint="default" w:ascii="Times New Roman" w:hAnsi="Times New Roman" w:cs="Times New Roman"/>
                <w:bCs/>
                <w:color w:val="00B050"/>
                <w:sz w:val="24"/>
                <w:highlight w:val="none"/>
              </w:rPr>
              <w:t>t/a。</w:t>
            </w:r>
          </w:p>
          <w:p w14:paraId="41A43352">
            <w:pPr>
              <w:keepNext w:val="0"/>
              <w:keepLines w:val="0"/>
              <w:pageBreakBefore w:val="0"/>
              <w:widowControl w:val="0"/>
              <w:kinsoku/>
              <w:wordWrap/>
              <w:overflowPunct/>
              <w:topLinePunct w:val="0"/>
              <w:bidi w:val="0"/>
              <w:spacing w:line="360" w:lineRule="auto"/>
              <w:ind w:firstLine="482" w:firstLineChars="200"/>
              <w:jc w:val="left"/>
              <w:rPr>
                <w:rFonts w:hint="default" w:ascii="Times New Roman" w:hAnsi="Times New Roman" w:cs="Times New Roman"/>
                <w:bCs/>
                <w:color w:val="00B050"/>
                <w:sz w:val="24"/>
              </w:rPr>
            </w:pPr>
            <w:r>
              <w:rPr>
                <w:rFonts w:hint="default" w:ascii="Times New Roman" w:hAnsi="Times New Roman" w:cs="Times New Roman"/>
                <w:b/>
                <w:bCs/>
                <w:color w:val="00B050"/>
                <w:sz w:val="24"/>
              </w:rPr>
              <w:t>废气收集方式及设计风量</w:t>
            </w:r>
            <w:r>
              <w:rPr>
                <w:rFonts w:hint="default" w:ascii="Times New Roman" w:hAnsi="Times New Roman" w:cs="Times New Roman"/>
                <w:bCs/>
                <w:color w:val="00B050"/>
                <w:sz w:val="24"/>
              </w:rPr>
              <w:t>：</w:t>
            </w:r>
          </w:p>
          <w:p w14:paraId="37089C93">
            <w:pPr>
              <w:keepNext w:val="0"/>
              <w:keepLines w:val="0"/>
              <w:pageBreakBefore w:val="0"/>
              <w:widowControl w:val="0"/>
              <w:kinsoku/>
              <w:wordWrap/>
              <w:overflowPunct/>
              <w:topLinePunct w:val="0"/>
              <w:bidi w:val="0"/>
              <w:spacing w:line="360" w:lineRule="auto"/>
              <w:ind w:firstLine="480" w:firstLineChars="200"/>
              <w:jc w:val="left"/>
              <w:rPr>
                <w:rFonts w:hint="default" w:ascii="Times New Roman" w:hAnsi="Times New Roman" w:cs="Times New Roman"/>
                <w:bCs/>
                <w:color w:val="00B050"/>
                <w:sz w:val="24"/>
              </w:rPr>
            </w:pPr>
            <w:r>
              <w:rPr>
                <w:rFonts w:hint="eastAsia" w:cs="Times New Roman"/>
                <w:bCs/>
                <w:color w:val="00B050"/>
                <w:sz w:val="24"/>
                <w:lang w:val="en-US" w:eastAsia="zh-CN"/>
              </w:rPr>
              <w:t>手机充电器塑胶外壳注塑</w:t>
            </w:r>
            <w:r>
              <w:rPr>
                <w:rFonts w:hint="default" w:ascii="Times New Roman" w:hAnsi="Times New Roman" w:cs="Times New Roman"/>
                <w:bCs/>
                <w:color w:val="00B050"/>
                <w:sz w:val="24"/>
              </w:rPr>
              <w:t>设有</w:t>
            </w:r>
            <w:r>
              <w:rPr>
                <w:rFonts w:hint="eastAsia" w:cs="Times New Roman"/>
                <w:bCs/>
                <w:color w:val="00B050"/>
                <w:sz w:val="24"/>
                <w:lang w:val="en-US" w:eastAsia="zh-CN"/>
              </w:rPr>
              <w:t>38</w:t>
            </w:r>
            <w:r>
              <w:rPr>
                <w:rFonts w:hint="default" w:ascii="Times New Roman" w:hAnsi="Times New Roman" w:cs="Times New Roman"/>
                <w:bCs/>
                <w:color w:val="00B050"/>
                <w:sz w:val="24"/>
              </w:rPr>
              <w:t>台注塑机</w:t>
            </w:r>
            <w:r>
              <w:rPr>
                <w:rFonts w:hint="default" w:ascii="Times New Roman" w:hAnsi="Times New Roman" w:cs="Times New Roman"/>
                <w:bCs/>
                <w:color w:val="00B050"/>
                <w:sz w:val="24"/>
                <w:lang w:val="en-US" w:eastAsia="zh-CN"/>
              </w:rPr>
              <w:t>，</w:t>
            </w:r>
            <w:r>
              <w:rPr>
                <w:rFonts w:hint="default" w:ascii="Times New Roman" w:hAnsi="Times New Roman" w:cs="Times New Roman"/>
                <w:bCs/>
                <w:color w:val="00B050"/>
                <w:sz w:val="24"/>
              </w:rPr>
              <w:t>拟在每台</w:t>
            </w:r>
            <w:r>
              <w:rPr>
                <w:rFonts w:hint="default" w:ascii="Times New Roman" w:hAnsi="Times New Roman" w:cs="Times New Roman"/>
                <w:bCs/>
                <w:color w:val="00B050"/>
                <w:sz w:val="24"/>
                <w:lang w:val="en-US" w:eastAsia="zh-CN"/>
              </w:rPr>
              <w:t>设备</w:t>
            </w:r>
            <w:r>
              <w:rPr>
                <w:rFonts w:hint="default" w:ascii="Times New Roman" w:hAnsi="Times New Roman" w:cs="Times New Roman"/>
                <w:bCs/>
                <w:color w:val="00B050"/>
                <w:sz w:val="24"/>
              </w:rPr>
              <w:t>的出料口上方设置集气罩，对注塑废气进行收集。</w:t>
            </w:r>
          </w:p>
          <w:p w14:paraId="7420B178">
            <w:pPr>
              <w:pStyle w:val="14"/>
              <w:keepNext w:val="0"/>
              <w:keepLines w:val="0"/>
              <w:pageBreakBefore w:val="0"/>
              <w:widowControl w:val="0"/>
              <w:kinsoku/>
              <w:wordWrap/>
              <w:overflowPunct/>
              <w:topLinePunct w:val="0"/>
              <w:bidi w:val="0"/>
              <w:snapToGrid/>
              <w:spacing w:before="0" w:after="0" w:line="360" w:lineRule="auto"/>
              <w:ind w:right="0" w:firstLine="480" w:firstLineChars="200"/>
              <w:rPr>
                <w:rFonts w:hint="default" w:ascii="Times New Roman" w:hAnsi="Times New Roman" w:cs="Times New Roman"/>
                <w:color w:val="00B050"/>
                <w:kern w:val="2"/>
                <w:sz w:val="24"/>
                <w:szCs w:val="24"/>
              </w:rPr>
            </w:pPr>
            <w:r>
              <w:rPr>
                <w:rFonts w:hint="default" w:ascii="Times New Roman" w:hAnsi="Times New Roman" w:cs="Times New Roman"/>
                <w:color w:val="00B050"/>
                <w:kern w:val="2"/>
                <w:sz w:val="24"/>
                <w:szCs w:val="24"/>
              </w:rPr>
              <w:t>本项目每个注塑机开模处设置1个上部伞形集气罩对注塑废气进行收集，集气罩内径为0.3m。根据《废气处理工程技术手册》</w:t>
            </w:r>
            <w:r>
              <w:rPr>
                <w:rFonts w:hint="default" w:ascii="Times New Roman" w:hAnsi="Times New Roman" w:cs="Times New Roman"/>
                <w:color w:val="00B050"/>
                <w:sz w:val="24"/>
                <w:szCs w:val="24"/>
              </w:rPr>
              <w:t>（化学工业出版社，2012.11，王纯、张殿印主编）</w:t>
            </w:r>
            <w:r>
              <w:rPr>
                <w:rFonts w:hint="default" w:ascii="Times New Roman" w:hAnsi="Times New Roman" w:cs="Times New Roman"/>
                <w:color w:val="00B050"/>
                <w:kern w:val="2"/>
                <w:sz w:val="24"/>
                <w:szCs w:val="24"/>
              </w:rPr>
              <w:t>。</w:t>
            </w:r>
          </w:p>
          <w:p w14:paraId="1997E703">
            <w:pPr>
              <w:pStyle w:val="14"/>
              <w:keepNext w:val="0"/>
              <w:keepLines w:val="0"/>
              <w:pageBreakBefore w:val="0"/>
              <w:widowControl w:val="0"/>
              <w:kinsoku/>
              <w:wordWrap/>
              <w:overflowPunct/>
              <w:topLinePunct w:val="0"/>
              <w:bidi w:val="0"/>
              <w:snapToGrid/>
              <w:spacing w:before="0" w:after="0" w:line="360" w:lineRule="auto"/>
              <w:ind w:right="0" w:firstLine="480" w:firstLineChars="200"/>
              <w:rPr>
                <w:rFonts w:hint="default" w:ascii="Times New Roman" w:hAnsi="Times New Roman" w:cs="Times New Roman"/>
                <w:color w:val="00B050"/>
                <w:sz w:val="24"/>
                <w:szCs w:val="24"/>
              </w:rPr>
            </w:pPr>
            <w:r>
              <w:rPr>
                <w:rFonts w:hint="default" w:ascii="Times New Roman" w:hAnsi="Times New Roman" w:cs="Times New Roman"/>
                <w:color w:val="00B050"/>
                <w:sz w:val="24"/>
                <w:szCs w:val="24"/>
              </w:rPr>
              <w:t>根据该手册，上部伞形罩排气量计算公式如下：</w:t>
            </w:r>
          </w:p>
          <w:p w14:paraId="75EA3C24">
            <w:pPr>
              <w:pStyle w:val="229"/>
              <w:keepNext w:val="0"/>
              <w:keepLines w:val="0"/>
              <w:pageBreakBefore w:val="0"/>
              <w:widowControl w:val="0"/>
              <w:kinsoku/>
              <w:wordWrap/>
              <w:overflowPunct/>
              <w:topLinePunct w:val="0"/>
              <w:autoSpaceDE w:val="0"/>
              <w:autoSpaceDN w:val="0"/>
              <w:bidi w:val="0"/>
              <w:adjustRightInd w:val="0"/>
              <w:spacing w:line="360" w:lineRule="auto"/>
              <w:ind w:firstLine="480"/>
              <w:jc w:val="center"/>
              <w:textAlignment w:val="baseline"/>
              <w:rPr>
                <w:rFonts w:hint="default" w:ascii="Times New Roman" w:hAnsi="Times New Roman" w:cs="Times New Roman"/>
                <w:color w:val="00B050"/>
                <w:sz w:val="28"/>
                <w:szCs w:val="28"/>
              </w:rPr>
            </w:pPr>
            <w:r>
              <w:rPr>
                <w:rFonts w:hint="default" w:ascii="Times New Roman" w:hAnsi="Times New Roman" w:cs="Times New Roman"/>
                <w:color w:val="00B050"/>
                <w:sz w:val="24"/>
                <w:szCs w:val="24"/>
              </w:rPr>
              <w:t>Q=1.4ÞH</w:t>
            </w:r>
            <w:r>
              <w:rPr>
                <w:rFonts w:hint="default" w:ascii="Times New Roman" w:hAnsi="Times New Roman" w:cs="Times New Roman"/>
                <w:color w:val="00B050"/>
                <w:sz w:val="28"/>
                <w:szCs w:val="28"/>
              </w:rPr>
              <w:t>υ</w:t>
            </w:r>
            <w:r>
              <w:rPr>
                <w:rFonts w:hint="default" w:ascii="Times New Roman" w:hAnsi="Times New Roman" w:cs="Times New Roman"/>
                <w:color w:val="00B050"/>
                <w:sz w:val="28"/>
                <w:szCs w:val="28"/>
                <w:vertAlign w:val="subscript"/>
              </w:rPr>
              <w:t>χ</w:t>
            </w:r>
            <w:r>
              <w:rPr>
                <w:rFonts w:hint="default" w:ascii="Times New Roman" w:hAnsi="Times New Roman" w:cs="Times New Roman"/>
                <w:color w:val="00B050"/>
                <w:sz w:val="28"/>
                <w:szCs w:val="28"/>
              </w:rPr>
              <w:t>（</w:t>
            </w:r>
            <w:r>
              <w:rPr>
                <w:rFonts w:hint="default" w:ascii="Times New Roman" w:hAnsi="Times New Roman" w:cs="Times New Roman"/>
                <w:color w:val="00B050"/>
                <w:sz w:val="24"/>
                <w:szCs w:val="24"/>
              </w:rPr>
              <w:t>m</w:t>
            </w:r>
            <w:r>
              <w:rPr>
                <w:rFonts w:hint="default" w:ascii="Times New Roman" w:hAnsi="Times New Roman" w:cs="Times New Roman"/>
                <w:color w:val="00B050"/>
                <w:sz w:val="24"/>
                <w:szCs w:val="24"/>
                <w:vertAlign w:val="superscript"/>
              </w:rPr>
              <w:t>3</w:t>
            </w:r>
            <w:r>
              <w:rPr>
                <w:rFonts w:hint="default" w:ascii="Times New Roman" w:hAnsi="Times New Roman" w:cs="Times New Roman"/>
                <w:color w:val="00B050"/>
                <w:sz w:val="24"/>
                <w:szCs w:val="24"/>
              </w:rPr>
              <w:t>/s</w:t>
            </w:r>
            <w:r>
              <w:rPr>
                <w:rFonts w:hint="default" w:ascii="Times New Roman" w:hAnsi="Times New Roman" w:cs="Times New Roman"/>
                <w:color w:val="00B050"/>
                <w:sz w:val="28"/>
                <w:szCs w:val="28"/>
              </w:rPr>
              <w:t>）</w:t>
            </w:r>
          </w:p>
          <w:p w14:paraId="7AD8AA89">
            <w:pPr>
              <w:pStyle w:val="229"/>
              <w:keepNext w:val="0"/>
              <w:keepLines w:val="0"/>
              <w:pageBreakBefore w:val="0"/>
              <w:widowControl w:val="0"/>
              <w:kinsoku/>
              <w:wordWrap/>
              <w:overflowPunct/>
              <w:topLinePunct w:val="0"/>
              <w:autoSpaceDE w:val="0"/>
              <w:autoSpaceDN w:val="0"/>
              <w:bidi w:val="0"/>
              <w:adjustRightInd w:val="0"/>
              <w:spacing w:line="360" w:lineRule="auto"/>
              <w:ind w:firstLine="480"/>
              <w:textAlignment w:val="baseline"/>
              <w:rPr>
                <w:rFonts w:hint="default" w:ascii="Times New Roman" w:hAnsi="Times New Roman" w:cs="Times New Roman"/>
                <w:color w:val="00B050"/>
                <w:sz w:val="24"/>
                <w:szCs w:val="24"/>
              </w:rPr>
            </w:pPr>
            <w:r>
              <w:rPr>
                <w:rFonts w:hint="default" w:ascii="Times New Roman" w:hAnsi="Times New Roman" w:cs="Times New Roman"/>
                <w:color w:val="00B050"/>
                <w:sz w:val="24"/>
                <w:szCs w:val="24"/>
              </w:rPr>
              <w:t>Þ为罩口周长；Þ=πd；d为集气罩内径0.3m，则Þ为0.942m；</w:t>
            </w:r>
          </w:p>
          <w:p w14:paraId="6EDF3A74">
            <w:pPr>
              <w:pStyle w:val="14"/>
              <w:keepNext w:val="0"/>
              <w:keepLines w:val="0"/>
              <w:pageBreakBefore w:val="0"/>
              <w:widowControl w:val="0"/>
              <w:kinsoku/>
              <w:wordWrap/>
              <w:overflowPunct/>
              <w:topLinePunct w:val="0"/>
              <w:bidi w:val="0"/>
              <w:snapToGrid/>
              <w:spacing w:before="0" w:after="0" w:line="360" w:lineRule="auto"/>
              <w:ind w:right="0" w:firstLine="480" w:firstLineChars="200"/>
              <w:rPr>
                <w:rFonts w:hint="default" w:ascii="Times New Roman" w:hAnsi="Times New Roman" w:cs="Times New Roman"/>
                <w:color w:val="00B050"/>
                <w:kern w:val="2"/>
                <w:sz w:val="24"/>
                <w:szCs w:val="24"/>
              </w:rPr>
            </w:pPr>
            <w:r>
              <w:rPr>
                <w:rFonts w:hint="default" w:ascii="Times New Roman" w:hAnsi="Times New Roman" w:cs="Times New Roman"/>
                <w:color w:val="00B050"/>
                <w:sz w:val="24"/>
                <w:szCs w:val="24"/>
              </w:rPr>
              <w:t>H为</w:t>
            </w:r>
            <w:r>
              <w:rPr>
                <w:rFonts w:hint="default" w:ascii="Times New Roman" w:hAnsi="Times New Roman" w:cs="Times New Roman"/>
                <w:color w:val="00B050"/>
                <w:kern w:val="2"/>
                <w:sz w:val="24"/>
                <w:szCs w:val="24"/>
              </w:rPr>
              <w:t>罩口至控制点距离，m，0.4m；</w:t>
            </w:r>
          </w:p>
          <w:p w14:paraId="3A5ED23A">
            <w:pPr>
              <w:pStyle w:val="14"/>
              <w:keepNext w:val="0"/>
              <w:keepLines w:val="0"/>
              <w:pageBreakBefore w:val="0"/>
              <w:widowControl w:val="0"/>
              <w:kinsoku/>
              <w:wordWrap/>
              <w:overflowPunct/>
              <w:topLinePunct w:val="0"/>
              <w:bidi w:val="0"/>
              <w:snapToGrid/>
              <w:spacing w:before="0" w:after="0" w:line="360" w:lineRule="auto"/>
              <w:ind w:right="0" w:firstLine="480" w:firstLineChars="200"/>
              <w:rPr>
                <w:rFonts w:hint="default" w:ascii="Times New Roman" w:hAnsi="Times New Roman" w:cs="Times New Roman"/>
                <w:color w:val="00B050"/>
                <w:sz w:val="24"/>
                <w:szCs w:val="24"/>
              </w:rPr>
            </w:pPr>
            <w:r>
              <w:rPr>
                <w:rFonts w:hint="default" w:ascii="Times New Roman" w:hAnsi="Times New Roman" w:cs="Times New Roman"/>
                <w:color w:val="00B050"/>
                <w:sz w:val="24"/>
                <w:szCs w:val="24"/>
              </w:rPr>
              <w:t>υ</w:t>
            </w:r>
            <w:r>
              <w:rPr>
                <w:rFonts w:hint="default" w:ascii="Times New Roman" w:hAnsi="Times New Roman" w:cs="Times New Roman"/>
                <w:color w:val="00B050"/>
                <w:sz w:val="24"/>
                <w:szCs w:val="24"/>
                <w:vertAlign w:val="subscript"/>
              </w:rPr>
              <w:t>χ</w:t>
            </w:r>
            <w:r>
              <w:rPr>
                <w:rFonts w:hint="default" w:ascii="Times New Roman" w:hAnsi="Times New Roman" w:cs="Times New Roman"/>
                <w:color w:val="00B050"/>
                <w:sz w:val="24"/>
                <w:szCs w:val="24"/>
              </w:rPr>
              <w:t>为吸入速度，一般取值0.5m/s。</w:t>
            </w:r>
          </w:p>
          <w:p w14:paraId="3FB3417F">
            <w:pPr>
              <w:pStyle w:val="14"/>
              <w:keepNext w:val="0"/>
              <w:keepLines w:val="0"/>
              <w:pageBreakBefore w:val="0"/>
              <w:widowControl w:val="0"/>
              <w:kinsoku/>
              <w:wordWrap/>
              <w:overflowPunct/>
              <w:topLinePunct w:val="0"/>
              <w:bidi w:val="0"/>
              <w:snapToGrid/>
              <w:spacing w:before="0" w:after="0" w:line="360" w:lineRule="auto"/>
              <w:ind w:right="0" w:firstLine="480" w:firstLineChars="200"/>
              <w:rPr>
                <w:rFonts w:hint="default" w:ascii="Times New Roman" w:hAnsi="Times New Roman" w:cs="Times New Roman"/>
                <w:color w:val="00B050"/>
                <w:kern w:val="2"/>
                <w:sz w:val="24"/>
                <w:szCs w:val="24"/>
              </w:rPr>
            </w:pPr>
            <w:r>
              <w:rPr>
                <w:rFonts w:hint="default" w:ascii="Times New Roman" w:hAnsi="Times New Roman" w:cs="Times New Roman"/>
                <w:color w:val="00B050"/>
                <w:kern w:val="2"/>
                <w:sz w:val="24"/>
                <w:szCs w:val="24"/>
              </w:rPr>
              <w:t>根据上式计算，单个集气罩需要的风量为950m</w:t>
            </w:r>
            <w:r>
              <w:rPr>
                <w:rFonts w:hint="default" w:ascii="Times New Roman" w:hAnsi="Times New Roman" w:cs="Times New Roman"/>
                <w:color w:val="00B050"/>
                <w:kern w:val="2"/>
                <w:sz w:val="24"/>
                <w:szCs w:val="24"/>
                <w:vertAlign w:val="superscript"/>
              </w:rPr>
              <w:t>3</w:t>
            </w:r>
            <w:r>
              <w:rPr>
                <w:rFonts w:hint="default" w:ascii="Times New Roman" w:hAnsi="Times New Roman" w:cs="Times New Roman"/>
                <w:color w:val="00B050"/>
                <w:kern w:val="2"/>
                <w:sz w:val="24"/>
                <w:szCs w:val="24"/>
              </w:rPr>
              <w:t>/h。</w:t>
            </w:r>
          </w:p>
          <w:p w14:paraId="3FFD217F">
            <w:pPr>
              <w:pStyle w:val="14"/>
              <w:keepNext w:val="0"/>
              <w:keepLines w:val="0"/>
              <w:pageBreakBefore w:val="0"/>
              <w:widowControl w:val="0"/>
              <w:kinsoku/>
              <w:wordWrap/>
              <w:overflowPunct/>
              <w:topLinePunct w:val="0"/>
              <w:bidi w:val="0"/>
              <w:snapToGrid/>
              <w:spacing w:before="0" w:after="0" w:line="360" w:lineRule="auto"/>
              <w:ind w:right="0" w:firstLine="480" w:firstLineChars="200"/>
              <w:rPr>
                <w:rFonts w:hint="default" w:ascii="Times New Roman" w:hAnsi="Times New Roman" w:cs="Times New Roman"/>
                <w:color w:val="00B050"/>
                <w:kern w:val="2"/>
                <w:sz w:val="24"/>
                <w:szCs w:val="24"/>
              </w:rPr>
            </w:pPr>
            <w:r>
              <w:rPr>
                <w:rFonts w:hint="eastAsia" w:cs="Times New Roman"/>
                <w:color w:val="00B050"/>
                <w:kern w:val="2"/>
                <w:sz w:val="24"/>
                <w:szCs w:val="24"/>
                <w:lang w:val="en-US" w:eastAsia="zh-CN"/>
              </w:rPr>
              <w:t>手机充电器塑胶外壳注塑</w:t>
            </w:r>
            <w:r>
              <w:rPr>
                <w:rFonts w:hint="default" w:ascii="Times New Roman" w:hAnsi="Times New Roman" w:cs="Times New Roman"/>
                <w:color w:val="00B050"/>
                <w:kern w:val="2"/>
                <w:sz w:val="24"/>
                <w:szCs w:val="24"/>
              </w:rPr>
              <w:t>共设置</w:t>
            </w:r>
            <w:r>
              <w:rPr>
                <w:rFonts w:hint="default" w:ascii="Times New Roman" w:hAnsi="Times New Roman" w:cs="Times New Roman"/>
                <w:color w:val="00B050"/>
                <w:kern w:val="2"/>
                <w:sz w:val="24"/>
                <w:szCs w:val="24"/>
                <w:lang w:val="en-US" w:eastAsia="zh-CN"/>
              </w:rPr>
              <w:t>38</w:t>
            </w:r>
            <w:r>
              <w:rPr>
                <w:rFonts w:hint="default" w:ascii="Times New Roman" w:hAnsi="Times New Roman" w:cs="Times New Roman"/>
                <w:color w:val="00B050"/>
                <w:kern w:val="2"/>
                <w:sz w:val="24"/>
                <w:szCs w:val="24"/>
              </w:rPr>
              <w:t>台注塑机。经核算，风量为</w:t>
            </w:r>
            <w:r>
              <w:rPr>
                <w:rFonts w:hint="default" w:ascii="Times New Roman" w:hAnsi="Times New Roman" w:cs="Times New Roman"/>
                <w:color w:val="00B050"/>
                <w:kern w:val="2"/>
                <w:sz w:val="24"/>
                <w:szCs w:val="24"/>
                <w:lang w:val="en-US" w:eastAsia="zh-CN"/>
              </w:rPr>
              <w:t>36100</w:t>
            </w:r>
            <w:r>
              <w:rPr>
                <w:rFonts w:hint="default" w:ascii="Times New Roman" w:hAnsi="Times New Roman" w:cs="Times New Roman"/>
                <w:color w:val="00B050"/>
                <w:kern w:val="2"/>
                <w:sz w:val="24"/>
                <w:szCs w:val="24"/>
              </w:rPr>
              <w:t>m</w:t>
            </w:r>
            <w:r>
              <w:rPr>
                <w:rFonts w:hint="default" w:ascii="Times New Roman" w:hAnsi="Times New Roman" w:cs="Times New Roman"/>
                <w:color w:val="00B050"/>
                <w:kern w:val="2"/>
                <w:sz w:val="24"/>
                <w:szCs w:val="24"/>
                <w:vertAlign w:val="superscript"/>
              </w:rPr>
              <w:t>3</w:t>
            </w:r>
            <w:r>
              <w:rPr>
                <w:rFonts w:hint="default" w:ascii="Times New Roman" w:hAnsi="Times New Roman" w:cs="Times New Roman"/>
                <w:color w:val="00B050"/>
                <w:kern w:val="2"/>
                <w:sz w:val="24"/>
                <w:szCs w:val="24"/>
              </w:rPr>
              <w:t>/h</w:t>
            </w:r>
            <w:r>
              <w:rPr>
                <w:rFonts w:hint="default" w:ascii="Times New Roman" w:hAnsi="Times New Roman" w:cs="Times New Roman"/>
                <w:color w:val="00B050"/>
                <w:kern w:val="2"/>
                <w:sz w:val="24"/>
                <w:szCs w:val="24"/>
                <w:lang w:eastAsia="zh-CN"/>
              </w:rPr>
              <w:t>，</w:t>
            </w:r>
            <w:r>
              <w:rPr>
                <w:rFonts w:hint="default" w:ascii="Times New Roman" w:hAnsi="Times New Roman" w:cs="Times New Roman"/>
                <w:color w:val="00B050"/>
                <w:kern w:val="2"/>
                <w:sz w:val="24"/>
                <w:szCs w:val="24"/>
                <w:lang w:val="en-US" w:eastAsia="zh-CN"/>
              </w:rPr>
              <w:t>本次取值37000</w:t>
            </w:r>
            <w:r>
              <w:rPr>
                <w:rFonts w:hint="default" w:ascii="Times New Roman" w:hAnsi="Times New Roman" w:cs="Times New Roman"/>
                <w:color w:val="00B050"/>
                <w:kern w:val="2"/>
                <w:sz w:val="24"/>
                <w:szCs w:val="24"/>
              </w:rPr>
              <w:t>m</w:t>
            </w:r>
            <w:r>
              <w:rPr>
                <w:rFonts w:hint="default" w:ascii="Times New Roman" w:hAnsi="Times New Roman" w:cs="Times New Roman"/>
                <w:color w:val="00B050"/>
                <w:kern w:val="2"/>
                <w:sz w:val="24"/>
                <w:szCs w:val="24"/>
                <w:vertAlign w:val="superscript"/>
              </w:rPr>
              <w:t>3</w:t>
            </w:r>
            <w:r>
              <w:rPr>
                <w:rFonts w:hint="default" w:ascii="Times New Roman" w:hAnsi="Times New Roman" w:cs="Times New Roman"/>
                <w:color w:val="00B050"/>
                <w:kern w:val="2"/>
                <w:sz w:val="24"/>
                <w:szCs w:val="24"/>
              </w:rPr>
              <w:t>/h。</w:t>
            </w:r>
          </w:p>
          <w:p w14:paraId="7BF0E777">
            <w:pPr>
              <w:pStyle w:val="49"/>
              <w:keepNext w:val="0"/>
              <w:keepLines w:val="0"/>
              <w:pageBreakBefore w:val="0"/>
              <w:widowControl w:val="0"/>
              <w:kinsoku/>
              <w:wordWrap/>
              <w:overflowPunct/>
              <w:topLinePunct w:val="0"/>
              <w:bidi w:val="0"/>
              <w:ind w:firstLine="480"/>
              <w:rPr>
                <w:rFonts w:hint="default" w:ascii="Times New Roman" w:hAnsi="Times New Roman" w:cs="Times New Roman"/>
                <w:color w:val="00B050"/>
                <w:szCs w:val="24"/>
              </w:rPr>
            </w:pPr>
            <w:r>
              <w:rPr>
                <w:rFonts w:hint="default" w:ascii="Times New Roman" w:hAnsi="Times New Roman" w:cs="Times New Roman"/>
                <w:color w:val="00B050"/>
                <w:szCs w:val="24"/>
              </w:rPr>
              <w:t>注塑废气经集气罩收集后引至“两级活性炭”装置处理达标后，经1根</w:t>
            </w:r>
            <w:r>
              <w:rPr>
                <w:rFonts w:hint="eastAsia" w:cs="Times New Roman"/>
                <w:color w:val="00B050"/>
                <w:szCs w:val="24"/>
                <w:lang w:val="en-US" w:eastAsia="zh-CN"/>
              </w:rPr>
              <w:t>32m</w:t>
            </w:r>
            <w:r>
              <w:rPr>
                <w:rFonts w:hint="default" w:ascii="Times New Roman" w:hAnsi="Times New Roman" w:cs="Times New Roman"/>
                <w:color w:val="00B050"/>
                <w:szCs w:val="24"/>
              </w:rPr>
              <w:t>高排气筒排放。</w:t>
            </w:r>
          </w:p>
          <w:p w14:paraId="2A6F5E4D">
            <w:pPr>
              <w:keepNext w:val="0"/>
              <w:keepLines w:val="0"/>
              <w:pageBreakBefore w:val="0"/>
              <w:widowControl w:val="0"/>
              <w:kinsoku/>
              <w:wordWrap/>
              <w:overflowPunct/>
              <w:topLinePunct w:val="0"/>
              <w:bidi w:val="0"/>
              <w:adjustRightInd w:val="0"/>
              <w:snapToGrid w:val="0"/>
              <w:spacing w:line="360" w:lineRule="auto"/>
              <w:ind w:firstLine="480" w:firstLineChars="200"/>
              <w:rPr>
                <w:rFonts w:hint="eastAsia" w:ascii="Times New Roman" w:hAnsi="Times New Roman" w:eastAsia="宋体" w:cs="Times New Roman"/>
                <w:color w:val="00B050"/>
                <w:sz w:val="24"/>
                <w:highlight w:val="none"/>
                <w:lang w:eastAsia="zh-CN"/>
              </w:rPr>
            </w:pPr>
            <w:r>
              <w:rPr>
                <w:rFonts w:hint="default" w:ascii="Times New Roman" w:hAnsi="Times New Roman" w:cs="Times New Roman"/>
                <w:color w:val="00B050"/>
                <w:sz w:val="24"/>
                <w:highlight w:val="none"/>
              </w:rPr>
              <w:t>经核算，</w:t>
            </w:r>
            <w:r>
              <w:rPr>
                <w:rFonts w:hint="eastAsia" w:cs="Times New Roman"/>
                <w:color w:val="00B050"/>
                <w:sz w:val="24"/>
                <w:highlight w:val="none"/>
                <w:lang w:val="en-US" w:eastAsia="zh-CN"/>
              </w:rPr>
              <w:t>本项目1号厂房非甲烷总烃</w:t>
            </w:r>
            <w:r>
              <w:rPr>
                <w:rFonts w:hint="default" w:ascii="Times New Roman" w:hAnsi="Times New Roman" w:cs="Times New Roman"/>
                <w:color w:val="00B050"/>
                <w:sz w:val="24"/>
                <w:highlight w:val="none"/>
              </w:rPr>
              <w:t>经“两级活性炭”装置处理后，非甲烷总烃有组织排放量为</w:t>
            </w:r>
            <w:r>
              <w:rPr>
                <w:rFonts w:hint="eastAsia" w:cs="Times New Roman"/>
                <w:color w:val="00B050"/>
                <w:sz w:val="24"/>
                <w:highlight w:val="none"/>
                <w:lang w:val="en-US" w:eastAsia="zh-CN"/>
              </w:rPr>
              <w:t>0.3265</w:t>
            </w:r>
            <w:r>
              <w:rPr>
                <w:rFonts w:hint="default" w:ascii="Times New Roman" w:hAnsi="Times New Roman" w:cs="Times New Roman"/>
                <w:color w:val="00B050"/>
                <w:sz w:val="24"/>
                <w:highlight w:val="none"/>
              </w:rPr>
              <w:t>t/a，排放速率为</w:t>
            </w:r>
            <w:r>
              <w:rPr>
                <w:rFonts w:hint="eastAsia" w:cs="Times New Roman"/>
                <w:color w:val="00B050"/>
                <w:sz w:val="24"/>
                <w:highlight w:val="none"/>
                <w:lang w:val="en-US" w:eastAsia="zh-CN"/>
              </w:rPr>
              <w:t>0.136</w:t>
            </w:r>
            <w:r>
              <w:rPr>
                <w:rFonts w:hint="default" w:ascii="Times New Roman" w:hAnsi="Times New Roman" w:cs="Times New Roman"/>
                <w:color w:val="00B050"/>
                <w:sz w:val="24"/>
                <w:highlight w:val="none"/>
              </w:rPr>
              <w:t>kg/h，排放浓度为</w:t>
            </w:r>
            <w:r>
              <w:rPr>
                <w:rFonts w:hint="eastAsia" w:cs="Times New Roman"/>
                <w:color w:val="00B050"/>
                <w:sz w:val="24"/>
                <w:highlight w:val="none"/>
                <w:lang w:val="en-US" w:eastAsia="zh-CN"/>
              </w:rPr>
              <w:t>3.6761</w:t>
            </w:r>
            <w:r>
              <w:rPr>
                <w:rFonts w:hint="default" w:ascii="Times New Roman" w:hAnsi="Times New Roman" w:cs="Times New Roman"/>
                <w:color w:val="00B050"/>
                <w:sz w:val="24"/>
                <w:highlight w:val="none"/>
              </w:rPr>
              <w:t>mg/m</w:t>
            </w:r>
            <w:r>
              <w:rPr>
                <w:rFonts w:hint="default" w:ascii="Times New Roman" w:hAnsi="Times New Roman" w:cs="Times New Roman"/>
                <w:color w:val="00B050"/>
                <w:sz w:val="24"/>
                <w:highlight w:val="none"/>
                <w:vertAlign w:val="superscript"/>
              </w:rPr>
              <w:t>3</w:t>
            </w:r>
            <w:r>
              <w:rPr>
                <w:rFonts w:hint="default" w:ascii="Times New Roman" w:hAnsi="Times New Roman" w:cs="Times New Roman"/>
                <w:color w:val="00B050"/>
                <w:sz w:val="24"/>
                <w:highlight w:val="none"/>
              </w:rPr>
              <w:t>；非甲烷总烃无组织排放量为</w:t>
            </w:r>
            <w:r>
              <w:rPr>
                <w:rFonts w:hint="eastAsia" w:cs="Times New Roman"/>
                <w:color w:val="00B050"/>
                <w:sz w:val="24"/>
                <w:highlight w:val="none"/>
                <w:lang w:val="en-US" w:eastAsia="zh-CN"/>
              </w:rPr>
              <w:t>0.3265</w:t>
            </w:r>
            <w:r>
              <w:rPr>
                <w:rFonts w:hint="default" w:ascii="Times New Roman" w:hAnsi="Times New Roman" w:cs="Times New Roman"/>
                <w:color w:val="00B050"/>
                <w:sz w:val="24"/>
                <w:highlight w:val="none"/>
              </w:rPr>
              <w:t>t/a，排放速率为</w:t>
            </w:r>
            <w:r>
              <w:rPr>
                <w:rFonts w:hint="eastAsia" w:cs="Times New Roman"/>
                <w:color w:val="00B050"/>
                <w:sz w:val="24"/>
                <w:highlight w:val="none"/>
                <w:lang w:val="en-US" w:eastAsia="zh-CN"/>
              </w:rPr>
              <w:t>0.136</w:t>
            </w:r>
            <w:r>
              <w:rPr>
                <w:rFonts w:hint="default" w:ascii="Times New Roman" w:hAnsi="Times New Roman" w:cs="Times New Roman"/>
                <w:color w:val="00B050"/>
                <w:sz w:val="24"/>
                <w:highlight w:val="none"/>
              </w:rPr>
              <w:t>kg/h</w:t>
            </w:r>
            <w:r>
              <w:rPr>
                <w:rFonts w:hint="eastAsia" w:cs="Times New Roman"/>
                <w:color w:val="00B050"/>
                <w:sz w:val="24"/>
                <w:highlight w:val="none"/>
                <w:lang w:eastAsia="zh-CN"/>
              </w:rPr>
              <w:t>。</w:t>
            </w:r>
          </w:p>
          <w:p w14:paraId="7CB9BFCD">
            <w:pPr>
              <w:keepNext w:val="0"/>
              <w:keepLines w:val="0"/>
              <w:pageBreakBefore w:val="0"/>
              <w:widowControl w:val="0"/>
              <w:kinsoku/>
              <w:wordWrap/>
              <w:overflowPunct/>
              <w:topLinePunct w:val="0"/>
              <w:bidi w:val="0"/>
              <w:spacing w:line="360" w:lineRule="auto"/>
              <w:ind w:left="420" w:leftChars="200"/>
              <w:rPr>
                <w:rFonts w:hint="eastAsia" w:ascii="Times New Roman" w:hAnsi="Times New Roman" w:eastAsia="宋体" w:cs="Times New Roman"/>
                <w:b/>
                <w:bCs/>
                <w:color w:val="00B050"/>
                <w:sz w:val="24"/>
                <w:lang w:val="en-US" w:eastAsia="zh-CN"/>
              </w:rPr>
            </w:pPr>
            <w:r>
              <w:rPr>
                <w:rFonts w:hint="default" w:ascii="Times New Roman" w:hAnsi="Times New Roman" w:cs="Times New Roman"/>
                <w:b/>
                <w:bCs/>
                <w:color w:val="00B050"/>
                <w:sz w:val="24"/>
              </w:rPr>
              <w:t>（</w:t>
            </w:r>
            <w:r>
              <w:rPr>
                <w:rFonts w:hint="eastAsia" w:cs="Times New Roman"/>
                <w:b/>
                <w:bCs/>
                <w:color w:val="00B050"/>
                <w:sz w:val="24"/>
                <w:lang w:val="en-US" w:eastAsia="zh-CN"/>
              </w:rPr>
              <w:t>4</w:t>
            </w:r>
            <w:r>
              <w:rPr>
                <w:rFonts w:hint="default" w:ascii="Times New Roman" w:hAnsi="Times New Roman" w:cs="Times New Roman"/>
                <w:b/>
                <w:bCs/>
                <w:color w:val="00B050"/>
                <w:sz w:val="24"/>
              </w:rPr>
              <w:t>）G</w:t>
            </w:r>
            <w:r>
              <w:rPr>
                <w:rFonts w:hint="default" w:ascii="Times New Roman" w:hAnsi="Times New Roman" w:cs="Times New Roman"/>
                <w:b/>
                <w:bCs/>
                <w:color w:val="00B050"/>
                <w:sz w:val="24"/>
                <w:lang w:val="en-US" w:eastAsia="zh-CN"/>
              </w:rPr>
              <w:t>3</w:t>
            </w:r>
            <w:r>
              <w:rPr>
                <w:rFonts w:hint="default" w:ascii="Times New Roman" w:hAnsi="Times New Roman" w:cs="Times New Roman"/>
                <w:b/>
                <w:bCs/>
                <w:color w:val="00B050"/>
                <w:sz w:val="24"/>
              </w:rPr>
              <w:t>机边破碎粉尘</w:t>
            </w:r>
            <w:r>
              <w:rPr>
                <w:rFonts w:hint="eastAsia" w:ascii="Times New Roman" w:hAnsi="Times New Roman" w:cs="Times New Roman"/>
                <w:b/>
                <w:bCs/>
                <w:color w:val="00B050"/>
                <w:sz w:val="24"/>
                <w:lang w:val="en-US" w:eastAsia="zh-CN"/>
              </w:rPr>
              <w:t>和</w:t>
            </w:r>
            <w:r>
              <w:rPr>
                <w:rFonts w:hint="default" w:ascii="Times New Roman" w:hAnsi="Times New Roman" w:cs="Times New Roman"/>
                <w:b/>
                <w:bCs/>
                <w:color w:val="00B050"/>
                <w:sz w:val="24"/>
              </w:rPr>
              <w:t>G</w:t>
            </w:r>
            <w:r>
              <w:rPr>
                <w:rFonts w:hint="default" w:ascii="Times New Roman" w:hAnsi="Times New Roman" w:cs="Times New Roman"/>
                <w:b/>
                <w:bCs/>
                <w:color w:val="00B050"/>
                <w:sz w:val="24"/>
                <w:lang w:val="en-US" w:eastAsia="zh-CN"/>
              </w:rPr>
              <w:t>4</w:t>
            </w:r>
            <w:r>
              <w:rPr>
                <w:rFonts w:hint="default" w:ascii="Times New Roman" w:hAnsi="Times New Roman" w:cs="Times New Roman"/>
                <w:b/>
                <w:bCs/>
                <w:color w:val="00B050"/>
                <w:sz w:val="24"/>
              </w:rPr>
              <w:t>集中破碎粉尘</w:t>
            </w:r>
          </w:p>
          <w:p w14:paraId="21FB137A">
            <w:pPr>
              <w:pStyle w:val="206"/>
              <w:keepNext w:val="0"/>
              <w:keepLines w:val="0"/>
              <w:pageBreakBefore w:val="0"/>
              <w:widowControl w:val="0"/>
              <w:kinsoku/>
              <w:wordWrap/>
              <w:overflowPunct/>
              <w:topLinePunct w:val="0"/>
              <w:autoSpaceDE/>
              <w:autoSpaceDN/>
              <w:bidi w:val="0"/>
              <w:adjustRightInd/>
              <w:spacing w:line="360" w:lineRule="auto"/>
              <w:ind w:firstLine="480" w:firstLineChars="200"/>
              <w:jc w:val="both"/>
              <w:rPr>
                <w:rFonts w:hint="default" w:ascii="Times New Roman" w:hAnsi="Times New Roman" w:cs="Times New Roman"/>
                <w:color w:val="00B050"/>
                <w:spacing w:val="-3"/>
              </w:rPr>
            </w:pPr>
            <w:r>
              <w:rPr>
                <w:rFonts w:hint="eastAsia" w:ascii="Times New Roman" w:hAnsi="Times New Roman" w:cs="Times New Roman"/>
                <w:color w:val="00B050"/>
                <w:lang w:val="en-US" w:eastAsia="zh-CN"/>
              </w:rPr>
              <w:t>切水口工序</w:t>
            </w:r>
            <w:r>
              <w:rPr>
                <w:rFonts w:hint="default" w:ascii="Times New Roman" w:hAnsi="Times New Roman" w:cs="Times New Roman"/>
                <w:color w:val="00B050"/>
              </w:rPr>
              <w:t>中产生少量注塑边角料S2</w:t>
            </w:r>
            <w:r>
              <w:rPr>
                <w:rFonts w:hint="eastAsia" w:ascii="Times New Roman" w:hAnsi="Times New Roman" w:cs="Times New Roman"/>
                <w:color w:val="00B050"/>
                <w:lang w:eastAsia="zh-CN"/>
              </w:rPr>
              <w:t>、</w:t>
            </w:r>
            <w:r>
              <w:rPr>
                <w:rFonts w:hint="default" w:ascii="Times New Roman" w:hAnsi="Times New Roman" w:cs="Times New Roman"/>
                <w:color w:val="00B050"/>
                <w:spacing w:val="-3"/>
              </w:rPr>
              <w:t>不合格品S3</w:t>
            </w:r>
            <w:r>
              <w:rPr>
                <w:rFonts w:hint="eastAsia" w:ascii="Times New Roman" w:hAnsi="Times New Roman" w:cs="Times New Roman"/>
                <w:color w:val="00B050"/>
                <w:spacing w:val="-3"/>
                <w:lang w:eastAsia="zh-CN"/>
              </w:rPr>
              <w:t>、</w:t>
            </w:r>
            <w:r>
              <w:rPr>
                <w:rFonts w:hint="default" w:ascii="Times New Roman" w:hAnsi="Times New Roman" w:cs="Times New Roman"/>
                <w:color w:val="00B050"/>
                <w:spacing w:val="-3"/>
              </w:rPr>
              <w:t>换色产生的少量废塑料S4</w:t>
            </w:r>
            <w:r>
              <w:rPr>
                <w:rFonts w:hint="eastAsia" w:ascii="Times New Roman" w:hAnsi="Times New Roman" w:cs="Times New Roman"/>
                <w:color w:val="00B050"/>
                <w:spacing w:val="-3"/>
                <w:lang w:eastAsia="zh-CN"/>
              </w:rPr>
              <w:t>。</w:t>
            </w:r>
            <w:r>
              <w:rPr>
                <w:rFonts w:hint="default" w:ascii="Times New Roman" w:hAnsi="Times New Roman" w:cs="Times New Roman"/>
                <w:color w:val="00B050"/>
              </w:rPr>
              <w:t>经破碎机破碎后回用于生产。</w:t>
            </w:r>
            <w:r>
              <w:rPr>
                <w:rFonts w:hint="eastAsia" w:ascii="Times New Roman" w:hAnsi="Times New Roman" w:cs="Times New Roman"/>
                <w:color w:val="00B050"/>
                <w:lang w:val="en-US" w:eastAsia="zh-CN"/>
              </w:rPr>
              <w:t>该</w:t>
            </w:r>
            <w:r>
              <w:rPr>
                <w:rFonts w:hint="default" w:ascii="Times New Roman" w:hAnsi="Times New Roman" w:cs="Times New Roman"/>
                <w:color w:val="00B050"/>
              </w:rPr>
              <w:t>过程产生粉尘。</w:t>
            </w:r>
          </w:p>
          <w:p w14:paraId="741E0D0F">
            <w:pPr>
              <w:pStyle w:val="13"/>
              <w:keepNext w:val="0"/>
              <w:keepLines w:val="0"/>
              <w:pageBreakBefore w:val="0"/>
              <w:widowControl w:val="0"/>
              <w:kinsoku/>
              <w:wordWrap/>
              <w:overflowPunct/>
              <w:topLinePunct w:val="0"/>
              <w:bidi w:val="0"/>
              <w:spacing w:line="360" w:lineRule="auto"/>
              <w:ind w:firstLine="480" w:firstLineChars="200"/>
              <w:jc w:val="both"/>
              <w:rPr>
                <w:rFonts w:hint="default" w:ascii="Times New Roman" w:hAnsi="Times New Roman" w:cs="Times New Roman"/>
                <w:color w:val="00B050"/>
                <w:spacing w:val="-3"/>
                <w:szCs w:val="24"/>
                <w:highlight w:val="none"/>
              </w:rPr>
            </w:pPr>
            <w:r>
              <w:rPr>
                <w:rFonts w:hint="default" w:ascii="Times New Roman" w:hAnsi="Times New Roman" w:cs="Times New Roman"/>
                <w:color w:val="00B050"/>
                <w:szCs w:val="24"/>
                <w:highlight w:val="none"/>
              </w:rPr>
              <w:t>参照《第二次全国污染源普查工业污染源-</w:t>
            </w:r>
            <w:r>
              <w:rPr>
                <w:rFonts w:hint="default" w:ascii="Times New Roman" w:hAnsi="Times New Roman" w:cs="Times New Roman"/>
                <w:color w:val="00B050"/>
                <w:highlight w:val="none"/>
              </w:rPr>
              <w:t>4220非金属废料和碎屑加工处理行业手册</w:t>
            </w:r>
            <w:r>
              <w:rPr>
                <w:rFonts w:hint="default" w:ascii="Times New Roman" w:hAnsi="Times New Roman" w:cs="Times New Roman"/>
                <w:color w:val="00B050"/>
                <w:szCs w:val="24"/>
                <w:highlight w:val="none"/>
              </w:rPr>
              <w:t>》，破碎颗粒物产污系数为</w:t>
            </w:r>
            <w:r>
              <w:rPr>
                <w:rFonts w:hint="default" w:ascii="Times New Roman" w:hAnsi="Times New Roman" w:cs="Times New Roman"/>
                <w:color w:val="00B050"/>
                <w:szCs w:val="24"/>
                <w:highlight w:val="none"/>
                <w:lang w:val="en-US" w:eastAsia="zh-CN"/>
              </w:rPr>
              <w:t>425</w:t>
            </w:r>
            <w:r>
              <w:rPr>
                <w:rFonts w:hint="default" w:ascii="Times New Roman" w:hAnsi="Times New Roman" w:cs="Times New Roman"/>
                <w:color w:val="00B050"/>
                <w:szCs w:val="24"/>
                <w:highlight w:val="none"/>
              </w:rPr>
              <w:t>g/t产品。</w:t>
            </w:r>
            <w:r>
              <w:rPr>
                <w:rFonts w:hint="default" w:ascii="Times New Roman" w:hAnsi="Times New Roman" w:cs="Times New Roman"/>
                <w:color w:val="00B050"/>
                <w:spacing w:val="-3"/>
                <w:szCs w:val="24"/>
                <w:highlight w:val="none"/>
              </w:rPr>
              <w:t>根据建设单位提供资料，项目</w:t>
            </w:r>
            <w:r>
              <w:rPr>
                <w:rFonts w:hint="eastAsia" w:ascii="Times New Roman" w:hAnsi="Times New Roman" w:cs="Times New Roman"/>
                <w:color w:val="00B050"/>
                <w:spacing w:val="-3"/>
                <w:szCs w:val="24"/>
                <w:highlight w:val="none"/>
                <w:lang w:val="en-US" w:eastAsia="zh-CN"/>
              </w:rPr>
              <w:t>边角料、</w:t>
            </w:r>
            <w:r>
              <w:rPr>
                <w:rFonts w:hint="default" w:ascii="Times New Roman" w:hAnsi="Times New Roman" w:cs="Times New Roman"/>
                <w:color w:val="00B050"/>
                <w:spacing w:val="-3"/>
                <w:szCs w:val="24"/>
                <w:highlight w:val="none"/>
              </w:rPr>
              <w:t>不合格产品及废塑料</w:t>
            </w:r>
            <w:r>
              <w:rPr>
                <w:rFonts w:hint="default" w:ascii="Times New Roman" w:hAnsi="Times New Roman" w:cs="Times New Roman"/>
                <w:color w:val="00B050"/>
                <w:spacing w:val="-3"/>
                <w:szCs w:val="24"/>
                <w:highlight w:val="none"/>
                <w:lang w:val="en-US" w:eastAsia="zh-CN"/>
              </w:rPr>
              <w:t>约为</w:t>
            </w:r>
            <w:r>
              <w:rPr>
                <w:rFonts w:hint="eastAsia" w:cs="Times New Roman"/>
                <w:color w:val="00B050"/>
                <w:spacing w:val="-3"/>
                <w:szCs w:val="24"/>
                <w:highlight w:val="none"/>
                <w:lang w:val="en-US" w:eastAsia="zh-CN"/>
              </w:rPr>
              <w:t>总量的7％，约55.9762吨</w:t>
            </w:r>
            <w:r>
              <w:rPr>
                <w:rFonts w:hint="default" w:ascii="Times New Roman" w:hAnsi="Times New Roman" w:cs="Times New Roman"/>
                <w:color w:val="00B050"/>
                <w:spacing w:val="-3"/>
                <w:szCs w:val="24"/>
                <w:highlight w:val="none"/>
              </w:rPr>
              <w:t>。</w:t>
            </w:r>
          </w:p>
          <w:p w14:paraId="0D6FBB5D">
            <w:pPr>
              <w:pStyle w:val="206"/>
              <w:keepNext w:val="0"/>
              <w:keepLines w:val="0"/>
              <w:pageBreakBefore w:val="0"/>
              <w:widowControl w:val="0"/>
              <w:kinsoku/>
              <w:wordWrap/>
              <w:overflowPunct/>
              <w:topLinePunct w:val="0"/>
              <w:autoSpaceDE/>
              <w:autoSpaceDN/>
              <w:bidi w:val="0"/>
              <w:adjustRightInd/>
              <w:spacing w:line="360" w:lineRule="auto"/>
              <w:ind w:firstLine="480" w:firstLineChars="200"/>
              <w:jc w:val="both"/>
              <w:rPr>
                <w:rFonts w:hint="default" w:ascii="Times New Roman" w:hAnsi="Times New Roman" w:eastAsia="宋体" w:cs="Times New Roman"/>
                <w:color w:val="00B050"/>
                <w:highlight w:val="none"/>
                <w:lang w:val="en-US" w:eastAsia="zh-CN"/>
              </w:rPr>
            </w:pPr>
            <w:r>
              <w:rPr>
                <w:rFonts w:hint="default" w:ascii="Times New Roman" w:hAnsi="Times New Roman" w:cs="Times New Roman"/>
                <w:color w:val="00B050"/>
                <w:highlight w:val="none"/>
              </w:rPr>
              <w:t>经核算，项目破碎工序颗粒物产生量约0.</w:t>
            </w:r>
            <w:r>
              <w:rPr>
                <w:rFonts w:hint="eastAsia" w:cs="Times New Roman"/>
                <w:color w:val="00B050"/>
                <w:highlight w:val="none"/>
                <w:lang w:val="en-US" w:eastAsia="zh-CN"/>
              </w:rPr>
              <w:t>0238</w:t>
            </w:r>
            <w:r>
              <w:rPr>
                <w:rFonts w:hint="default" w:ascii="Times New Roman" w:hAnsi="Times New Roman" w:cs="Times New Roman"/>
                <w:color w:val="00B050"/>
                <w:highlight w:val="none"/>
              </w:rPr>
              <w:t>/a</w:t>
            </w:r>
            <w:r>
              <w:rPr>
                <w:rFonts w:hint="default" w:ascii="Times New Roman" w:hAnsi="Times New Roman" w:cs="Times New Roman"/>
                <w:color w:val="00B050"/>
                <w:highlight w:val="none"/>
                <w:lang w:eastAsia="zh-CN"/>
              </w:rPr>
              <w:t>，</w:t>
            </w:r>
            <w:r>
              <w:rPr>
                <w:rFonts w:hint="default" w:ascii="Times New Roman" w:hAnsi="Times New Roman" w:cs="Times New Roman"/>
                <w:color w:val="00B050"/>
                <w:highlight w:val="none"/>
                <w:lang w:val="en-US" w:eastAsia="zh-CN"/>
              </w:rPr>
              <w:t>产</w:t>
            </w:r>
            <w:r>
              <w:rPr>
                <w:rFonts w:hint="eastAsia" w:ascii="Times New Roman" w:hAnsi="Times New Roman" w:cs="Times New Roman"/>
                <w:color w:val="00B050"/>
                <w:highlight w:val="none"/>
                <w:lang w:val="en-US" w:eastAsia="zh-CN"/>
              </w:rPr>
              <w:t>生</w:t>
            </w:r>
            <w:r>
              <w:rPr>
                <w:rFonts w:hint="default" w:ascii="Times New Roman" w:hAnsi="Times New Roman" w:cs="Times New Roman"/>
                <w:color w:val="00B050"/>
                <w:highlight w:val="none"/>
                <w:lang w:val="en-US" w:eastAsia="zh-CN"/>
              </w:rPr>
              <w:t>量极少，</w:t>
            </w:r>
            <w:r>
              <w:rPr>
                <w:rFonts w:hint="default" w:ascii="Times New Roman" w:hAnsi="Times New Roman" w:cs="Times New Roman"/>
                <w:color w:val="00B050"/>
                <w:highlight w:val="none"/>
              </w:rPr>
              <w:t>车间内无组织排放。</w:t>
            </w:r>
            <w:r>
              <w:rPr>
                <w:rFonts w:hint="eastAsia" w:ascii="Times New Roman" w:hAnsi="Times New Roman" w:cs="Times New Roman"/>
                <w:color w:val="00B050"/>
                <w:highlight w:val="none"/>
                <w:lang w:val="en-US" w:eastAsia="zh-CN"/>
              </w:rPr>
              <w:t>采取开窗通风等措施后影响极小。</w:t>
            </w:r>
          </w:p>
          <w:p w14:paraId="7058DF57">
            <w:pPr>
              <w:keepNext w:val="0"/>
              <w:keepLines w:val="0"/>
              <w:pageBreakBefore w:val="0"/>
              <w:widowControl w:val="0"/>
              <w:kinsoku/>
              <w:wordWrap/>
              <w:overflowPunct/>
              <w:topLinePunct w:val="0"/>
              <w:bidi w:val="0"/>
              <w:spacing w:line="360" w:lineRule="auto"/>
              <w:ind w:left="420" w:leftChars="200"/>
              <w:rPr>
                <w:rFonts w:hint="eastAsia" w:ascii="Times New Roman" w:hAnsi="Times New Roman" w:eastAsia="宋体" w:cs="Times New Roman"/>
                <w:b/>
                <w:bCs/>
                <w:color w:val="00B050"/>
                <w:sz w:val="24"/>
                <w:lang w:eastAsia="zh-CN"/>
              </w:rPr>
            </w:pPr>
            <w:r>
              <w:rPr>
                <w:rFonts w:hint="default" w:ascii="Times New Roman" w:hAnsi="Times New Roman" w:cs="Times New Roman"/>
                <w:b/>
                <w:bCs/>
                <w:color w:val="00B050"/>
                <w:sz w:val="24"/>
              </w:rPr>
              <w:t>（</w:t>
            </w:r>
            <w:r>
              <w:rPr>
                <w:rFonts w:hint="eastAsia" w:cs="Times New Roman"/>
                <w:b/>
                <w:bCs/>
                <w:color w:val="00B050"/>
                <w:sz w:val="24"/>
                <w:lang w:val="en-US" w:eastAsia="zh-CN"/>
              </w:rPr>
              <w:t>5</w:t>
            </w:r>
            <w:r>
              <w:rPr>
                <w:rFonts w:hint="default" w:ascii="Times New Roman" w:hAnsi="Times New Roman" w:cs="Times New Roman"/>
                <w:b/>
                <w:bCs/>
                <w:color w:val="00B050"/>
                <w:sz w:val="24"/>
              </w:rPr>
              <w:t>）G</w:t>
            </w:r>
            <w:r>
              <w:rPr>
                <w:rFonts w:hint="eastAsia" w:ascii="Times New Roman" w:hAnsi="Times New Roman" w:cs="Times New Roman"/>
                <w:b/>
                <w:bCs/>
                <w:color w:val="00B050"/>
                <w:sz w:val="24"/>
                <w:lang w:val="en-US" w:eastAsia="zh-CN"/>
              </w:rPr>
              <w:t>9模具保养废气</w:t>
            </w:r>
          </w:p>
          <w:p w14:paraId="2192A9ED">
            <w:pPr>
              <w:pStyle w:val="206"/>
              <w:keepNext w:val="0"/>
              <w:keepLines w:val="0"/>
              <w:pageBreakBefore w:val="0"/>
              <w:widowControl w:val="0"/>
              <w:kinsoku/>
              <w:wordWrap/>
              <w:overflowPunct/>
              <w:topLinePunct w:val="0"/>
              <w:autoSpaceDE/>
              <w:autoSpaceDN/>
              <w:bidi w:val="0"/>
              <w:adjustRightInd/>
              <w:spacing w:line="360" w:lineRule="auto"/>
              <w:ind w:firstLine="480" w:firstLineChars="200"/>
              <w:jc w:val="both"/>
              <w:rPr>
                <w:rFonts w:hint="eastAsia" w:ascii="Times New Roman" w:hAnsi="Times New Roman" w:cs="Times New Roman"/>
                <w:b/>
                <w:bCs/>
                <w:color w:val="00B050"/>
                <w:sz w:val="24"/>
                <w:lang w:val="en-US" w:eastAsia="zh-CN"/>
              </w:rPr>
            </w:pPr>
            <w:r>
              <w:rPr>
                <w:rFonts w:hint="eastAsia" w:ascii="Times New Roman" w:hAnsi="Times New Roman" w:cs="Times New Roman"/>
                <w:color w:val="00B050"/>
                <w:lang w:val="en-US" w:eastAsia="zh-CN"/>
              </w:rPr>
              <w:t>模具保养过程</w:t>
            </w:r>
            <w:r>
              <w:rPr>
                <w:rFonts w:hint="eastAsia" w:cs="Times New Roman"/>
                <w:color w:val="00B050"/>
                <w:lang w:val="en-US" w:eastAsia="zh-CN"/>
              </w:rPr>
              <w:t>有</w:t>
            </w:r>
            <w:r>
              <w:rPr>
                <w:rFonts w:hint="eastAsia" w:ascii="Times New Roman" w:hAnsi="Times New Roman" w:cs="Times New Roman"/>
                <w:color w:val="00B050"/>
                <w:lang w:val="en-US" w:eastAsia="zh-CN"/>
              </w:rPr>
              <w:t>模具保养废气G9</w:t>
            </w:r>
            <w:r>
              <w:rPr>
                <w:rFonts w:hint="eastAsia" w:cs="Times New Roman"/>
                <w:color w:val="00B050"/>
                <w:lang w:val="en-US" w:eastAsia="zh-CN"/>
              </w:rPr>
              <w:t>产生</w:t>
            </w:r>
            <w:r>
              <w:rPr>
                <w:rFonts w:hint="eastAsia" w:ascii="Times New Roman" w:hAnsi="Times New Roman" w:cs="Times New Roman"/>
                <w:color w:val="00B050"/>
                <w:lang w:val="en-US" w:eastAsia="zh-CN"/>
              </w:rPr>
              <w:t>，</w:t>
            </w:r>
            <w:r>
              <w:rPr>
                <w:rFonts w:hint="eastAsia" w:cs="Times New Roman"/>
                <w:color w:val="00B050"/>
                <w:lang w:val="en-US" w:eastAsia="zh-CN"/>
              </w:rPr>
              <w:t>污染因子为非甲烷总烃。由于保养频次及作业时间短，非甲烷总烃产生极少。因此，本次评价进行定性分析。</w:t>
            </w:r>
          </w:p>
          <w:p w14:paraId="0DF0859C">
            <w:pPr>
              <w:keepNext w:val="0"/>
              <w:keepLines w:val="0"/>
              <w:pageBreakBefore w:val="0"/>
              <w:widowControl w:val="0"/>
              <w:kinsoku/>
              <w:wordWrap/>
              <w:overflowPunct/>
              <w:topLinePunct w:val="0"/>
              <w:bidi w:val="0"/>
              <w:spacing w:line="360" w:lineRule="auto"/>
              <w:ind w:left="420" w:leftChars="200"/>
              <w:rPr>
                <w:rFonts w:hint="default" w:ascii="Times New Roman" w:hAnsi="Times New Roman" w:cs="Times New Roman"/>
                <w:b/>
                <w:bCs/>
                <w:color w:val="00B050"/>
                <w:sz w:val="24"/>
                <w:lang w:val="en-US" w:eastAsia="zh-CN"/>
              </w:rPr>
            </w:pPr>
            <w:r>
              <w:rPr>
                <w:rFonts w:hint="eastAsia" w:ascii="Times New Roman" w:hAnsi="Times New Roman" w:cs="Times New Roman"/>
                <w:b/>
                <w:bCs/>
                <w:color w:val="00B050"/>
                <w:sz w:val="24"/>
                <w:lang w:val="en-US" w:eastAsia="zh-CN"/>
              </w:rPr>
              <w:t>（</w:t>
            </w:r>
            <w:r>
              <w:rPr>
                <w:rFonts w:hint="eastAsia" w:cs="Times New Roman"/>
                <w:b/>
                <w:bCs/>
                <w:color w:val="00B050"/>
                <w:sz w:val="24"/>
                <w:lang w:val="en-US" w:eastAsia="zh-CN"/>
              </w:rPr>
              <w:t>6</w:t>
            </w:r>
            <w:r>
              <w:rPr>
                <w:rFonts w:hint="eastAsia" w:ascii="Times New Roman" w:hAnsi="Times New Roman" w:cs="Times New Roman"/>
                <w:b/>
                <w:bCs/>
                <w:color w:val="00B050"/>
                <w:sz w:val="24"/>
                <w:lang w:val="en-US" w:eastAsia="zh-CN"/>
              </w:rPr>
              <w:t>）</w:t>
            </w:r>
            <w:r>
              <w:rPr>
                <w:rFonts w:hint="eastAsia" w:cs="Times New Roman"/>
                <w:b/>
                <w:bCs/>
                <w:color w:val="00B050"/>
                <w:sz w:val="24"/>
                <w:lang w:val="en-US" w:eastAsia="zh-CN"/>
              </w:rPr>
              <w:t>G10模具加工烟尘</w:t>
            </w:r>
          </w:p>
          <w:p w14:paraId="6B1042F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00B050"/>
                <w:sz w:val="24"/>
                <w:highlight w:val="none"/>
              </w:rPr>
            </w:pPr>
            <w:r>
              <w:rPr>
                <w:rFonts w:hint="eastAsia" w:cs="Times New Roman"/>
                <w:color w:val="00B050"/>
                <w:sz w:val="24"/>
                <w:highlight w:val="none"/>
                <w:lang w:val="en-US" w:eastAsia="zh-CN"/>
              </w:rPr>
              <w:t>模具加工过程中会采取磨床加工等操作，会产生少量加工烟尘，</w:t>
            </w:r>
            <w:r>
              <w:rPr>
                <w:rFonts w:hint="default" w:ascii="Times New Roman" w:hAnsi="Times New Roman" w:cs="Times New Roman"/>
                <w:color w:val="00B050"/>
                <w:sz w:val="24"/>
                <w:highlight w:val="none"/>
              </w:rPr>
              <w:t>产量极少，车间无组织排放。</w:t>
            </w:r>
          </w:p>
          <w:p w14:paraId="34928CF9">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4"/>
                <w:highlight w:val="none"/>
                <w:lang w:val="en-US" w:eastAsia="zh-CN"/>
              </w:rPr>
            </w:pPr>
          </w:p>
        </w:tc>
      </w:tr>
    </w:tbl>
    <w:p w14:paraId="2E75AE71">
      <w:pPr>
        <w:adjustRightInd w:val="0"/>
        <w:snapToGrid w:val="0"/>
        <w:spacing w:line="360" w:lineRule="auto"/>
        <w:rPr>
          <w:rFonts w:hint="default" w:ascii="Times New Roman" w:hAnsi="Times New Roman" w:cs="Times New Roman"/>
          <w:b/>
          <w:color w:val="auto"/>
          <w:kern w:val="0"/>
          <w:sz w:val="24"/>
          <w:szCs w:val="24"/>
        </w:rPr>
        <w:sectPr>
          <w:pgSz w:w="11907" w:h="16840"/>
          <w:pgMar w:top="1701" w:right="1531" w:bottom="2127" w:left="1531" w:header="851" w:footer="851" w:gutter="0"/>
          <w:pgNumType w:fmt="decimal"/>
          <w:cols w:space="720" w:num="1"/>
          <w:docGrid w:linePitch="312" w:charSpace="0"/>
        </w:sectPr>
      </w:pPr>
    </w:p>
    <w:p w14:paraId="3C3C6301">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b/>
          <w:bCs/>
          <w:color w:val="auto"/>
          <w:sz w:val="24"/>
        </w:rPr>
      </w:pPr>
      <w:r>
        <w:rPr>
          <w:rFonts w:hint="default" w:ascii="Times New Roman" w:hAnsi="Times New Roman" w:cs="Times New Roman"/>
          <w:bCs/>
          <w:color w:val="auto"/>
          <w:sz w:val="24"/>
        </w:rPr>
        <w:t>本项目废气产生、排放情况见表4.2-</w:t>
      </w:r>
      <w:r>
        <w:rPr>
          <w:rFonts w:hint="default" w:ascii="Times New Roman" w:hAnsi="Times New Roman" w:cs="Times New Roman"/>
          <w:bCs/>
          <w:color w:val="auto"/>
          <w:sz w:val="24"/>
          <w:lang w:val="en-US" w:eastAsia="zh-CN"/>
        </w:rPr>
        <w:t>7</w:t>
      </w:r>
      <w:r>
        <w:rPr>
          <w:rFonts w:hint="default" w:ascii="Times New Roman" w:hAnsi="Times New Roman" w:cs="Times New Roman"/>
          <w:bCs/>
          <w:color w:val="auto"/>
          <w:sz w:val="24"/>
        </w:rPr>
        <w:t>。</w:t>
      </w:r>
    </w:p>
    <w:p w14:paraId="4BB9CCD4">
      <w:pPr>
        <w:spacing w:line="240" w:lineRule="auto"/>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表4.2-</w:t>
      </w:r>
      <w:r>
        <w:rPr>
          <w:rFonts w:hint="default" w:ascii="Times New Roman" w:hAnsi="Times New Roman" w:cs="Times New Roman"/>
          <w:b/>
          <w:bCs/>
          <w:color w:val="auto"/>
          <w:sz w:val="24"/>
          <w:lang w:val="en-US" w:eastAsia="zh-CN"/>
        </w:rPr>
        <w:t>7</w:t>
      </w:r>
      <w:r>
        <w:rPr>
          <w:rFonts w:hint="default" w:ascii="Times New Roman" w:hAnsi="Times New Roman" w:cs="Times New Roman"/>
          <w:b/>
          <w:bCs/>
          <w:color w:val="auto"/>
          <w:sz w:val="24"/>
        </w:rPr>
        <w:t xml:space="preserve">  本项目废气排放一览表</w:t>
      </w:r>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814"/>
        <w:gridCol w:w="1274"/>
        <w:gridCol w:w="903"/>
        <w:gridCol w:w="774"/>
        <w:gridCol w:w="678"/>
        <w:gridCol w:w="693"/>
        <w:gridCol w:w="597"/>
        <w:gridCol w:w="1774"/>
        <w:gridCol w:w="314"/>
        <w:gridCol w:w="516"/>
        <w:gridCol w:w="339"/>
        <w:gridCol w:w="322"/>
        <w:gridCol w:w="634"/>
        <w:gridCol w:w="635"/>
        <w:gridCol w:w="635"/>
        <w:gridCol w:w="663"/>
        <w:gridCol w:w="663"/>
      </w:tblGrid>
      <w:tr w14:paraId="14E0E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 w:hRule="atLeast"/>
        </w:trPr>
        <w:tc>
          <w:tcPr>
            <w:tcW w:w="1814" w:type="dxa"/>
            <w:vMerge w:val="restart"/>
            <w:shd w:val="clear" w:color="auto" w:fill="auto"/>
            <w:vAlign w:val="center"/>
          </w:tcPr>
          <w:p w14:paraId="2A901968">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污染源</w:t>
            </w:r>
          </w:p>
        </w:tc>
        <w:tc>
          <w:tcPr>
            <w:tcW w:w="1274" w:type="dxa"/>
            <w:vMerge w:val="restart"/>
            <w:shd w:val="clear" w:color="auto" w:fill="auto"/>
            <w:vAlign w:val="center"/>
          </w:tcPr>
          <w:p w14:paraId="4264F391">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污染因子</w:t>
            </w:r>
          </w:p>
        </w:tc>
        <w:tc>
          <w:tcPr>
            <w:tcW w:w="903" w:type="dxa"/>
            <w:vMerge w:val="restart"/>
            <w:shd w:val="clear" w:color="auto" w:fill="auto"/>
            <w:vAlign w:val="center"/>
          </w:tcPr>
          <w:p w14:paraId="4999A2F5">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产污系数</w:t>
            </w:r>
          </w:p>
        </w:tc>
        <w:tc>
          <w:tcPr>
            <w:tcW w:w="774" w:type="dxa"/>
            <w:vMerge w:val="restart"/>
            <w:shd w:val="clear" w:color="auto" w:fill="auto"/>
            <w:vAlign w:val="center"/>
          </w:tcPr>
          <w:p w14:paraId="1F1E19E1">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原料用量或产品产能（</w:t>
            </w:r>
            <w:r>
              <w:rPr>
                <w:rFonts w:hint="default" w:ascii="Times New Roman" w:hAnsi="Times New Roman" w:eastAsia="宋体" w:cs="Times New Roman"/>
                <w:i w:val="0"/>
                <w:iCs w:val="0"/>
                <w:color w:val="00B050"/>
                <w:kern w:val="0"/>
                <w:sz w:val="21"/>
                <w:szCs w:val="21"/>
                <w:u w:val="none"/>
                <w:lang w:val="en-US" w:eastAsia="zh-CN" w:bidi="ar"/>
              </w:rPr>
              <w:t>t/a</w:t>
            </w:r>
            <w:r>
              <w:rPr>
                <w:rFonts w:hint="eastAsia" w:ascii="宋体" w:hAnsi="宋体" w:eastAsia="宋体" w:cs="宋体"/>
                <w:i w:val="0"/>
                <w:iCs w:val="0"/>
                <w:color w:val="00B050"/>
                <w:kern w:val="0"/>
                <w:sz w:val="21"/>
                <w:szCs w:val="21"/>
                <w:u w:val="none"/>
                <w:lang w:val="en-US" w:eastAsia="zh-CN" w:bidi="ar"/>
              </w:rPr>
              <w:t>）</w:t>
            </w:r>
          </w:p>
        </w:tc>
        <w:tc>
          <w:tcPr>
            <w:tcW w:w="678" w:type="dxa"/>
            <w:vMerge w:val="restart"/>
            <w:shd w:val="clear" w:color="auto" w:fill="auto"/>
            <w:vAlign w:val="center"/>
          </w:tcPr>
          <w:p w14:paraId="71FB9217">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产生量（</w:t>
            </w:r>
            <w:r>
              <w:rPr>
                <w:rFonts w:hint="default" w:ascii="Times New Roman" w:hAnsi="Times New Roman" w:eastAsia="宋体" w:cs="Times New Roman"/>
                <w:i w:val="0"/>
                <w:iCs w:val="0"/>
                <w:color w:val="00B050"/>
                <w:kern w:val="0"/>
                <w:sz w:val="21"/>
                <w:szCs w:val="21"/>
                <w:u w:val="none"/>
                <w:lang w:val="en-US" w:eastAsia="zh-CN" w:bidi="ar"/>
              </w:rPr>
              <w:t>t/a</w:t>
            </w:r>
            <w:r>
              <w:rPr>
                <w:rFonts w:hint="eastAsia" w:ascii="宋体" w:hAnsi="宋体" w:eastAsia="宋体" w:cs="宋体"/>
                <w:i w:val="0"/>
                <w:iCs w:val="0"/>
                <w:color w:val="00B050"/>
                <w:kern w:val="0"/>
                <w:sz w:val="21"/>
                <w:szCs w:val="21"/>
                <w:u w:val="none"/>
                <w:lang w:val="en-US" w:eastAsia="zh-CN" w:bidi="ar"/>
              </w:rPr>
              <w:t>）</w:t>
            </w:r>
          </w:p>
        </w:tc>
        <w:tc>
          <w:tcPr>
            <w:tcW w:w="1290" w:type="dxa"/>
            <w:gridSpan w:val="2"/>
            <w:shd w:val="clear" w:color="auto" w:fill="auto"/>
            <w:vAlign w:val="center"/>
          </w:tcPr>
          <w:p w14:paraId="3C5FF791">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收集情况</w:t>
            </w:r>
          </w:p>
        </w:tc>
        <w:tc>
          <w:tcPr>
            <w:tcW w:w="1774" w:type="dxa"/>
            <w:vMerge w:val="restart"/>
            <w:shd w:val="clear" w:color="auto" w:fill="auto"/>
            <w:vAlign w:val="center"/>
          </w:tcPr>
          <w:p w14:paraId="5C1CBF5D">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处理措施</w:t>
            </w:r>
          </w:p>
        </w:tc>
        <w:tc>
          <w:tcPr>
            <w:tcW w:w="314" w:type="dxa"/>
            <w:vMerge w:val="restart"/>
            <w:shd w:val="clear" w:color="auto" w:fill="auto"/>
            <w:vAlign w:val="center"/>
          </w:tcPr>
          <w:p w14:paraId="6C6C3F91">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排放时间（</w:t>
            </w:r>
            <w:r>
              <w:rPr>
                <w:rFonts w:hint="default" w:ascii="Times New Roman" w:hAnsi="Times New Roman" w:eastAsia="宋体" w:cs="Times New Roman"/>
                <w:i w:val="0"/>
                <w:iCs w:val="0"/>
                <w:color w:val="00B050"/>
                <w:kern w:val="0"/>
                <w:sz w:val="21"/>
                <w:szCs w:val="21"/>
                <w:u w:val="none"/>
                <w:lang w:val="en-US" w:eastAsia="zh-CN" w:bidi="ar"/>
              </w:rPr>
              <w:t>h</w:t>
            </w:r>
            <w:r>
              <w:rPr>
                <w:rFonts w:hint="eastAsia" w:ascii="宋体" w:hAnsi="宋体" w:eastAsia="宋体" w:cs="宋体"/>
                <w:i w:val="0"/>
                <w:iCs w:val="0"/>
                <w:color w:val="00B050"/>
                <w:kern w:val="0"/>
                <w:sz w:val="21"/>
                <w:szCs w:val="21"/>
                <w:u w:val="none"/>
                <w:lang w:val="en-US" w:eastAsia="zh-CN" w:bidi="ar"/>
              </w:rPr>
              <w:t>）</w:t>
            </w:r>
          </w:p>
        </w:tc>
        <w:tc>
          <w:tcPr>
            <w:tcW w:w="516" w:type="dxa"/>
            <w:vMerge w:val="restart"/>
            <w:shd w:val="clear" w:color="auto" w:fill="auto"/>
            <w:vAlign w:val="center"/>
          </w:tcPr>
          <w:p w14:paraId="5CB38AC2">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风量</w:t>
            </w:r>
            <w:r>
              <w:rPr>
                <w:rFonts w:hint="default" w:ascii="Times New Roman" w:hAnsi="Times New Roman" w:eastAsia="宋体" w:cs="Times New Roman"/>
                <w:i w:val="0"/>
                <w:iCs w:val="0"/>
                <w:color w:val="00B050"/>
                <w:kern w:val="0"/>
                <w:sz w:val="21"/>
                <w:szCs w:val="21"/>
                <w:u w:val="none"/>
                <w:lang w:val="en-US" w:eastAsia="zh-CN" w:bidi="ar"/>
              </w:rPr>
              <w:t>(m</w:t>
            </w:r>
            <w:r>
              <w:rPr>
                <w:rFonts w:hint="default" w:ascii="Times New Roman" w:hAnsi="Times New Roman" w:eastAsia="宋体" w:cs="Times New Roman"/>
                <w:i w:val="0"/>
                <w:iCs w:val="0"/>
                <w:color w:val="00B050"/>
                <w:kern w:val="0"/>
                <w:sz w:val="21"/>
                <w:szCs w:val="21"/>
                <w:u w:val="none"/>
                <w:vertAlign w:val="superscript"/>
                <w:lang w:val="en-US" w:eastAsia="zh-CN" w:bidi="ar"/>
              </w:rPr>
              <w:t>3</w:t>
            </w:r>
            <w:r>
              <w:rPr>
                <w:rFonts w:hint="default" w:ascii="Times New Roman" w:hAnsi="Times New Roman" w:eastAsia="宋体" w:cs="Times New Roman"/>
                <w:i w:val="0"/>
                <w:iCs w:val="0"/>
                <w:color w:val="00B050"/>
                <w:kern w:val="0"/>
                <w:sz w:val="21"/>
                <w:szCs w:val="21"/>
                <w:u w:val="none"/>
                <w:lang w:val="en-US" w:eastAsia="zh-CN" w:bidi="ar"/>
              </w:rPr>
              <w:t>/h)</w:t>
            </w:r>
          </w:p>
        </w:tc>
        <w:tc>
          <w:tcPr>
            <w:tcW w:w="339" w:type="dxa"/>
            <w:vMerge w:val="restart"/>
            <w:shd w:val="clear" w:color="auto" w:fill="auto"/>
            <w:vAlign w:val="center"/>
          </w:tcPr>
          <w:p w14:paraId="68694977">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收集效率</w:t>
            </w:r>
          </w:p>
        </w:tc>
        <w:tc>
          <w:tcPr>
            <w:tcW w:w="322" w:type="dxa"/>
            <w:vMerge w:val="restart"/>
            <w:shd w:val="clear" w:color="auto" w:fill="auto"/>
            <w:vAlign w:val="center"/>
          </w:tcPr>
          <w:p w14:paraId="15DA3895">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去除效率</w:t>
            </w:r>
          </w:p>
        </w:tc>
        <w:tc>
          <w:tcPr>
            <w:tcW w:w="1904" w:type="dxa"/>
            <w:gridSpan w:val="3"/>
            <w:shd w:val="clear" w:color="auto" w:fill="auto"/>
            <w:vAlign w:val="center"/>
          </w:tcPr>
          <w:p w14:paraId="78969D2F">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有组织排放情况</w:t>
            </w:r>
          </w:p>
        </w:tc>
        <w:tc>
          <w:tcPr>
            <w:tcW w:w="1326" w:type="dxa"/>
            <w:gridSpan w:val="2"/>
            <w:shd w:val="clear" w:color="auto" w:fill="auto"/>
            <w:vAlign w:val="center"/>
          </w:tcPr>
          <w:p w14:paraId="2EF63BFF">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无组织排放情况</w:t>
            </w:r>
          </w:p>
        </w:tc>
      </w:tr>
      <w:tr w14:paraId="752D1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814" w:type="dxa"/>
            <w:vMerge w:val="continue"/>
            <w:shd w:val="clear" w:color="auto" w:fill="auto"/>
            <w:vAlign w:val="center"/>
          </w:tcPr>
          <w:p w14:paraId="1D7D8094">
            <w:pPr>
              <w:jc w:val="center"/>
              <w:rPr>
                <w:rFonts w:hint="default" w:ascii="Times New Roman" w:hAnsi="Times New Roman" w:eastAsia="宋体" w:cs="Times New Roman"/>
                <w:i w:val="0"/>
                <w:iCs w:val="0"/>
                <w:color w:val="00B050"/>
                <w:sz w:val="21"/>
                <w:szCs w:val="21"/>
                <w:u w:val="none"/>
              </w:rPr>
            </w:pPr>
          </w:p>
        </w:tc>
        <w:tc>
          <w:tcPr>
            <w:tcW w:w="1274" w:type="dxa"/>
            <w:vMerge w:val="continue"/>
            <w:shd w:val="clear" w:color="auto" w:fill="auto"/>
            <w:vAlign w:val="center"/>
          </w:tcPr>
          <w:p w14:paraId="4799DEE2">
            <w:pPr>
              <w:jc w:val="center"/>
              <w:rPr>
                <w:rFonts w:hint="default" w:ascii="Times New Roman" w:hAnsi="Times New Roman" w:eastAsia="宋体" w:cs="Times New Roman"/>
                <w:i w:val="0"/>
                <w:iCs w:val="0"/>
                <w:color w:val="00B050"/>
                <w:sz w:val="21"/>
                <w:szCs w:val="21"/>
                <w:u w:val="none"/>
              </w:rPr>
            </w:pPr>
          </w:p>
        </w:tc>
        <w:tc>
          <w:tcPr>
            <w:tcW w:w="903" w:type="dxa"/>
            <w:vMerge w:val="continue"/>
            <w:shd w:val="clear" w:color="auto" w:fill="auto"/>
            <w:vAlign w:val="center"/>
          </w:tcPr>
          <w:p w14:paraId="58BF07D4">
            <w:pPr>
              <w:jc w:val="center"/>
              <w:rPr>
                <w:rFonts w:hint="default" w:ascii="Times New Roman" w:hAnsi="Times New Roman" w:eastAsia="宋体" w:cs="Times New Roman"/>
                <w:i w:val="0"/>
                <w:iCs w:val="0"/>
                <w:color w:val="00B050"/>
                <w:sz w:val="21"/>
                <w:szCs w:val="21"/>
                <w:u w:val="none"/>
              </w:rPr>
            </w:pPr>
          </w:p>
        </w:tc>
        <w:tc>
          <w:tcPr>
            <w:tcW w:w="774" w:type="dxa"/>
            <w:vMerge w:val="continue"/>
            <w:shd w:val="clear" w:color="auto" w:fill="auto"/>
            <w:vAlign w:val="center"/>
          </w:tcPr>
          <w:p w14:paraId="354B4700">
            <w:pPr>
              <w:jc w:val="center"/>
              <w:rPr>
                <w:rFonts w:hint="default" w:ascii="Times New Roman" w:hAnsi="Times New Roman" w:eastAsia="宋体" w:cs="Times New Roman"/>
                <w:i w:val="0"/>
                <w:iCs w:val="0"/>
                <w:color w:val="00B050"/>
                <w:sz w:val="21"/>
                <w:szCs w:val="21"/>
                <w:u w:val="none"/>
              </w:rPr>
            </w:pPr>
          </w:p>
        </w:tc>
        <w:tc>
          <w:tcPr>
            <w:tcW w:w="678" w:type="dxa"/>
            <w:vMerge w:val="continue"/>
            <w:shd w:val="clear" w:color="auto" w:fill="auto"/>
            <w:vAlign w:val="center"/>
          </w:tcPr>
          <w:p w14:paraId="4FD96C3F">
            <w:pPr>
              <w:jc w:val="center"/>
              <w:rPr>
                <w:rFonts w:hint="default" w:ascii="Times New Roman" w:hAnsi="Times New Roman" w:eastAsia="宋体" w:cs="Times New Roman"/>
                <w:i w:val="0"/>
                <w:iCs w:val="0"/>
                <w:color w:val="00B050"/>
                <w:sz w:val="21"/>
                <w:szCs w:val="21"/>
                <w:u w:val="none"/>
              </w:rPr>
            </w:pPr>
          </w:p>
        </w:tc>
        <w:tc>
          <w:tcPr>
            <w:tcW w:w="693" w:type="dxa"/>
            <w:vMerge w:val="restart"/>
            <w:shd w:val="clear" w:color="auto" w:fill="auto"/>
            <w:vAlign w:val="center"/>
          </w:tcPr>
          <w:p w14:paraId="705E2B53">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收集量（</w:t>
            </w:r>
            <w:r>
              <w:rPr>
                <w:rFonts w:hint="default" w:ascii="Times New Roman" w:hAnsi="Times New Roman" w:eastAsia="宋体" w:cs="Times New Roman"/>
                <w:i w:val="0"/>
                <w:iCs w:val="0"/>
                <w:color w:val="00B050"/>
                <w:kern w:val="0"/>
                <w:sz w:val="21"/>
                <w:szCs w:val="21"/>
                <w:u w:val="none"/>
                <w:lang w:val="en-US" w:eastAsia="zh-CN" w:bidi="ar"/>
              </w:rPr>
              <w:t>t/a</w:t>
            </w:r>
            <w:r>
              <w:rPr>
                <w:rFonts w:hint="eastAsia" w:ascii="宋体" w:hAnsi="宋体" w:eastAsia="宋体" w:cs="宋体"/>
                <w:i w:val="0"/>
                <w:iCs w:val="0"/>
                <w:color w:val="00B050"/>
                <w:kern w:val="0"/>
                <w:sz w:val="21"/>
                <w:szCs w:val="21"/>
                <w:u w:val="none"/>
                <w:lang w:val="en-US" w:eastAsia="zh-CN" w:bidi="ar"/>
              </w:rPr>
              <w:t>）</w:t>
            </w:r>
          </w:p>
        </w:tc>
        <w:tc>
          <w:tcPr>
            <w:tcW w:w="597" w:type="dxa"/>
            <w:vMerge w:val="restart"/>
            <w:shd w:val="clear" w:color="auto" w:fill="auto"/>
            <w:vAlign w:val="center"/>
          </w:tcPr>
          <w:p w14:paraId="353E5722">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产生浓度</w:t>
            </w:r>
            <w:r>
              <w:rPr>
                <w:rFonts w:hint="default" w:ascii="Times New Roman" w:hAnsi="Times New Roman" w:eastAsia="宋体" w:cs="Times New Roman"/>
                <w:i w:val="0"/>
                <w:iCs w:val="0"/>
                <w:color w:val="00B050"/>
                <w:kern w:val="0"/>
                <w:sz w:val="21"/>
                <w:szCs w:val="21"/>
                <w:u w:val="none"/>
                <w:lang w:val="en-US" w:eastAsia="zh-CN" w:bidi="ar"/>
              </w:rPr>
              <w:t>mg/m</w:t>
            </w:r>
            <w:r>
              <w:rPr>
                <w:rFonts w:hint="default" w:ascii="Times New Roman" w:hAnsi="Times New Roman" w:eastAsia="宋体" w:cs="Times New Roman"/>
                <w:i w:val="0"/>
                <w:iCs w:val="0"/>
                <w:color w:val="00B050"/>
                <w:kern w:val="0"/>
                <w:sz w:val="21"/>
                <w:szCs w:val="21"/>
                <w:u w:val="none"/>
                <w:vertAlign w:val="superscript"/>
                <w:lang w:val="en-US" w:eastAsia="zh-CN" w:bidi="ar"/>
              </w:rPr>
              <w:t>3</w:t>
            </w:r>
          </w:p>
        </w:tc>
        <w:tc>
          <w:tcPr>
            <w:tcW w:w="1774" w:type="dxa"/>
            <w:vMerge w:val="continue"/>
            <w:shd w:val="clear" w:color="auto" w:fill="auto"/>
            <w:vAlign w:val="center"/>
          </w:tcPr>
          <w:p w14:paraId="13AF9550">
            <w:pPr>
              <w:jc w:val="center"/>
              <w:rPr>
                <w:rFonts w:hint="default" w:ascii="Times New Roman" w:hAnsi="Times New Roman" w:eastAsia="宋体" w:cs="Times New Roman"/>
                <w:i w:val="0"/>
                <w:iCs w:val="0"/>
                <w:color w:val="00B050"/>
                <w:sz w:val="21"/>
                <w:szCs w:val="21"/>
                <w:u w:val="none"/>
              </w:rPr>
            </w:pPr>
          </w:p>
        </w:tc>
        <w:tc>
          <w:tcPr>
            <w:tcW w:w="314" w:type="dxa"/>
            <w:vMerge w:val="continue"/>
            <w:shd w:val="clear" w:color="auto" w:fill="auto"/>
            <w:vAlign w:val="center"/>
          </w:tcPr>
          <w:p w14:paraId="0687917A">
            <w:pPr>
              <w:jc w:val="center"/>
              <w:rPr>
                <w:rFonts w:hint="default" w:ascii="Times New Roman" w:hAnsi="Times New Roman" w:eastAsia="宋体" w:cs="Times New Roman"/>
                <w:i w:val="0"/>
                <w:iCs w:val="0"/>
                <w:color w:val="00B050"/>
                <w:sz w:val="21"/>
                <w:szCs w:val="21"/>
                <w:u w:val="none"/>
              </w:rPr>
            </w:pPr>
          </w:p>
        </w:tc>
        <w:tc>
          <w:tcPr>
            <w:tcW w:w="516" w:type="dxa"/>
            <w:vMerge w:val="continue"/>
            <w:shd w:val="clear" w:color="auto" w:fill="auto"/>
            <w:vAlign w:val="center"/>
          </w:tcPr>
          <w:p w14:paraId="224DA1C7">
            <w:pPr>
              <w:jc w:val="center"/>
              <w:rPr>
                <w:rFonts w:hint="default" w:ascii="Times New Roman" w:hAnsi="Times New Roman" w:eastAsia="宋体" w:cs="Times New Roman"/>
                <w:i w:val="0"/>
                <w:iCs w:val="0"/>
                <w:color w:val="00B050"/>
                <w:sz w:val="21"/>
                <w:szCs w:val="21"/>
                <w:u w:val="none"/>
              </w:rPr>
            </w:pPr>
          </w:p>
        </w:tc>
        <w:tc>
          <w:tcPr>
            <w:tcW w:w="339" w:type="dxa"/>
            <w:vMerge w:val="continue"/>
            <w:shd w:val="clear" w:color="auto" w:fill="auto"/>
            <w:vAlign w:val="center"/>
          </w:tcPr>
          <w:p w14:paraId="3AAB19F8">
            <w:pPr>
              <w:jc w:val="center"/>
              <w:rPr>
                <w:rFonts w:hint="default" w:ascii="Times New Roman" w:hAnsi="Times New Roman" w:eastAsia="宋体" w:cs="Times New Roman"/>
                <w:i w:val="0"/>
                <w:iCs w:val="0"/>
                <w:color w:val="00B050"/>
                <w:sz w:val="21"/>
                <w:szCs w:val="21"/>
                <w:u w:val="none"/>
              </w:rPr>
            </w:pPr>
          </w:p>
        </w:tc>
        <w:tc>
          <w:tcPr>
            <w:tcW w:w="322" w:type="dxa"/>
            <w:vMerge w:val="continue"/>
            <w:shd w:val="clear" w:color="auto" w:fill="auto"/>
            <w:vAlign w:val="center"/>
          </w:tcPr>
          <w:p w14:paraId="2C125959">
            <w:pPr>
              <w:jc w:val="center"/>
              <w:rPr>
                <w:rFonts w:hint="default" w:ascii="Times New Roman" w:hAnsi="Times New Roman" w:eastAsia="宋体" w:cs="Times New Roman"/>
                <w:i w:val="0"/>
                <w:iCs w:val="0"/>
                <w:color w:val="00B050"/>
                <w:sz w:val="21"/>
                <w:szCs w:val="21"/>
                <w:u w:val="none"/>
              </w:rPr>
            </w:pPr>
          </w:p>
        </w:tc>
        <w:tc>
          <w:tcPr>
            <w:tcW w:w="634" w:type="dxa"/>
            <w:vMerge w:val="restart"/>
            <w:shd w:val="clear" w:color="auto" w:fill="auto"/>
            <w:vAlign w:val="center"/>
          </w:tcPr>
          <w:p w14:paraId="02E17D36">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排放量（</w:t>
            </w:r>
            <w:r>
              <w:rPr>
                <w:rFonts w:hint="default" w:ascii="Times New Roman" w:hAnsi="Times New Roman" w:eastAsia="宋体" w:cs="Times New Roman"/>
                <w:i w:val="0"/>
                <w:iCs w:val="0"/>
                <w:color w:val="00B050"/>
                <w:kern w:val="0"/>
                <w:sz w:val="21"/>
                <w:szCs w:val="21"/>
                <w:u w:val="none"/>
                <w:lang w:val="en-US" w:eastAsia="zh-CN" w:bidi="ar"/>
              </w:rPr>
              <w:t>t/a</w:t>
            </w:r>
            <w:r>
              <w:rPr>
                <w:rFonts w:hint="eastAsia" w:ascii="宋体" w:hAnsi="宋体" w:eastAsia="宋体" w:cs="宋体"/>
                <w:i w:val="0"/>
                <w:iCs w:val="0"/>
                <w:color w:val="00B050"/>
                <w:kern w:val="0"/>
                <w:sz w:val="21"/>
                <w:szCs w:val="21"/>
                <w:u w:val="none"/>
                <w:lang w:val="en-US" w:eastAsia="zh-CN" w:bidi="ar"/>
              </w:rPr>
              <w:t>）</w:t>
            </w:r>
          </w:p>
        </w:tc>
        <w:tc>
          <w:tcPr>
            <w:tcW w:w="635" w:type="dxa"/>
            <w:vMerge w:val="restart"/>
            <w:shd w:val="clear" w:color="auto" w:fill="auto"/>
            <w:vAlign w:val="center"/>
          </w:tcPr>
          <w:p w14:paraId="1E1A252F">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排放速率（</w:t>
            </w:r>
            <w:r>
              <w:rPr>
                <w:rFonts w:hint="default" w:ascii="Times New Roman" w:hAnsi="Times New Roman" w:eastAsia="宋体" w:cs="Times New Roman"/>
                <w:i w:val="0"/>
                <w:iCs w:val="0"/>
                <w:color w:val="00B050"/>
                <w:kern w:val="0"/>
                <w:sz w:val="21"/>
                <w:szCs w:val="21"/>
                <w:u w:val="none"/>
                <w:lang w:val="en-US" w:eastAsia="zh-CN" w:bidi="ar"/>
              </w:rPr>
              <w:t>kg/h</w:t>
            </w:r>
            <w:r>
              <w:rPr>
                <w:rFonts w:hint="eastAsia" w:ascii="宋体" w:hAnsi="宋体" w:eastAsia="宋体" w:cs="宋体"/>
                <w:i w:val="0"/>
                <w:iCs w:val="0"/>
                <w:color w:val="00B050"/>
                <w:kern w:val="0"/>
                <w:sz w:val="21"/>
                <w:szCs w:val="21"/>
                <w:u w:val="none"/>
                <w:lang w:val="en-US" w:eastAsia="zh-CN" w:bidi="ar"/>
              </w:rPr>
              <w:t>）</w:t>
            </w:r>
          </w:p>
        </w:tc>
        <w:tc>
          <w:tcPr>
            <w:tcW w:w="635" w:type="dxa"/>
            <w:vMerge w:val="restart"/>
            <w:shd w:val="clear" w:color="auto" w:fill="auto"/>
            <w:vAlign w:val="center"/>
          </w:tcPr>
          <w:p w14:paraId="21C5123A">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排放浓度</w:t>
            </w:r>
            <w:r>
              <w:rPr>
                <w:rFonts w:hint="default" w:ascii="Times New Roman" w:hAnsi="Times New Roman" w:eastAsia="宋体" w:cs="Times New Roman"/>
                <w:i w:val="0"/>
                <w:iCs w:val="0"/>
                <w:color w:val="00B050"/>
                <w:kern w:val="0"/>
                <w:sz w:val="21"/>
                <w:szCs w:val="21"/>
                <w:u w:val="none"/>
                <w:lang w:val="en-US" w:eastAsia="zh-CN" w:bidi="ar"/>
              </w:rPr>
              <w:t>mg/m</w:t>
            </w:r>
            <w:r>
              <w:rPr>
                <w:rFonts w:hint="default" w:ascii="Times New Roman" w:hAnsi="Times New Roman" w:eastAsia="宋体" w:cs="Times New Roman"/>
                <w:i w:val="0"/>
                <w:iCs w:val="0"/>
                <w:color w:val="00B050"/>
                <w:kern w:val="0"/>
                <w:sz w:val="21"/>
                <w:szCs w:val="21"/>
                <w:u w:val="none"/>
                <w:vertAlign w:val="superscript"/>
                <w:lang w:val="en-US" w:eastAsia="zh-CN" w:bidi="ar"/>
              </w:rPr>
              <w:t>3</w:t>
            </w:r>
          </w:p>
        </w:tc>
        <w:tc>
          <w:tcPr>
            <w:tcW w:w="663" w:type="dxa"/>
            <w:vMerge w:val="restart"/>
            <w:shd w:val="clear" w:color="auto" w:fill="auto"/>
            <w:vAlign w:val="center"/>
          </w:tcPr>
          <w:p w14:paraId="273EE9C4">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排放量（</w:t>
            </w:r>
            <w:r>
              <w:rPr>
                <w:rFonts w:hint="default" w:ascii="Times New Roman" w:hAnsi="Times New Roman" w:eastAsia="宋体" w:cs="Times New Roman"/>
                <w:i w:val="0"/>
                <w:iCs w:val="0"/>
                <w:color w:val="00B050"/>
                <w:kern w:val="0"/>
                <w:sz w:val="21"/>
                <w:szCs w:val="21"/>
                <w:u w:val="none"/>
                <w:lang w:val="en-US" w:eastAsia="zh-CN" w:bidi="ar"/>
              </w:rPr>
              <w:t>t/a</w:t>
            </w:r>
            <w:r>
              <w:rPr>
                <w:rFonts w:hint="eastAsia" w:ascii="宋体" w:hAnsi="宋体" w:eastAsia="宋体" w:cs="宋体"/>
                <w:i w:val="0"/>
                <w:iCs w:val="0"/>
                <w:color w:val="00B050"/>
                <w:kern w:val="0"/>
                <w:sz w:val="21"/>
                <w:szCs w:val="21"/>
                <w:u w:val="none"/>
                <w:lang w:val="en-US" w:eastAsia="zh-CN" w:bidi="ar"/>
              </w:rPr>
              <w:t>）</w:t>
            </w:r>
          </w:p>
        </w:tc>
        <w:tc>
          <w:tcPr>
            <w:tcW w:w="663" w:type="dxa"/>
            <w:vMerge w:val="restart"/>
            <w:shd w:val="clear" w:color="auto" w:fill="auto"/>
            <w:vAlign w:val="center"/>
          </w:tcPr>
          <w:p w14:paraId="515A4B53">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排放速率（</w:t>
            </w:r>
            <w:r>
              <w:rPr>
                <w:rFonts w:hint="default" w:ascii="Times New Roman" w:hAnsi="Times New Roman" w:eastAsia="宋体" w:cs="Times New Roman"/>
                <w:i w:val="0"/>
                <w:iCs w:val="0"/>
                <w:color w:val="00B050"/>
                <w:kern w:val="0"/>
                <w:sz w:val="21"/>
                <w:szCs w:val="21"/>
                <w:u w:val="none"/>
                <w:lang w:val="en-US" w:eastAsia="zh-CN" w:bidi="ar"/>
              </w:rPr>
              <w:t>kg/h</w:t>
            </w:r>
            <w:r>
              <w:rPr>
                <w:rFonts w:hint="eastAsia" w:ascii="宋体" w:hAnsi="宋体" w:eastAsia="宋体" w:cs="宋体"/>
                <w:i w:val="0"/>
                <w:iCs w:val="0"/>
                <w:color w:val="00B050"/>
                <w:kern w:val="0"/>
                <w:sz w:val="21"/>
                <w:szCs w:val="21"/>
                <w:u w:val="none"/>
                <w:lang w:val="en-US" w:eastAsia="zh-CN" w:bidi="ar"/>
              </w:rPr>
              <w:t>）</w:t>
            </w:r>
          </w:p>
        </w:tc>
      </w:tr>
      <w:tr w14:paraId="5F5FD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trPr>
        <w:tc>
          <w:tcPr>
            <w:tcW w:w="1814" w:type="dxa"/>
            <w:vMerge w:val="continue"/>
            <w:shd w:val="clear" w:color="auto" w:fill="auto"/>
            <w:vAlign w:val="center"/>
          </w:tcPr>
          <w:p w14:paraId="661E49DD">
            <w:pPr>
              <w:jc w:val="center"/>
              <w:rPr>
                <w:rFonts w:hint="default" w:ascii="Times New Roman" w:hAnsi="Times New Roman" w:eastAsia="宋体" w:cs="Times New Roman"/>
                <w:i w:val="0"/>
                <w:iCs w:val="0"/>
                <w:color w:val="00B050"/>
                <w:sz w:val="21"/>
                <w:szCs w:val="21"/>
                <w:u w:val="none"/>
              </w:rPr>
            </w:pPr>
          </w:p>
        </w:tc>
        <w:tc>
          <w:tcPr>
            <w:tcW w:w="1274" w:type="dxa"/>
            <w:vMerge w:val="continue"/>
            <w:shd w:val="clear" w:color="auto" w:fill="auto"/>
            <w:vAlign w:val="center"/>
          </w:tcPr>
          <w:p w14:paraId="621B2185">
            <w:pPr>
              <w:jc w:val="center"/>
              <w:rPr>
                <w:rFonts w:hint="default" w:ascii="Times New Roman" w:hAnsi="Times New Roman" w:eastAsia="宋体" w:cs="Times New Roman"/>
                <w:i w:val="0"/>
                <w:iCs w:val="0"/>
                <w:color w:val="00B050"/>
                <w:sz w:val="21"/>
                <w:szCs w:val="21"/>
                <w:u w:val="none"/>
              </w:rPr>
            </w:pPr>
          </w:p>
        </w:tc>
        <w:tc>
          <w:tcPr>
            <w:tcW w:w="903" w:type="dxa"/>
            <w:vMerge w:val="continue"/>
            <w:shd w:val="clear" w:color="auto" w:fill="auto"/>
            <w:vAlign w:val="center"/>
          </w:tcPr>
          <w:p w14:paraId="7D096759">
            <w:pPr>
              <w:jc w:val="center"/>
              <w:rPr>
                <w:rFonts w:hint="default" w:ascii="Times New Roman" w:hAnsi="Times New Roman" w:eastAsia="宋体" w:cs="Times New Roman"/>
                <w:i w:val="0"/>
                <w:iCs w:val="0"/>
                <w:color w:val="00B050"/>
                <w:sz w:val="21"/>
                <w:szCs w:val="21"/>
                <w:u w:val="none"/>
              </w:rPr>
            </w:pPr>
          </w:p>
        </w:tc>
        <w:tc>
          <w:tcPr>
            <w:tcW w:w="774" w:type="dxa"/>
            <w:vMerge w:val="continue"/>
            <w:shd w:val="clear" w:color="auto" w:fill="auto"/>
            <w:vAlign w:val="center"/>
          </w:tcPr>
          <w:p w14:paraId="0AD668B6">
            <w:pPr>
              <w:jc w:val="center"/>
              <w:rPr>
                <w:rFonts w:hint="default" w:ascii="Times New Roman" w:hAnsi="Times New Roman" w:eastAsia="宋体" w:cs="Times New Roman"/>
                <w:i w:val="0"/>
                <w:iCs w:val="0"/>
                <w:color w:val="00B050"/>
                <w:sz w:val="21"/>
                <w:szCs w:val="21"/>
                <w:u w:val="none"/>
              </w:rPr>
            </w:pPr>
          </w:p>
        </w:tc>
        <w:tc>
          <w:tcPr>
            <w:tcW w:w="678" w:type="dxa"/>
            <w:vMerge w:val="continue"/>
            <w:shd w:val="clear" w:color="auto" w:fill="auto"/>
            <w:vAlign w:val="center"/>
          </w:tcPr>
          <w:p w14:paraId="109464A0">
            <w:pPr>
              <w:jc w:val="center"/>
              <w:rPr>
                <w:rFonts w:hint="default" w:ascii="Times New Roman" w:hAnsi="Times New Roman" w:eastAsia="宋体" w:cs="Times New Roman"/>
                <w:i w:val="0"/>
                <w:iCs w:val="0"/>
                <w:color w:val="00B050"/>
                <w:sz w:val="21"/>
                <w:szCs w:val="21"/>
                <w:u w:val="none"/>
              </w:rPr>
            </w:pPr>
          </w:p>
        </w:tc>
        <w:tc>
          <w:tcPr>
            <w:tcW w:w="693" w:type="dxa"/>
            <w:vMerge w:val="continue"/>
            <w:shd w:val="clear" w:color="auto" w:fill="auto"/>
            <w:vAlign w:val="center"/>
          </w:tcPr>
          <w:p w14:paraId="67DC1E81">
            <w:pPr>
              <w:jc w:val="center"/>
              <w:rPr>
                <w:rFonts w:hint="default" w:ascii="Times New Roman" w:hAnsi="Times New Roman" w:eastAsia="宋体" w:cs="Times New Roman"/>
                <w:i w:val="0"/>
                <w:iCs w:val="0"/>
                <w:color w:val="00B050"/>
                <w:sz w:val="21"/>
                <w:szCs w:val="21"/>
                <w:u w:val="none"/>
              </w:rPr>
            </w:pPr>
          </w:p>
        </w:tc>
        <w:tc>
          <w:tcPr>
            <w:tcW w:w="597" w:type="dxa"/>
            <w:vMerge w:val="continue"/>
            <w:shd w:val="clear" w:color="auto" w:fill="auto"/>
            <w:vAlign w:val="center"/>
          </w:tcPr>
          <w:p w14:paraId="72D9D923">
            <w:pPr>
              <w:jc w:val="center"/>
              <w:rPr>
                <w:rFonts w:hint="default" w:ascii="Times New Roman" w:hAnsi="Times New Roman" w:eastAsia="宋体" w:cs="Times New Roman"/>
                <w:i w:val="0"/>
                <w:iCs w:val="0"/>
                <w:color w:val="00B050"/>
                <w:sz w:val="21"/>
                <w:szCs w:val="21"/>
                <w:u w:val="none"/>
              </w:rPr>
            </w:pPr>
          </w:p>
        </w:tc>
        <w:tc>
          <w:tcPr>
            <w:tcW w:w="1774" w:type="dxa"/>
            <w:vMerge w:val="continue"/>
            <w:shd w:val="clear" w:color="auto" w:fill="auto"/>
            <w:vAlign w:val="center"/>
          </w:tcPr>
          <w:p w14:paraId="69C9F550">
            <w:pPr>
              <w:jc w:val="center"/>
              <w:rPr>
                <w:rFonts w:hint="default" w:ascii="Times New Roman" w:hAnsi="Times New Roman" w:eastAsia="宋体" w:cs="Times New Roman"/>
                <w:i w:val="0"/>
                <w:iCs w:val="0"/>
                <w:color w:val="00B050"/>
                <w:sz w:val="21"/>
                <w:szCs w:val="21"/>
                <w:u w:val="none"/>
              </w:rPr>
            </w:pPr>
          </w:p>
        </w:tc>
        <w:tc>
          <w:tcPr>
            <w:tcW w:w="314" w:type="dxa"/>
            <w:vMerge w:val="continue"/>
            <w:shd w:val="clear" w:color="auto" w:fill="auto"/>
            <w:vAlign w:val="center"/>
          </w:tcPr>
          <w:p w14:paraId="3AD66D11">
            <w:pPr>
              <w:jc w:val="center"/>
              <w:rPr>
                <w:rFonts w:hint="default" w:ascii="Times New Roman" w:hAnsi="Times New Roman" w:eastAsia="宋体" w:cs="Times New Roman"/>
                <w:i w:val="0"/>
                <w:iCs w:val="0"/>
                <w:color w:val="00B050"/>
                <w:sz w:val="21"/>
                <w:szCs w:val="21"/>
                <w:u w:val="none"/>
              </w:rPr>
            </w:pPr>
          </w:p>
        </w:tc>
        <w:tc>
          <w:tcPr>
            <w:tcW w:w="516" w:type="dxa"/>
            <w:vMerge w:val="continue"/>
            <w:shd w:val="clear" w:color="auto" w:fill="auto"/>
            <w:vAlign w:val="center"/>
          </w:tcPr>
          <w:p w14:paraId="05C896A3">
            <w:pPr>
              <w:jc w:val="center"/>
              <w:rPr>
                <w:rFonts w:hint="default" w:ascii="Times New Roman" w:hAnsi="Times New Roman" w:eastAsia="宋体" w:cs="Times New Roman"/>
                <w:i w:val="0"/>
                <w:iCs w:val="0"/>
                <w:color w:val="00B050"/>
                <w:sz w:val="21"/>
                <w:szCs w:val="21"/>
                <w:u w:val="none"/>
              </w:rPr>
            </w:pPr>
          </w:p>
        </w:tc>
        <w:tc>
          <w:tcPr>
            <w:tcW w:w="339" w:type="dxa"/>
            <w:vMerge w:val="continue"/>
            <w:shd w:val="clear" w:color="auto" w:fill="auto"/>
            <w:vAlign w:val="center"/>
          </w:tcPr>
          <w:p w14:paraId="15C7EEEC">
            <w:pPr>
              <w:jc w:val="center"/>
              <w:rPr>
                <w:rFonts w:hint="default" w:ascii="Times New Roman" w:hAnsi="Times New Roman" w:eastAsia="宋体" w:cs="Times New Roman"/>
                <w:i w:val="0"/>
                <w:iCs w:val="0"/>
                <w:color w:val="00B050"/>
                <w:sz w:val="21"/>
                <w:szCs w:val="21"/>
                <w:u w:val="none"/>
              </w:rPr>
            </w:pPr>
          </w:p>
        </w:tc>
        <w:tc>
          <w:tcPr>
            <w:tcW w:w="322" w:type="dxa"/>
            <w:vMerge w:val="continue"/>
            <w:shd w:val="clear" w:color="auto" w:fill="auto"/>
            <w:vAlign w:val="center"/>
          </w:tcPr>
          <w:p w14:paraId="04EBE77F">
            <w:pPr>
              <w:jc w:val="center"/>
              <w:rPr>
                <w:rFonts w:hint="default" w:ascii="Times New Roman" w:hAnsi="Times New Roman" w:eastAsia="宋体" w:cs="Times New Roman"/>
                <w:i w:val="0"/>
                <w:iCs w:val="0"/>
                <w:color w:val="00B050"/>
                <w:sz w:val="21"/>
                <w:szCs w:val="21"/>
                <w:u w:val="none"/>
              </w:rPr>
            </w:pPr>
          </w:p>
        </w:tc>
        <w:tc>
          <w:tcPr>
            <w:tcW w:w="0" w:type="auto"/>
            <w:vMerge w:val="continue"/>
            <w:shd w:val="clear" w:color="auto" w:fill="auto"/>
            <w:vAlign w:val="center"/>
          </w:tcPr>
          <w:p w14:paraId="62EF630D">
            <w:pPr>
              <w:jc w:val="center"/>
              <w:rPr>
                <w:rFonts w:hint="default" w:ascii="Times New Roman" w:hAnsi="Times New Roman" w:eastAsia="宋体" w:cs="Times New Roman"/>
                <w:i w:val="0"/>
                <w:iCs w:val="0"/>
                <w:color w:val="00B050"/>
                <w:sz w:val="21"/>
                <w:szCs w:val="21"/>
                <w:u w:val="none"/>
              </w:rPr>
            </w:pPr>
          </w:p>
        </w:tc>
        <w:tc>
          <w:tcPr>
            <w:tcW w:w="0" w:type="auto"/>
            <w:vMerge w:val="continue"/>
            <w:shd w:val="clear" w:color="auto" w:fill="auto"/>
            <w:vAlign w:val="center"/>
          </w:tcPr>
          <w:p w14:paraId="4621AA50">
            <w:pPr>
              <w:jc w:val="center"/>
              <w:rPr>
                <w:rFonts w:hint="default" w:ascii="Times New Roman" w:hAnsi="Times New Roman" w:eastAsia="宋体" w:cs="Times New Roman"/>
                <w:i w:val="0"/>
                <w:iCs w:val="0"/>
                <w:color w:val="00B050"/>
                <w:sz w:val="21"/>
                <w:szCs w:val="21"/>
                <w:u w:val="none"/>
              </w:rPr>
            </w:pPr>
          </w:p>
        </w:tc>
        <w:tc>
          <w:tcPr>
            <w:tcW w:w="0" w:type="auto"/>
            <w:vMerge w:val="continue"/>
            <w:shd w:val="clear" w:color="auto" w:fill="auto"/>
            <w:vAlign w:val="center"/>
          </w:tcPr>
          <w:p w14:paraId="22AAAF93">
            <w:pPr>
              <w:jc w:val="center"/>
              <w:rPr>
                <w:rFonts w:hint="default" w:ascii="Times New Roman" w:hAnsi="Times New Roman" w:eastAsia="宋体" w:cs="Times New Roman"/>
                <w:i w:val="0"/>
                <w:iCs w:val="0"/>
                <w:color w:val="00B050"/>
                <w:sz w:val="21"/>
                <w:szCs w:val="21"/>
                <w:u w:val="none"/>
              </w:rPr>
            </w:pPr>
          </w:p>
        </w:tc>
        <w:tc>
          <w:tcPr>
            <w:tcW w:w="0" w:type="auto"/>
            <w:vMerge w:val="continue"/>
            <w:shd w:val="clear" w:color="auto" w:fill="auto"/>
            <w:vAlign w:val="center"/>
          </w:tcPr>
          <w:p w14:paraId="64C29FF3">
            <w:pPr>
              <w:jc w:val="center"/>
              <w:rPr>
                <w:rFonts w:hint="default" w:ascii="Times New Roman" w:hAnsi="Times New Roman" w:eastAsia="宋体" w:cs="Times New Roman"/>
                <w:i w:val="0"/>
                <w:iCs w:val="0"/>
                <w:color w:val="00B050"/>
                <w:sz w:val="21"/>
                <w:szCs w:val="21"/>
                <w:u w:val="none"/>
              </w:rPr>
            </w:pPr>
          </w:p>
        </w:tc>
        <w:tc>
          <w:tcPr>
            <w:tcW w:w="0" w:type="auto"/>
            <w:vMerge w:val="continue"/>
            <w:shd w:val="clear" w:color="auto" w:fill="auto"/>
            <w:vAlign w:val="center"/>
          </w:tcPr>
          <w:p w14:paraId="03D7686C">
            <w:pPr>
              <w:jc w:val="center"/>
              <w:rPr>
                <w:rFonts w:hint="default" w:ascii="Times New Roman" w:hAnsi="Times New Roman" w:eastAsia="宋体" w:cs="Times New Roman"/>
                <w:i w:val="0"/>
                <w:iCs w:val="0"/>
                <w:color w:val="00B050"/>
                <w:sz w:val="21"/>
                <w:szCs w:val="21"/>
                <w:u w:val="none"/>
              </w:rPr>
            </w:pPr>
          </w:p>
        </w:tc>
      </w:tr>
      <w:tr w14:paraId="33910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1814" w:type="dxa"/>
            <w:shd w:val="clear" w:color="auto" w:fill="auto"/>
            <w:vAlign w:val="center"/>
          </w:tcPr>
          <w:p w14:paraId="4B858580">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G1</w:t>
            </w:r>
            <w:r>
              <w:rPr>
                <w:rFonts w:hint="eastAsia" w:ascii="宋体" w:hAnsi="宋体" w:eastAsia="宋体" w:cs="宋体"/>
                <w:i w:val="0"/>
                <w:iCs w:val="0"/>
                <w:color w:val="00B050"/>
                <w:kern w:val="0"/>
                <w:sz w:val="21"/>
                <w:szCs w:val="21"/>
                <w:u w:val="none"/>
                <w:lang w:val="en-US" w:eastAsia="zh-CN" w:bidi="ar"/>
              </w:rPr>
              <w:t>加料废气</w:t>
            </w:r>
          </w:p>
        </w:tc>
        <w:tc>
          <w:tcPr>
            <w:tcW w:w="1274" w:type="dxa"/>
            <w:shd w:val="clear" w:color="auto" w:fill="auto"/>
            <w:vAlign w:val="center"/>
          </w:tcPr>
          <w:p w14:paraId="2CC7B621">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颗粒物</w:t>
            </w:r>
          </w:p>
        </w:tc>
        <w:tc>
          <w:tcPr>
            <w:tcW w:w="903" w:type="dxa"/>
            <w:shd w:val="clear" w:color="auto" w:fill="auto"/>
            <w:vAlign w:val="center"/>
          </w:tcPr>
          <w:p w14:paraId="2DB76855">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c>
          <w:tcPr>
            <w:tcW w:w="774" w:type="dxa"/>
            <w:shd w:val="clear" w:color="auto" w:fill="auto"/>
            <w:vAlign w:val="center"/>
          </w:tcPr>
          <w:p w14:paraId="5669D187">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c>
          <w:tcPr>
            <w:tcW w:w="678" w:type="dxa"/>
            <w:shd w:val="clear" w:color="auto" w:fill="auto"/>
            <w:vAlign w:val="center"/>
          </w:tcPr>
          <w:p w14:paraId="521EF85F">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少量</w:t>
            </w:r>
          </w:p>
        </w:tc>
        <w:tc>
          <w:tcPr>
            <w:tcW w:w="693" w:type="dxa"/>
            <w:shd w:val="clear" w:color="auto" w:fill="auto"/>
            <w:vAlign w:val="center"/>
          </w:tcPr>
          <w:p w14:paraId="07D8131F">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少量</w:t>
            </w:r>
          </w:p>
        </w:tc>
        <w:tc>
          <w:tcPr>
            <w:tcW w:w="597" w:type="dxa"/>
            <w:shd w:val="clear" w:color="auto" w:fill="auto"/>
            <w:vAlign w:val="center"/>
          </w:tcPr>
          <w:p w14:paraId="21448B15">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c>
          <w:tcPr>
            <w:tcW w:w="1774" w:type="dxa"/>
            <w:shd w:val="clear" w:color="auto" w:fill="auto"/>
            <w:vAlign w:val="center"/>
          </w:tcPr>
          <w:p w14:paraId="700AE583">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设备密闭，车间内无组织排放。</w:t>
            </w:r>
          </w:p>
        </w:tc>
        <w:tc>
          <w:tcPr>
            <w:tcW w:w="314" w:type="dxa"/>
            <w:shd w:val="clear" w:color="auto" w:fill="auto"/>
            <w:vAlign w:val="center"/>
          </w:tcPr>
          <w:p w14:paraId="192659B0">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c>
          <w:tcPr>
            <w:tcW w:w="516" w:type="dxa"/>
            <w:shd w:val="clear" w:color="auto" w:fill="auto"/>
            <w:vAlign w:val="center"/>
          </w:tcPr>
          <w:p w14:paraId="2466AAEC">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c>
          <w:tcPr>
            <w:tcW w:w="339" w:type="dxa"/>
            <w:shd w:val="clear" w:color="auto" w:fill="auto"/>
            <w:vAlign w:val="center"/>
          </w:tcPr>
          <w:p w14:paraId="26297BF7">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c>
          <w:tcPr>
            <w:tcW w:w="322" w:type="dxa"/>
            <w:shd w:val="clear" w:color="auto" w:fill="auto"/>
            <w:vAlign w:val="center"/>
          </w:tcPr>
          <w:p w14:paraId="4FB4012D">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c>
          <w:tcPr>
            <w:tcW w:w="634" w:type="dxa"/>
            <w:shd w:val="clear" w:color="auto" w:fill="auto"/>
            <w:vAlign w:val="center"/>
          </w:tcPr>
          <w:p w14:paraId="49D5A6D1">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c>
          <w:tcPr>
            <w:tcW w:w="635" w:type="dxa"/>
            <w:shd w:val="clear" w:color="auto" w:fill="auto"/>
            <w:vAlign w:val="center"/>
          </w:tcPr>
          <w:p w14:paraId="1855FA8E">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c>
          <w:tcPr>
            <w:tcW w:w="635" w:type="dxa"/>
            <w:shd w:val="clear" w:color="auto" w:fill="auto"/>
            <w:vAlign w:val="center"/>
          </w:tcPr>
          <w:p w14:paraId="39B4FD7A">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c>
          <w:tcPr>
            <w:tcW w:w="663" w:type="dxa"/>
            <w:shd w:val="clear" w:color="auto" w:fill="auto"/>
            <w:vAlign w:val="center"/>
          </w:tcPr>
          <w:p w14:paraId="3626D0D1">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少量</w:t>
            </w:r>
          </w:p>
        </w:tc>
        <w:tc>
          <w:tcPr>
            <w:tcW w:w="663" w:type="dxa"/>
            <w:shd w:val="clear" w:color="auto" w:fill="auto"/>
            <w:vAlign w:val="center"/>
          </w:tcPr>
          <w:p w14:paraId="156E5535">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r>
      <w:tr w14:paraId="3B4DF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14" w:type="dxa"/>
            <w:vMerge w:val="restart"/>
            <w:shd w:val="clear" w:color="auto" w:fill="auto"/>
            <w:vAlign w:val="center"/>
          </w:tcPr>
          <w:p w14:paraId="6D0FE132">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G2-1</w:t>
            </w:r>
            <w:r>
              <w:rPr>
                <w:rFonts w:hint="eastAsia" w:ascii="宋体" w:hAnsi="宋体" w:eastAsia="宋体" w:cs="宋体"/>
                <w:i w:val="0"/>
                <w:iCs w:val="0"/>
                <w:color w:val="00B050"/>
                <w:kern w:val="0"/>
                <w:sz w:val="21"/>
                <w:szCs w:val="21"/>
                <w:u w:val="none"/>
                <w:lang w:val="en-US" w:eastAsia="zh-CN" w:bidi="ar"/>
              </w:rPr>
              <w:t>注塑废气</w:t>
            </w:r>
          </w:p>
        </w:tc>
        <w:tc>
          <w:tcPr>
            <w:tcW w:w="1274" w:type="dxa"/>
            <w:shd w:val="clear" w:color="auto" w:fill="auto"/>
            <w:vAlign w:val="center"/>
          </w:tcPr>
          <w:p w14:paraId="596F4CA4">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颗粒物</w:t>
            </w:r>
          </w:p>
        </w:tc>
        <w:tc>
          <w:tcPr>
            <w:tcW w:w="903" w:type="dxa"/>
            <w:shd w:val="clear" w:color="auto" w:fill="auto"/>
            <w:vAlign w:val="center"/>
          </w:tcPr>
          <w:p w14:paraId="751D01EB">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c>
          <w:tcPr>
            <w:tcW w:w="774" w:type="dxa"/>
            <w:shd w:val="clear" w:color="auto" w:fill="auto"/>
            <w:vAlign w:val="center"/>
          </w:tcPr>
          <w:p w14:paraId="2F808986">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c>
          <w:tcPr>
            <w:tcW w:w="678" w:type="dxa"/>
            <w:shd w:val="clear" w:color="auto" w:fill="auto"/>
            <w:vAlign w:val="center"/>
          </w:tcPr>
          <w:p w14:paraId="4B25CCF2">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少量</w:t>
            </w:r>
          </w:p>
        </w:tc>
        <w:tc>
          <w:tcPr>
            <w:tcW w:w="693" w:type="dxa"/>
            <w:shd w:val="clear" w:color="auto" w:fill="auto"/>
            <w:vAlign w:val="center"/>
          </w:tcPr>
          <w:p w14:paraId="49445CD7">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少量</w:t>
            </w:r>
          </w:p>
        </w:tc>
        <w:tc>
          <w:tcPr>
            <w:tcW w:w="597" w:type="dxa"/>
            <w:shd w:val="clear" w:color="auto" w:fill="auto"/>
            <w:vAlign w:val="center"/>
          </w:tcPr>
          <w:p w14:paraId="77B9CBB5">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c>
          <w:tcPr>
            <w:tcW w:w="1774" w:type="dxa"/>
            <w:vMerge w:val="restart"/>
            <w:shd w:val="clear" w:color="auto" w:fill="auto"/>
            <w:vAlign w:val="center"/>
          </w:tcPr>
          <w:p w14:paraId="37E50F21">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1</w:t>
            </w:r>
            <w:r>
              <w:rPr>
                <w:rFonts w:hint="eastAsia" w:ascii="宋体" w:hAnsi="宋体" w:eastAsia="宋体" w:cs="宋体"/>
                <w:i w:val="0"/>
                <w:iCs w:val="0"/>
                <w:color w:val="00B050"/>
                <w:kern w:val="0"/>
                <w:sz w:val="21"/>
                <w:szCs w:val="21"/>
                <w:u w:val="none"/>
                <w:lang w:val="en-US" w:eastAsia="zh-CN" w:bidi="ar"/>
              </w:rPr>
              <w:t>套</w:t>
            </w:r>
            <w:r>
              <w:rPr>
                <w:rFonts w:hint="default" w:ascii="Times New Roman" w:hAnsi="Times New Roman" w:eastAsia="宋体" w:cs="Times New Roman"/>
                <w:i w:val="0"/>
                <w:iCs w:val="0"/>
                <w:color w:val="00B050"/>
                <w:kern w:val="0"/>
                <w:sz w:val="21"/>
                <w:szCs w:val="21"/>
                <w:u w:val="none"/>
                <w:lang w:val="en-US" w:eastAsia="zh-CN" w:bidi="ar"/>
              </w:rPr>
              <w:t>“</w:t>
            </w:r>
            <w:r>
              <w:rPr>
                <w:rFonts w:hint="eastAsia" w:ascii="宋体" w:hAnsi="宋体" w:eastAsia="宋体" w:cs="宋体"/>
                <w:i w:val="0"/>
                <w:iCs w:val="0"/>
                <w:color w:val="00B050"/>
                <w:kern w:val="0"/>
                <w:sz w:val="21"/>
                <w:szCs w:val="21"/>
                <w:u w:val="none"/>
                <w:lang w:val="en-US" w:eastAsia="zh-CN" w:bidi="ar"/>
              </w:rPr>
              <w:t>两级活性炭</w:t>
            </w:r>
            <w:r>
              <w:rPr>
                <w:rFonts w:hint="default" w:ascii="Times New Roman" w:hAnsi="Times New Roman" w:eastAsia="宋体" w:cs="Times New Roman"/>
                <w:i w:val="0"/>
                <w:iCs w:val="0"/>
                <w:color w:val="00B050"/>
                <w:kern w:val="0"/>
                <w:sz w:val="21"/>
                <w:szCs w:val="21"/>
                <w:u w:val="none"/>
                <w:lang w:val="en-US" w:eastAsia="zh-CN" w:bidi="ar"/>
              </w:rPr>
              <w:t>”</w:t>
            </w:r>
            <w:r>
              <w:rPr>
                <w:rFonts w:hint="eastAsia" w:ascii="宋体" w:hAnsi="宋体" w:eastAsia="宋体" w:cs="宋体"/>
                <w:i w:val="0"/>
                <w:iCs w:val="0"/>
                <w:color w:val="00B050"/>
                <w:kern w:val="0"/>
                <w:sz w:val="21"/>
                <w:szCs w:val="21"/>
                <w:u w:val="none"/>
                <w:lang w:val="en-US" w:eastAsia="zh-CN" w:bidi="ar"/>
              </w:rPr>
              <w:t>装置，</w:t>
            </w:r>
            <w:r>
              <w:rPr>
                <w:rFonts w:hint="default" w:ascii="Times New Roman" w:hAnsi="Times New Roman" w:eastAsia="宋体" w:cs="Times New Roman"/>
                <w:i w:val="0"/>
                <w:iCs w:val="0"/>
                <w:color w:val="00B050"/>
                <w:kern w:val="0"/>
                <w:sz w:val="21"/>
                <w:szCs w:val="21"/>
                <w:u w:val="none"/>
                <w:lang w:val="en-US" w:eastAsia="zh-CN" w:bidi="ar"/>
              </w:rPr>
              <w:t>1</w:t>
            </w:r>
            <w:r>
              <w:rPr>
                <w:rFonts w:hint="eastAsia" w:ascii="宋体" w:hAnsi="宋体" w:eastAsia="宋体" w:cs="宋体"/>
                <w:i w:val="0"/>
                <w:iCs w:val="0"/>
                <w:color w:val="00B050"/>
                <w:kern w:val="0"/>
                <w:sz w:val="21"/>
                <w:szCs w:val="21"/>
                <w:u w:val="none"/>
                <w:lang w:val="en-US" w:eastAsia="zh-CN" w:bidi="ar"/>
              </w:rPr>
              <w:t>根</w:t>
            </w:r>
            <w:r>
              <w:rPr>
                <w:rFonts w:hint="default" w:ascii="Times New Roman" w:hAnsi="Times New Roman" w:eastAsia="宋体" w:cs="Times New Roman"/>
                <w:i w:val="0"/>
                <w:iCs w:val="0"/>
                <w:color w:val="00B050"/>
                <w:kern w:val="0"/>
                <w:sz w:val="21"/>
                <w:szCs w:val="21"/>
                <w:u w:val="none"/>
                <w:lang w:val="en-US" w:eastAsia="zh-CN" w:bidi="ar"/>
              </w:rPr>
              <w:t>32m</w:t>
            </w:r>
            <w:r>
              <w:rPr>
                <w:rFonts w:hint="eastAsia" w:ascii="宋体" w:hAnsi="宋体" w:eastAsia="宋体" w:cs="宋体"/>
                <w:i w:val="0"/>
                <w:iCs w:val="0"/>
                <w:color w:val="00B050"/>
                <w:kern w:val="0"/>
                <w:sz w:val="21"/>
                <w:szCs w:val="21"/>
                <w:u w:val="none"/>
                <w:lang w:val="en-US" w:eastAsia="zh-CN" w:bidi="ar"/>
              </w:rPr>
              <w:t>排气筒（</w:t>
            </w:r>
            <w:r>
              <w:rPr>
                <w:rFonts w:hint="default" w:ascii="Times New Roman" w:hAnsi="Times New Roman" w:eastAsia="宋体" w:cs="Times New Roman"/>
                <w:i w:val="0"/>
                <w:iCs w:val="0"/>
                <w:color w:val="00B050"/>
                <w:kern w:val="0"/>
                <w:sz w:val="21"/>
                <w:szCs w:val="21"/>
                <w:u w:val="none"/>
                <w:lang w:val="en-US" w:eastAsia="zh-CN" w:bidi="ar"/>
              </w:rPr>
              <w:t>DA001</w:t>
            </w:r>
            <w:r>
              <w:rPr>
                <w:rFonts w:hint="eastAsia" w:ascii="宋体" w:hAnsi="宋体" w:eastAsia="宋体" w:cs="宋体"/>
                <w:i w:val="0"/>
                <w:iCs w:val="0"/>
                <w:color w:val="00B050"/>
                <w:kern w:val="0"/>
                <w:sz w:val="21"/>
                <w:szCs w:val="21"/>
                <w:u w:val="none"/>
                <w:lang w:val="en-US" w:eastAsia="zh-CN" w:bidi="ar"/>
              </w:rPr>
              <w:t>）</w:t>
            </w:r>
          </w:p>
        </w:tc>
        <w:tc>
          <w:tcPr>
            <w:tcW w:w="314" w:type="dxa"/>
            <w:vMerge w:val="restart"/>
            <w:shd w:val="clear" w:color="auto" w:fill="auto"/>
            <w:vAlign w:val="center"/>
          </w:tcPr>
          <w:p w14:paraId="6304C62B">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8</w:t>
            </w:r>
          </w:p>
        </w:tc>
        <w:tc>
          <w:tcPr>
            <w:tcW w:w="516" w:type="dxa"/>
            <w:vMerge w:val="restart"/>
            <w:shd w:val="clear" w:color="auto" w:fill="auto"/>
            <w:vAlign w:val="center"/>
          </w:tcPr>
          <w:p w14:paraId="2C7FDAEB">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23700</w:t>
            </w:r>
          </w:p>
        </w:tc>
        <w:tc>
          <w:tcPr>
            <w:tcW w:w="339" w:type="dxa"/>
            <w:vMerge w:val="restart"/>
            <w:shd w:val="clear" w:color="auto" w:fill="auto"/>
            <w:vAlign w:val="center"/>
          </w:tcPr>
          <w:p w14:paraId="66D4B78E">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80%</w:t>
            </w:r>
          </w:p>
        </w:tc>
        <w:tc>
          <w:tcPr>
            <w:tcW w:w="322" w:type="dxa"/>
            <w:vMerge w:val="restart"/>
            <w:shd w:val="clear" w:color="auto" w:fill="auto"/>
            <w:vAlign w:val="center"/>
          </w:tcPr>
          <w:p w14:paraId="68DC431B">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75%</w:t>
            </w:r>
          </w:p>
        </w:tc>
        <w:tc>
          <w:tcPr>
            <w:tcW w:w="634" w:type="dxa"/>
            <w:shd w:val="clear" w:color="auto" w:fill="auto"/>
            <w:vAlign w:val="center"/>
          </w:tcPr>
          <w:p w14:paraId="31AE8927">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少量</w:t>
            </w:r>
          </w:p>
        </w:tc>
        <w:tc>
          <w:tcPr>
            <w:tcW w:w="635" w:type="dxa"/>
            <w:shd w:val="clear" w:color="auto" w:fill="auto"/>
            <w:vAlign w:val="center"/>
          </w:tcPr>
          <w:p w14:paraId="38A9FAF7">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c>
          <w:tcPr>
            <w:tcW w:w="635" w:type="dxa"/>
            <w:shd w:val="clear" w:color="auto" w:fill="auto"/>
            <w:vAlign w:val="center"/>
          </w:tcPr>
          <w:p w14:paraId="6430BE10">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c>
          <w:tcPr>
            <w:tcW w:w="663" w:type="dxa"/>
            <w:shd w:val="clear" w:color="auto" w:fill="auto"/>
            <w:vAlign w:val="center"/>
          </w:tcPr>
          <w:p w14:paraId="32B2299C">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少量</w:t>
            </w:r>
          </w:p>
        </w:tc>
        <w:tc>
          <w:tcPr>
            <w:tcW w:w="663" w:type="dxa"/>
            <w:shd w:val="clear" w:color="auto" w:fill="auto"/>
            <w:vAlign w:val="center"/>
          </w:tcPr>
          <w:p w14:paraId="65745058">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r>
      <w:tr w14:paraId="1C558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1814" w:type="dxa"/>
            <w:vMerge w:val="continue"/>
            <w:shd w:val="clear" w:color="auto" w:fill="auto"/>
            <w:vAlign w:val="center"/>
          </w:tcPr>
          <w:p w14:paraId="40995387">
            <w:pPr>
              <w:jc w:val="center"/>
              <w:rPr>
                <w:rFonts w:hint="default" w:ascii="Times New Roman" w:hAnsi="Times New Roman" w:eastAsia="宋体" w:cs="Times New Roman"/>
                <w:i w:val="0"/>
                <w:iCs w:val="0"/>
                <w:color w:val="00B050"/>
                <w:sz w:val="21"/>
                <w:szCs w:val="21"/>
                <w:u w:val="none"/>
              </w:rPr>
            </w:pPr>
          </w:p>
        </w:tc>
        <w:tc>
          <w:tcPr>
            <w:tcW w:w="1274" w:type="dxa"/>
            <w:shd w:val="clear" w:color="auto" w:fill="auto"/>
            <w:vAlign w:val="center"/>
          </w:tcPr>
          <w:p w14:paraId="32B3DAE3">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非甲烷总烃</w:t>
            </w:r>
          </w:p>
        </w:tc>
        <w:tc>
          <w:tcPr>
            <w:tcW w:w="903" w:type="dxa"/>
            <w:shd w:val="clear" w:color="auto" w:fill="auto"/>
            <w:vAlign w:val="center"/>
          </w:tcPr>
          <w:p w14:paraId="04AB0FE9">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2.7kg/t-</w:t>
            </w:r>
          </w:p>
        </w:tc>
        <w:tc>
          <w:tcPr>
            <w:tcW w:w="774" w:type="dxa"/>
            <w:shd w:val="clear" w:color="auto" w:fill="auto"/>
            <w:vAlign w:val="center"/>
          </w:tcPr>
          <w:p w14:paraId="26233812">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139.1233</w:t>
            </w:r>
          </w:p>
        </w:tc>
        <w:tc>
          <w:tcPr>
            <w:tcW w:w="678" w:type="dxa"/>
            <w:vMerge w:val="restart"/>
            <w:shd w:val="clear" w:color="auto" w:fill="auto"/>
            <w:vAlign w:val="center"/>
          </w:tcPr>
          <w:p w14:paraId="0DAFEC6E">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0.5787</w:t>
            </w:r>
          </w:p>
        </w:tc>
        <w:tc>
          <w:tcPr>
            <w:tcW w:w="693" w:type="dxa"/>
            <w:vMerge w:val="restart"/>
            <w:shd w:val="clear" w:color="auto" w:fill="auto"/>
            <w:vAlign w:val="center"/>
          </w:tcPr>
          <w:p w14:paraId="354DC81C">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0.4629</w:t>
            </w:r>
          </w:p>
        </w:tc>
        <w:tc>
          <w:tcPr>
            <w:tcW w:w="597" w:type="dxa"/>
            <w:vMerge w:val="restart"/>
            <w:shd w:val="clear" w:color="auto" w:fill="auto"/>
            <w:vAlign w:val="center"/>
          </w:tcPr>
          <w:p w14:paraId="74D30C88">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8.1386</w:t>
            </w:r>
          </w:p>
        </w:tc>
        <w:tc>
          <w:tcPr>
            <w:tcW w:w="1774" w:type="dxa"/>
            <w:vMerge w:val="continue"/>
            <w:shd w:val="clear" w:color="auto" w:fill="auto"/>
            <w:vAlign w:val="center"/>
          </w:tcPr>
          <w:p w14:paraId="190A6DB8">
            <w:pPr>
              <w:jc w:val="center"/>
              <w:rPr>
                <w:rFonts w:hint="default" w:ascii="Times New Roman" w:hAnsi="Times New Roman" w:eastAsia="宋体" w:cs="Times New Roman"/>
                <w:i w:val="0"/>
                <w:iCs w:val="0"/>
                <w:color w:val="00B050"/>
                <w:sz w:val="21"/>
                <w:szCs w:val="21"/>
                <w:u w:val="none"/>
              </w:rPr>
            </w:pPr>
          </w:p>
        </w:tc>
        <w:tc>
          <w:tcPr>
            <w:tcW w:w="314" w:type="dxa"/>
            <w:vMerge w:val="continue"/>
            <w:shd w:val="clear" w:color="auto" w:fill="auto"/>
            <w:vAlign w:val="center"/>
          </w:tcPr>
          <w:p w14:paraId="6A2D24BC">
            <w:pPr>
              <w:jc w:val="center"/>
              <w:rPr>
                <w:rFonts w:hint="default" w:ascii="Times New Roman" w:hAnsi="Times New Roman" w:eastAsia="宋体" w:cs="Times New Roman"/>
                <w:i w:val="0"/>
                <w:iCs w:val="0"/>
                <w:color w:val="00B050"/>
                <w:sz w:val="21"/>
                <w:szCs w:val="21"/>
                <w:u w:val="none"/>
              </w:rPr>
            </w:pPr>
          </w:p>
        </w:tc>
        <w:tc>
          <w:tcPr>
            <w:tcW w:w="516" w:type="dxa"/>
            <w:vMerge w:val="continue"/>
            <w:shd w:val="clear" w:color="auto" w:fill="auto"/>
            <w:vAlign w:val="center"/>
          </w:tcPr>
          <w:p w14:paraId="4CBA1C22">
            <w:pPr>
              <w:jc w:val="center"/>
              <w:rPr>
                <w:rFonts w:hint="default" w:ascii="Times New Roman" w:hAnsi="Times New Roman" w:eastAsia="宋体" w:cs="Times New Roman"/>
                <w:i w:val="0"/>
                <w:iCs w:val="0"/>
                <w:color w:val="00B050"/>
                <w:sz w:val="21"/>
                <w:szCs w:val="21"/>
                <w:u w:val="none"/>
              </w:rPr>
            </w:pPr>
          </w:p>
        </w:tc>
        <w:tc>
          <w:tcPr>
            <w:tcW w:w="339" w:type="dxa"/>
            <w:vMerge w:val="continue"/>
            <w:shd w:val="clear" w:color="auto" w:fill="auto"/>
            <w:vAlign w:val="center"/>
          </w:tcPr>
          <w:p w14:paraId="01051527">
            <w:pPr>
              <w:jc w:val="center"/>
              <w:rPr>
                <w:rFonts w:hint="default" w:ascii="Times New Roman" w:hAnsi="Times New Roman" w:eastAsia="宋体" w:cs="Times New Roman"/>
                <w:i w:val="0"/>
                <w:iCs w:val="0"/>
                <w:color w:val="00B050"/>
                <w:sz w:val="21"/>
                <w:szCs w:val="21"/>
                <w:u w:val="none"/>
              </w:rPr>
            </w:pPr>
          </w:p>
        </w:tc>
        <w:tc>
          <w:tcPr>
            <w:tcW w:w="322" w:type="dxa"/>
            <w:vMerge w:val="continue"/>
            <w:shd w:val="clear" w:color="auto" w:fill="auto"/>
            <w:vAlign w:val="center"/>
          </w:tcPr>
          <w:p w14:paraId="5EF573CE">
            <w:pPr>
              <w:jc w:val="center"/>
              <w:rPr>
                <w:rFonts w:hint="default" w:ascii="Times New Roman" w:hAnsi="Times New Roman" w:eastAsia="宋体" w:cs="Times New Roman"/>
                <w:i w:val="0"/>
                <w:iCs w:val="0"/>
                <w:color w:val="00B050"/>
                <w:sz w:val="21"/>
                <w:szCs w:val="21"/>
                <w:u w:val="none"/>
              </w:rPr>
            </w:pPr>
          </w:p>
        </w:tc>
        <w:tc>
          <w:tcPr>
            <w:tcW w:w="634" w:type="dxa"/>
            <w:vMerge w:val="restart"/>
            <w:shd w:val="clear" w:color="auto" w:fill="auto"/>
            <w:vAlign w:val="center"/>
          </w:tcPr>
          <w:p w14:paraId="66B7D44E">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0.1157</w:t>
            </w:r>
          </w:p>
        </w:tc>
        <w:tc>
          <w:tcPr>
            <w:tcW w:w="635" w:type="dxa"/>
            <w:vMerge w:val="restart"/>
            <w:shd w:val="clear" w:color="auto" w:fill="auto"/>
            <w:vAlign w:val="center"/>
          </w:tcPr>
          <w:p w14:paraId="2396C29B">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0.0482</w:t>
            </w:r>
          </w:p>
        </w:tc>
        <w:tc>
          <w:tcPr>
            <w:tcW w:w="635" w:type="dxa"/>
            <w:vMerge w:val="restart"/>
            <w:shd w:val="clear" w:color="auto" w:fill="auto"/>
            <w:vAlign w:val="center"/>
          </w:tcPr>
          <w:p w14:paraId="11FAA3A1">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2.0347</w:t>
            </w:r>
          </w:p>
        </w:tc>
        <w:tc>
          <w:tcPr>
            <w:tcW w:w="663" w:type="dxa"/>
            <w:vMerge w:val="restart"/>
            <w:shd w:val="clear" w:color="auto" w:fill="auto"/>
            <w:vAlign w:val="center"/>
          </w:tcPr>
          <w:p w14:paraId="4AFE303D">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0.1157</w:t>
            </w:r>
          </w:p>
        </w:tc>
        <w:tc>
          <w:tcPr>
            <w:tcW w:w="663" w:type="dxa"/>
            <w:vMerge w:val="restart"/>
            <w:shd w:val="clear" w:color="auto" w:fill="auto"/>
            <w:vAlign w:val="center"/>
          </w:tcPr>
          <w:p w14:paraId="4A50C635">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0.0482</w:t>
            </w:r>
          </w:p>
        </w:tc>
      </w:tr>
      <w:tr w14:paraId="23FD0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1814" w:type="dxa"/>
            <w:shd w:val="clear" w:color="auto" w:fill="auto"/>
            <w:vAlign w:val="center"/>
          </w:tcPr>
          <w:p w14:paraId="41FA182C">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G5</w:t>
            </w:r>
            <w:r>
              <w:rPr>
                <w:rFonts w:hint="eastAsia" w:ascii="宋体" w:hAnsi="宋体" w:eastAsia="宋体" w:cs="宋体"/>
                <w:i w:val="0"/>
                <w:iCs w:val="0"/>
                <w:color w:val="00B050"/>
                <w:kern w:val="0"/>
                <w:sz w:val="21"/>
                <w:szCs w:val="21"/>
                <w:u w:val="none"/>
                <w:lang w:val="en-US" w:eastAsia="zh-CN" w:bidi="ar"/>
              </w:rPr>
              <w:t>移印废气</w:t>
            </w:r>
          </w:p>
        </w:tc>
        <w:tc>
          <w:tcPr>
            <w:tcW w:w="1274" w:type="dxa"/>
            <w:shd w:val="clear" w:color="auto" w:fill="auto"/>
            <w:vAlign w:val="center"/>
          </w:tcPr>
          <w:p w14:paraId="4DB6B91E">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非甲烷总烃</w:t>
            </w:r>
          </w:p>
        </w:tc>
        <w:tc>
          <w:tcPr>
            <w:tcW w:w="903" w:type="dxa"/>
            <w:shd w:val="clear" w:color="auto" w:fill="auto"/>
            <w:vAlign w:val="center"/>
          </w:tcPr>
          <w:p w14:paraId="78C5C786">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c>
          <w:tcPr>
            <w:tcW w:w="774" w:type="dxa"/>
            <w:shd w:val="clear" w:color="auto" w:fill="auto"/>
            <w:vAlign w:val="center"/>
          </w:tcPr>
          <w:p w14:paraId="1C124DB8">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c>
          <w:tcPr>
            <w:tcW w:w="678" w:type="dxa"/>
            <w:vMerge w:val="continue"/>
            <w:shd w:val="clear" w:color="auto" w:fill="auto"/>
            <w:vAlign w:val="center"/>
          </w:tcPr>
          <w:p w14:paraId="6D4408EC">
            <w:pPr>
              <w:jc w:val="center"/>
              <w:rPr>
                <w:rFonts w:hint="default" w:ascii="Times New Roman" w:hAnsi="Times New Roman" w:eastAsia="宋体" w:cs="Times New Roman"/>
                <w:i w:val="0"/>
                <w:iCs w:val="0"/>
                <w:color w:val="00B050"/>
                <w:sz w:val="21"/>
                <w:szCs w:val="21"/>
                <w:u w:val="none"/>
              </w:rPr>
            </w:pPr>
          </w:p>
        </w:tc>
        <w:tc>
          <w:tcPr>
            <w:tcW w:w="693" w:type="dxa"/>
            <w:vMerge w:val="continue"/>
            <w:shd w:val="clear" w:color="auto" w:fill="auto"/>
            <w:vAlign w:val="center"/>
          </w:tcPr>
          <w:p w14:paraId="7149703E">
            <w:pPr>
              <w:jc w:val="center"/>
              <w:rPr>
                <w:rFonts w:hint="default" w:ascii="Times New Roman" w:hAnsi="Times New Roman" w:eastAsia="宋体" w:cs="Times New Roman"/>
                <w:i w:val="0"/>
                <w:iCs w:val="0"/>
                <w:color w:val="00B050"/>
                <w:sz w:val="21"/>
                <w:szCs w:val="21"/>
                <w:u w:val="none"/>
              </w:rPr>
            </w:pPr>
          </w:p>
        </w:tc>
        <w:tc>
          <w:tcPr>
            <w:tcW w:w="597" w:type="dxa"/>
            <w:vMerge w:val="continue"/>
            <w:shd w:val="clear" w:color="auto" w:fill="auto"/>
            <w:vAlign w:val="center"/>
          </w:tcPr>
          <w:p w14:paraId="5D1145FB">
            <w:pPr>
              <w:jc w:val="center"/>
              <w:rPr>
                <w:rFonts w:hint="default" w:ascii="Times New Roman" w:hAnsi="Times New Roman" w:eastAsia="宋体" w:cs="Times New Roman"/>
                <w:i w:val="0"/>
                <w:iCs w:val="0"/>
                <w:color w:val="00B050"/>
                <w:sz w:val="21"/>
                <w:szCs w:val="21"/>
                <w:u w:val="none"/>
              </w:rPr>
            </w:pPr>
          </w:p>
        </w:tc>
        <w:tc>
          <w:tcPr>
            <w:tcW w:w="1774" w:type="dxa"/>
            <w:vMerge w:val="continue"/>
            <w:shd w:val="clear" w:color="auto" w:fill="auto"/>
            <w:vAlign w:val="center"/>
          </w:tcPr>
          <w:p w14:paraId="7ECADB87">
            <w:pPr>
              <w:jc w:val="center"/>
              <w:rPr>
                <w:rFonts w:hint="default" w:ascii="Times New Roman" w:hAnsi="Times New Roman" w:eastAsia="宋体" w:cs="Times New Roman"/>
                <w:i w:val="0"/>
                <w:iCs w:val="0"/>
                <w:color w:val="00B050"/>
                <w:sz w:val="21"/>
                <w:szCs w:val="21"/>
                <w:u w:val="none"/>
              </w:rPr>
            </w:pPr>
          </w:p>
        </w:tc>
        <w:tc>
          <w:tcPr>
            <w:tcW w:w="314" w:type="dxa"/>
            <w:vMerge w:val="continue"/>
            <w:shd w:val="clear" w:color="auto" w:fill="auto"/>
            <w:vAlign w:val="center"/>
          </w:tcPr>
          <w:p w14:paraId="6F25E8F2">
            <w:pPr>
              <w:jc w:val="center"/>
              <w:rPr>
                <w:rFonts w:hint="default" w:ascii="Times New Roman" w:hAnsi="Times New Roman" w:eastAsia="宋体" w:cs="Times New Roman"/>
                <w:i w:val="0"/>
                <w:iCs w:val="0"/>
                <w:color w:val="00B050"/>
                <w:sz w:val="21"/>
                <w:szCs w:val="21"/>
                <w:u w:val="none"/>
              </w:rPr>
            </w:pPr>
          </w:p>
        </w:tc>
        <w:tc>
          <w:tcPr>
            <w:tcW w:w="516" w:type="dxa"/>
            <w:vMerge w:val="continue"/>
            <w:shd w:val="clear" w:color="auto" w:fill="auto"/>
            <w:vAlign w:val="center"/>
          </w:tcPr>
          <w:p w14:paraId="5F483925">
            <w:pPr>
              <w:jc w:val="center"/>
              <w:rPr>
                <w:rFonts w:hint="default" w:ascii="Times New Roman" w:hAnsi="Times New Roman" w:eastAsia="宋体" w:cs="Times New Roman"/>
                <w:i w:val="0"/>
                <w:iCs w:val="0"/>
                <w:color w:val="00B050"/>
                <w:sz w:val="21"/>
                <w:szCs w:val="21"/>
                <w:u w:val="none"/>
              </w:rPr>
            </w:pPr>
          </w:p>
        </w:tc>
        <w:tc>
          <w:tcPr>
            <w:tcW w:w="339" w:type="dxa"/>
            <w:vMerge w:val="continue"/>
            <w:shd w:val="clear" w:color="auto" w:fill="auto"/>
            <w:vAlign w:val="center"/>
          </w:tcPr>
          <w:p w14:paraId="5080FB21">
            <w:pPr>
              <w:jc w:val="center"/>
              <w:rPr>
                <w:rFonts w:hint="default" w:ascii="Times New Roman" w:hAnsi="Times New Roman" w:eastAsia="宋体" w:cs="Times New Roman"/>
                <w:i w:val="0"/>
                <w:iCs w:val="0"/>
                <w:color w:val="00B050"/>
                <w:sz w:val="21"/>
                <w:szCs w:val="21"/>
                <w:u w:val="none"/>
              </w:rPr>
            </w:pPr>
          </w:p>
        </w:tc>
        <w:tc>
          <w:tcPr>
            <w:tcW w:w="322" w:type="dxa"/>
            <w:vMerge w:val="continue"/>
            <w:shd w:val="clear" w:color="auto" w:fill="auto"/>
            <w:vAlign w:val="center"/>
          </w:tcPr>
          <w:p w14:paraId="104D014B">
            <w:pPr>
              <w:jc w:val="center"/>
              <w:rPr>
                <w:rFonts w:hint="default" w:ascii="Times New Roman" w:hAnsi="Times New Roman" w:eastAsia="宋体" w:cs="Times New Roman"/>
                <w:i w:val="0"/>
                <w:iCs w:val="0"/>
                <w:color w:val="00B050"/>
                <w:sz w:val="21"/>
                <w:szCs w:val="21"/>
                <w:u w:val="none"/>
              </w:rPr>
            </w:pPr>
          </w:p>
        </w:tc>
        <w:tc>
          <w:tcPr>
            <w:tcW w:w="634" w:type="dxa"/>
            <w:vMerge w:val="continue"/>
            <w:shd w:val="clear" w:color="auto" w:fill="auto"/>
            <w:vAlign w:val="center"/>
          </w:tcPr>
          <w:p w14:paraId="63047878">
            <w:pPr>
              <w:jc w:val="center"/>
              <w:rPr>
                <w:rFonts w:hint="default" w:ascii="Times New Roman" w:hAnsi="Times New Roman" w:eastAsia="宋体" w:cs="Times New Roman"/>
                <w:i w:val="0"/>
                <w:iCs w:val="0"/>
                <w:color w:val="00B050"/>
                <w:sz w:val="21"/>
                <w:szCs w:val="21"/>
                <w:u w:val="none"/>
              </w:rPr>
            </w:pPr>
          </w:p>
        </w:tc>
        <w:tc>
          <w:tcPr>
            <w:tcW w:w="635" w:type="dxa"/>
            <w:vMerge w:val="continue"/>
            <w:shd w:val="clear" w:color="auto" w:fill="auto"/>
            <w:vAlign w:val="center"/>
          </w:tcPr>
          <w:p w14:paraId="2F654BCE">
            <w:pPr>
              <w:jc w:val="center"/>
              <w:rPr>
                <w:rFonts w:hint="default" w:ascii="Times New Roman" w:hAnsi="Times New Roman" w:eastAsia="宋体" w:cs="Times New Roman"/>
                <w:i w:val="0"/>
                <w:iCs w:val="0"/>
                <w:color w:val="00B050"/>
                <w:sz w:val="21"/>
                <w:szCs w:val="21"/>
                <w:u w:val="none"/>
              </w:rPr>
            </w:pPr>
          </w:p>
        </w:tc>
        <w:tc>
          <w:tcPr>
            <w:tcW w:w="635" w:type="dxa"/>
            <w:vMerge w:val="continue"/>
            <w:shd w:val="clear" w:color="auto" w:fill="auto"/>
            <w:vAlign w:val="center"/>
          </w:tcPr>
          <w:p w14:paraId="5174609A">
            <w:pPr>
              <w:jc w:val="center"/>
              <w:rPr>
                <w:rFonts w:hint="default" w:ascii="Times New Roman" w:hAnsi="Times New Roman" w:eastAsia="宋体" w:cs="Times New Roman"/>
                <w:i w:val="0"/>
                <w:iCs w:val="0"/>
                <w:color w:val="00B050"/>
                <w:sz w:val="21"/>
                <w:szCs w:val="21"/>
                <w:u w:val="none"/>
              </w:rPr>
            </w:pPr>
          </w:p>
        </w:tc>
        <w:tc>
          <w:tcPr>
            <w:tcW w:w="663" w:type="dxa"/>
            <w:vMerge w:val="continue"/>
            <w:shd w:val="clear" w:color="auto" w:fill="auto"/>
            <w:vAlign w:val="center"/>
          </w:tcPr>
          <w:p w14:paraId="381F3B14">
            <w:pPr>
              <w:jc w:val="center"/>
              <w:rPr>
                <w:rFonts w:hint="default" w:ascii="Times New Roman" w:hAnsi="Times New Roman" w:eastAsia="宋体" w:cs="Times New Roman"/>
                <w:i w:val="0"/>
                <w:iCs w:val="0"/>
                <w:color w:val="00B050"/>
                <w:sz w:val="21"/>
                <w:szCs w:val="21"/>
                <w:u w:val="none"/>
              </w:rPr>
            </w:pPr>
          </w:p>
        </w:tc>
        <w:tc>
          <w:tcPr>
            <w:tcW w:w="663" w:type="dxa"/>
            <w:vMerge w:val="continue"/>
            <w:shd w:val="clear" w:color="auto" w:fill="auto"/>
            <w:vAlign w:val="center"/>
          </w:tcPr>
          <w:p w14:paraId="68E55903">
            <w:pPr>
              <w:jc w:val="center"/>
              <w:rPr>
                <w:rFonts w:hint="default" w:ascii="Times New Roman" w:hAnsi="Times New Roman" w:eastAsia="宋体" w:cs="Times New Roman"/>
                <w:i w:val="0"/>
                <w:iCs w:val="0"/>
                <w:color w:val="00B050"/>
                <w:sz w:val="21"/>
                <w:szCs w:val="21"/>
                <w:u w:val="none"/>
              </w:rPr>
            </w:pPr>
          </w:p>
        </w:tc>
      </w:tr>
      <w:tr w14:paraId="60851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14" w:type="dxa"/>
            <w:shd w:val="clear" w:color="auto" w:fill="auto"/>
            <w:vAlign w:val="center"/>
          </w:tcPr>
          <w:p w14:paraId="650FFA0A">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G6</w:t>
            </w:r>
            <w:r>
              <w:rPr>
                <w:rFonts w:hint="eastAsia" w:ascii="宋体" w:hAnsi="宋体" w:eastAsia="宋体" w:cs="宋体"/>
                <w:i w:val="0"/>
                <w:iCs w:val="0"/>
                <w:color w:val="00B050"/>
                <w:kern w:val="0"/>
                <w:sz w:val="21"/>
                <w:szCs w:val="21"/>
                <w:u w:val="none"/>
                <w:lang w:val="en-US" w:eastAsia="zh-CN" w:bidi="ar"/>
              </w:rPr>
              <w:t>烘烤废气</w:t>
            </w:r>
          </w:p>
        </w:tc>
        <w:tc>
          <w:tcPr>
            <w:tcW w:w="1274" w:type="dxa"/>
            <w:shd w:val="clear" w:color="auto" w:fill="auto"/>
            <w:vAlign w:val="center"/>
          </w:tcPr>
          <w:p w14:paraId="46B0140E">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非甲烷总烃</w:t>
            </w:r>
          </w:p>
        </w:tc>
        <w:tc>
          <w:tcPr>
            <w:tcW w:w="903" w:type="dxa"/>
            <w:shd w:val="clear" w:color="auto" w:fill="auto"/>
            <w:vAlign w:val="center"/>
          </w:tcPr>
          <w:p w14:paraId="7E08BAFA">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c>
          <w:tcPr>
            <w:tcW w:w="774" w:type="dxa"/>
            <w:shd w:val="clear" w:color="auto" w:fill="auto"/>
            <w:vAlign w:val="center"/>
          </w:tcPr>
          <w:p w14:paraId="0A580F6F">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c>
          <w:tcPr>
            <w:tcW w:w="678" w:type="dxa"/>
            <w:vMerge w:val="continue"/>
            <w:shd w:val="clear" w:color="auto" w:fill="auto"/>
            <w:vAlign w:val="center"/>
          </w:tcPr>
          <w:p w14:paraId="792843FE">
            <w:pPr>
              <w:jc w:val="center"/>
              <w:rPr>
                <w:rFonts w:hint="default" w:ascii="Times New Roman" w:hAnsi="Times New Roman" w:eastAsia="宋体" w:cs="Times New Roman"/>
                <w:i w:val="0"/>
                <w:iCs w:val="0"/>
                <w:color w:val="00B050"/>
                <w:sz w:val="21"/>
                <w:szCs w:val="21"/>
                <w:u w:val="none"/>
              </w:rPr>
            </w:pPr>
          </w:p>
        </w:tc>
        <w:tc>
          <w:tcPr>
            <w:tcW w:w="693" w:type="dxa"/>
            <w:vMerge w:val="continue"/>
            <w:shd w:val="clear" w:color="auto" w:fill="auto"/>
            <w:vAlign w:val="center"/>
          </w:tcPr>
          <w:p w14:paraId="42C28A8C">
            <w:pPr>
              <w:jc w:val="center"/>
              <w:rPr>
                <w:rFonts w:hint="default" w:ascii="Times New Roman" w:hAnsi="Times New Roman" w:eastAsia="宋体" w:cs="Times New Roman"/>
                <w:i w:val="0"/>
                <w:iCs w:val="0"/>
                <w:color w:val="00B050"/>
                <w:sz w:val="21"/>
                <w:szCs w:val="21"/>
                <w:u w:val="none"/>
              </w:rPr>
            </w:pPr>
          </w:p>
        </w:tc>
        <w:tc>
          <w:tcPr>
            <w:tcW w:w="597" w:type="dxa"/>
            <w:vMerge w:val="continue"/>
            <w:shd w:val="clear" w:color="auto" w:fill="auto"/>
            <w:vAlign w:val="center"/>
          </w:tcPr>
          <w:p w14:paraId="001EC20F">
            <w:pPr>
              <w:jc w:val="center"/>
              <w:rPr>
                <w:rFonts w:hint="default" w:ascii="Times New Roman" w:hAnsi="Times New Roman" w:eastAsia="宋体" w:cs="Times New Roman"/>
                <w:i w:val="0"/>
                <w:iCs w:val="0"/>
                <w:color w:val="00B050"/>
                <w:sz w:val="21"/>
                <w:szCs w:val="21"/>
                <w:u w:val="none"/>
              </w:rPr>
            </w:pPr>
          </w:p>
        </w:tc>
        <w:tc>
          <w:tcPr>
            <w:tcW w:w="1774" w:type="dxa"/>
            <w:vMerge w:val="continue"/>
            <w:shd w:val="clear" w:color="auto" w:fill="auto"/>
            <w:vAlign w:val="center"/>
          </w:tcPr>
          <w:p w14:paraId="299940EA">
            <w:pPr>
              <w:jc w:val="center"/>
              <w:rPr>
                <w:rFonts w:hint="default" w:ascii="Times New Roman" w:hAnsi="Times New Roman" w:eastAsia="宋体" w:cs="Times New Roman"/>
                <w:i w:val="0"/>
                <w:iCs w:val="0"/>
                <w:color w:val="00B050"/>
                <w:sz w:val="21"/>
                <w:szCs w:val="21"/>
                <w:u w:val="none"/>
              </w:rPr>
            </w:pPr>
          </w:p>
        </w:tc>
        <w:tc>
          <w:tcPr>
            <w:tcW w:w="314" w:type="dxa"/>
            <w:vMerge w:val="continue"/>
            <w:shd w:val="clear" w:color="auto" w:fill="auto"/>
            <w:vAlign w:val="center"/>
          </w:tcPr>
          <w:p w14:paraId="5A6696CD">
            <w:pPr>
              <w:jc w:val="center"/>
              <w:rPr>
                <w:rFonts w:hint="default" w:ascii="Times New Roman" w:hAnsi="Times New Roman" w:eastAsia="宋体" w:cs="Times New Roman"/>
                <w:i w:val="0"/>
                <w:iCs w:val="0"/>
                <w:color w:val="00B050"/>
                <w:sz w:val="21"/>
                <w:szCs w:val="21"/>
                <w:u w:val="none"/>
              </w:rPr>
            </w:pPr>
          </w:p>
        </w:tc>
        <w:tc>
          <w:tcPr>
            <w:tcW w:w="516" w:type="dxa"/>
            <w:vMerge w:val="continue"/>
            <w:shd w:val="clear" w:color="auto" w:fill="auto"/>
            <w:vAlign w:val="center"/>
          </w:tcPr>
          <w:p w14:paraId="3D955A9D">
            <w:pPr>
              <w:jc w:val="center"/>
              <w:rPr>
                <w:rFonts w:hint="default" w:ascii="Times New Roman" w:hAnsi="Times New Roman" w:eastAsia="宋体" w:cs="Times New Roman"/>
                <w:i w:val="0"/>
                <w:iCs w:val="0"/>
                <w:color w:val="00B050"/>
                <w:sz w:val="21"/>
                <w:szCs w:val="21"/>
                <w:u w:val="none"/>
              </w:rPr>
            </w:pPr>
          </w:p>
        </w:tc>
        <w:tc>
          <w:tcPr>
            <w:tcW w:w="339" w:type="dxa"/>
            <w:vMerge w:val="continue"/>
            <w:shd w:val="clear" w:color="auto" w:fill="auto"/>
            <w:vAlign w:val="center"/>
          </w:tcPr>
          <w:p w14:paraId="7A9992C9">
            <w:pPr>
              <w:jc w:val="center"/>
              <w:rPr>
                <w:rFonts w:hint="default" w:ascii="Times New Roman" w:hAnsi="Times New Roman" w:eastAsia="宋体" w:cs="Times New Roman"/>
                <w:i w:val="0"/>
                <w:iCs w:val="0"/>
                <w:color w:val="00B050"/>
                <w:sz w:val="21"/>
                <w:szCs w:val="21"/>
                <w:u w:val="none"/>
              </w:rPr>
            </w:pPr>
          </w:p>
        </w:tc>
        <w:tc>
          <w:tcPr>
            <w:tcW w:w="322" w:type="dxa"/>
            <w:vMerge w:val="continue"/>
            <w:shd w:val="clear" w:color="auto" w:fill="auto"/>
            <w:vAlign w:val="center"/>
          </w:tcPr>
          <w:p w14:paraId="0E65CA0E">
            <w:pPr>
              <w:jc w:val="center"/>
              <w:rPr>
                <w:rFonts w:hint="default" w:ascii="Times New Roman" w:hAnsi="Times New Roman" w:eastAsia="宋体" w:cs="Times New Roman"/>
                <w:i w:val="0"/>
                <w:iCs w:val="0"/>
                <w:color w:val="00B050"/>
                <w:sz w:val="21"/>
                <w:szCs w:val="21"/>
                <w:u w:val="none"/>
              </w:rPr>
            </w:pPr>
          </w:p>
        </w:tc>
        <w:tc>
          <w:tcPr>
            <w:tcW w:w="634" w:type="dxa"/>
            <w:vMerge w:val="continue"/>
            <w:shd w:val="clear" w:color="auto" w:fill="auto"/>
            <w:vAlign w:val="center"/>
          </w:tcPr>
          <w:p w14:paraId="6E9A480D">
            <w:pPr>
              <w:jc w:val="center"/>
              <w:rPr>
                <w:rFonts w:hint="default" w:ascii="Times New Roman" w:hAnsi="Times New Roman" w:eastAsia="宋体" w:cs="Times New Roman"/>
                <w:i w:val="0"/>
                <w:iCs w:val="0"/>
                <w:color w:val="00B050"/>
                <w:sz w:val="21"/>
                <w:szCs w:val="21"/>
                <w:u w:val="none"/>
              </w:rPr>
            </w:pPr>
          </w:p>
        </w:tc>
        <w:tc>
          <w:tcPr>
            <w:tcW w:w="635" w:type="dxa"/>
            <w:vMerge w:val="continue"/>
            <w:shd w:val="clear" w:color="auto" w:fill="auto"/>
            <w:vAlign w:val="center"/>
          </w:tcPr>
          <w:p w14:paraId="074E77C2">
            <w:pPr>
              <w:jc w:val="center"/>
              <w:rPr>
                <w:rFonts w:hint="default" w:ascii="Times New Roman" w:hAnsi="Times New Roman" w:eastAsia="宋体" w:cs="Times New Roman"/>
                <w:i w:val="0"/>
                <w:iCs w:val="0"/>
                <w:color w:val="00B050"/>
                <w:sz w:val="21"/>
                <w:szCs w:val="21"/>
                <w:u w:val="none"/>
              </w:rPr>
            </w:pPr>
          </w:p>
        </w:tc>
        <w:tc>
          <w:tcPr>
            <w:tcW w:w="635" w:type="dxa"/>
            <w:vMerge w:val="continue"/>
            <w:shd w:val="clear" w:color="auto" w:fill="auto"/>
            <w:vAlign w:val="center"/>
          </w:tcPr>
          <w:p w14:paraId="180C0C95">
            <w:pPr>
              <w:jc w:val="center"/>
              <w:rPr>
                <w:rFonts w:hint="default" w:ascii="Times New Roman" w:hAnsi="Times New Roman" w:eastAsia="宋体" w:cs="Times New Roman"/>
                <w:i w:val="0"/>
                <w:iCs w:val="0"/>
                <w:color w:val="00B050"/>
                <w:sz w:val="21"/>
                <w:szCs w:val="21"/>
                <w:u w:val="none"/>
              </w:rPr>
            </w:pPr>
          </w:p>
        </w:tc>
        <w:tc>
          <w:tcPr>
            <w:tcW w:w="663" w:type="dxa"/>
            <w:vMerge w:val="continue"/>
            <w:shd w:val="clear" w:color="auto" w:fill="auto"/>
            <w:vAlign w:val="center"/>
          </w:tcPr>
          <w:p w14:paraId="0FEE1749">
            <w:pPr>
              <w:jc w:val="center"/>
              <w:rPr>
                <w:rFonts w:hint="default" w:ascii="Times New Roman" w:hAnsi="Times New Roman" w:eastAsia="宋体" w:cs="Times New Roman"/>
                <w:i w:val="0"/>
                <w:iCs w:val="0"/>
                <w:color w:val="00B050"/>
                <w:sz w:val="21"/>
                <w:szCs w:val="21"/>
                <w:u w:val="none"/>
              </w:rPr>
            </w:pPr>
          </w:p>
        </w:tc>
        <w:tc>
          <w:tcPr>
            <w:tcW w:w="663" w:type="dxa"/>
            <w:vMerge w:val="continue"/>
            <w:shd w:val="clear" w:color="auto" w:fill="auto"/>
            <w:vAlign w:val="center"/>
          </w:tcPr>
          <w:p w14:paraId="3E887491">
            <w:pPr>
              <w:jc w:val="center"/>
              <w:rPr>
                <w:rFonts w:hint="default" w:ascii="Times New Roman" w:hAnsi="Times New Roman" w:eastAsia="宋体" w:cs="Times New Roman"/>
                <w:i w:val="0"/>
                <w:iCs w:val="0"/>
                <w:color w:val="00B050"/>
                <w:sz w:val="21"/>
                <w:szCs w:val="21"/>
                <w:u w:val="none"/>
              </w:rPr>
            </w:pPr>
          </w:p>
        </w:tc>
      </w:tr>
      <w:tr w14:paraId="6B1DD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1814" w:type="dxa"/>
            <w:shd w:val="clear" w:color="auto" w:fill="auto"/>
            <w:vAlign w:val="center"/>
          </w:tcPr>
          <w:p w14:paraId="29B1793C">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G8</w:t>
            </w:r>
            <w:r>
              <w:rPr>
                <w:rFonts w:hint="eastAsia" w:ascii="宋体" w:hAnsi="宋体" w:eastAsia="宋体" w:cs="宋体"/>
                <w:i w:val="0"/>
                <w:iCs w:val="0"/>
                <w:color w:val="00B050"/>
                <w:kern w:val="0"/>
                <w:sz w:val="21"/>
                <w:szCs w:val="21"/>
                <w:u w:val="none"/>
                <w:lang w:val="en-US" w:eastAsia="zh-CN" w:bidi="ar"/>
              </w:rPr>
              <w:t>擦油墨废气</w:t>
            </w:r>
          </w:p>
        </w:tc>
        <w:tc>
          <w:tcPr>
            <w:tcW w:w="1274" w:type="dxa"/>
            <w:shd w:val="clear" w:color="auto" w:fill="auto"/>
            <w:vAlign w:val="center"/>
          </w:tcPr>
          <w:p w14:paraId="0164026C">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非甲烷总烃</w:t>
            </w:r>
          </w:p>
        </w:tc>
        <w:tc>
          <w:tcPr>
            <w:tcW w:w="903" w:type="dxa"/>
            <w:shd w:val="clear" w:color="auto" w:fill="auto"/>
            <w:vAlign w:val="center"/>
          </w:tcPr>
          <w:p w14:paraId="07B0C52F">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c>
          <w:tcPr>
            <w:tcW w:w="774" w:type="dxa"/>
            <w:shd w:val="clear" w:color="auto" w:fill="auto"/>
            <w:vAlign w:val="center"/>
          </w:tcPr>
          <w:p w14:paraId="0E1E685B">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c>
          <w:tcPr>
            <w:tcW w:w="678" w:type="dxa"/>
            <w:vMerge w:val="continue"/>
            <w:shd w:val="clear" w:color="auto" w:fill="auto"/>
            <w:vAlign w:val="center"/>
          </w:tcPr>
          <w:p w14:paraId="17F41672">
            <w:pPr>
              <w:jc w:val="center"/>
              <w:rPr>
                <w:rFonts w:hint="default" w:ascii="Times New Roman" w:hAnsi="Times New Roman" w:eastAsia="宋体" w:cs="Times New Roman"/>
                <w:i w:val="0"/>
                <w:iCs w:val="0"/>
                <w:color w:val="00B050"/>
                <w:sz w:val="21"/>
                <w:szCs w:val="21"/>
                <w:u w:val="none"/>
              </w:rPr>
            </w:pPr>
          </w:p>
        </w:tc>
        <w:tc>
          <w:tcPr>
            <w:tcW w:w="693" w:type="dxa"/>
            <w:vMerge w:val="continue"/>
            <w:shd w:val="clear" w:color="auto" w:fill="auto"/>
            <w:vAlign w:val="center"/>
          </w:tcPr>
          <w:p w14:paraId="14E477EE">
            <w:pPr>
              <w:jc w:val="center"/>
              <w:rPr>
                <w:rFonts w:hint="default" w:ascii="Times New Roman" w:hAnsi="Times New Roman" w:eastAsia="宋体" w:cs="Times New Roman"/>
                <w:i w:val="0"/>
                <w:iCs w:val="0"/>
                <w:color w:val="00B050"/>
                <w:sz w:val="21"/>
                <w:szCs w:val="21"/>
                <w:u w:val="none"/>
              </w:rPr>
            </w:pPr>
          </w:p>
        </w:tc>
        <w:tc>
          <w:tcPr>
            <w:tcW w:w="597" w:type="dxa"/>
            <w:vMerge w:val="continue"/>
            <w:shd w:val="clear" w:color="auto" w:fill="auto"/>
            <w:vAlign w:val="center"/>
          </w:tcPr>
          <w:p w14:paraId="57C14CF4">
            <w:pPr>
              <w:jc w:val="center"/>
              <w:rPr>
                <w:rFonts w:hint="default" w:ascii="Times New Roman" w:hAnsi="Times New Roman" w:eastAsia="宋体" w:cs="Times New Roman"/>
                <w:i w:val="0"/>
                <w:iCs w:val="0"/>
                <w:color w:val="00B050"/>
                <w:sz w:val="21"/>
                <w:szCs w:val="21"/>
                <w:u w:val="none"/>
              </w:rPr>
            </w:pPr>
          </w:p>
        </w:tc>
        <w:tc>
          <w:tcPr>
            <w:tcW w:w="1774" w:type="dxa"/>
            <w:vMerge w:val="continue"/>
            <w:shd w:val="clear" w:color="auto" w:fill="auto"/>
            <w:vAlign w:val="center"/>
          </w:tcPr>
          <w:p w14:paraId="18579F25">
            <w:pPr>
              <w:jc w:val="center"/>
              <w:rPr>
                <w:rFonts w:hint="default" w:ascii="Times New Roman" w:hAnsi="Times New Roman" w:eastAsia="宋体" w:cs="Times New Roman"/>
                <w:i w:val="0"/>
                <w:iCs w:val="0"/>
                <w:color w:val="00B050"/>
                <w:sz w:val="21"/>
                <w:szCs w:val="21"/>
                <w:u w:val="none"/>
              </w:rPr>
            </w:pPr>
          </w:p>
        </w:tc>
        <w:tc>
          <w:tcPr>
            <w:tcW w:w="314" w:type="dxa"/>
            <w:vMerge w:val="continue"/>
            <w:shd w:val="clear" w:color="auto" w:fill="auto"/>
            <w:vAlign w:val="center"/>
          </w:tcPr>
          <w:p w14:paraId="5E5747B7">
            <w:pPr>
              <w:jc w:val="center"/>
              <w:rPr>
                <w:rFonts w:hint="default" w:ascii="Times New Roman" w:hAnsi="Times New Roman" w:eastAsia="宋体" w:cs="Times New Roman"/>
                <w:i w:val="0"/>
                <w:iCs w:val="0"/>
                <w:color w:val="00B050"/>
                <w:sz w:val="21"/>
                <w:szCs w:val="21"/>
                <w:u w:val="none"/>
              </w:rPr>
            </w:pPr>
          </w:p>
        </w:tc>
        <w:tc>
          <w:tcPr>
            <w:tcW w:w="516" w:type="dxa"/>
            <w:vMerge w:val="continue"/>
            <w:shd w:val="clear" w:color="auto" w:fill="auto"/>
            <w:vAlign w:val="center"/>
          </w:tcPr>
          <w:p w14:paraId="04CAA4D3">
            <w:pPr>
              <w:jc w:val="center"/>
              <w:rPr>
                <w:rFonts w:hint="default" w:ascii="Times New Roman" w:hAnsi="Times New Roman" w:eastAsia="宋体" w:cs="Times New Roman"/>
                <w:i w:val="0"/>
                <w:iCs w:val="0"/>
                <w:color w:val="00B050"/>
                <w:sz w:val="21"/>
                <w:szCs w:val="21"/>
                <w:u w:val="none"/>
              </w:rPr>
            </w:pPr>
          </w:p>
        </w:tc>
        <w:tc>
          <w:tcPr>
            <w:tcW w:w="339" w:type="dxa"/>
            <w:vMerge w:val="continue"/>
            <w:shd w:val="clear" w:color="auto" w:fill="auto"/>
            <w:vAlign w:val="center"/>
          </w:tcPr>
          <w:p w14:paraId="179E9D0B">
            <w:pPr>
              <w:jc w:val="center"/>
              <w:rPr>
                <w:rFonts w:hint="default" w:ascii="Times New Roman" w:hAnsi="Times New Roman" w:eastAsia="宋体" w:cs="Times New Roman"/>
                <w:i w:val="0"/>
                <w:iCs w:val="0"/>
                <w:color w:val="00B050"/>
                <w:sz w:val="21"/>
                <w:szCs w:val="21"/>
                <w:u w:val="none"/>
              </w:rPr>
            </w:pPr>
          </w:p>
        </w:tc>
        <w:tc>
          <w:tcPr>
            <w:tcW w:w="322" w:type="dxa"/>
            <w:vMerge w:val="continue"/>
            <w:shd w:val="clear" w:color="auto" w:fill="auto"/>
            <w:vAlign w:val="center"/>
          </w:tcPr>
          <w:p w14:paraId="7C4A6B94">
            <w:pPr>
              <w:jc w:val="center"/>
              <w:rPr>
                <w:rFonts w:hint="default" w:ascii="Times New Roman" w:hAnsi="Times New Roman" w:eastAsia="宋体" w:cs="Times New Roman"/>
                <w:i w:val="0"/>
                <w:iCs w:val="0"/>
                <w:color w:val="00B050"/>
                <w:sz w:val="21"/>
                <w:szCs w:val="21"/>
                <w:u w:val="none"/>
              </w:rPr>
            </w:pPr>
          </w:p>
        </w:tc>
        <w:tc>
          <w:tcPr>
            <w:tcW w:w="634" w:type="dxa"/>
            <w:vMerge w:val="continue"/>
            <w:shd w:val="clear" w:color="auto" w:fill="auto"/>
            <w:vAlign w:val="center"/>
          </w:tcPr>
          <w:p w14:paraId="5A818A94">
            <w:pPr>
              <w:jc w:val="center"/>
              <w:rPr>
                <w:rFonts w:hint="default" w:ascii="Times New Roman" w:hAnsi="Times New Roman" w:eastAsia="宋体" w:cs="Times New Roman"/>
                <w:i w:val="0"/>
                <w:iCs w:val="0"/>
                <w:color w:val="00B050"/>
                <w:sz w:val="21"/>
                <w:szCs w:val="21"/>
                <w:u w:val="none"/>
              </w:rPr>
            </w:pPr>
          </w:p>
        </w:tc>
        <w:tc>
          <w:tcPr>
            <w:tcW w:w="635" w:type="dxa"/>
            <w:vMerge w:val="continue"/>
            <w:shd w:val="clear" w:color="auto" w:fill="auto"/>
            <w:vAlign w:val="center"/>
          </w:tcPr>
          <w:p w14:paraId="2258F6DB">
            <w:pPr>
              <w:jc w:val="center"/>
              <w:rPr>
                <w:rFonts w:hint="default" w:ascii="Times New Roman" w:hAnsi="Times New Roman" w:eastAsia="宋体" w:cs="Times New Roman"/>
                <w:i w:val="0"/>
                <w:iCs w:val="0"/>
                <w:color w:val="00B050"/>
                <w:sz w:val="21"/>
                <w:szCs w:val="21"/>
                <w:u w:val="none"/>
              </w:rPr>
            </w:pPr>
          </w:p>
        </w:tc>
        <w:tc>
          <w:tcPr>
            <w:tcW w:w="635" w:type="dxa"/>
            <w:vMerge w:val="continue"/>
            <w:shd w:val="clear" w:color="auto" w:fill="auto"/>
            <w:vAlign w:val="center"/>
          </w:tcPr>
          <w:p w14:paraId="4CB00A48">
            <w:pPr>
              <w:jc w:val="center"/>
              <w:rPr>
                <w:rFonts w:hint="default" w:ascii="Times New Roman" w:hAnsi="Times New Roman" w:eastAsia="宋体" w:cs="Times New Roman"/>
                <w:i w:val="0"/>
                <w:iCs w:val="0"/>
                <w:color w:val="00B050"/>
                <w:sz w:val="21"/>
                <w:szCs w:val="21"/>
                <w:u w:val="none"/>
              </w:rPr>
            </w:pPr>
          </w:p>
        </w:tc>
        <w:tc>
          <w:tcPr>
            <w:tcW w:w="663" w:type="dxa"/>
            <w:vMerge w:val="continue"/>
            <w:shd w:val="clear" w:color="auto" w:fill="auto"/>
            <w:vAlign w:val="center"/>
          </w:tcPr>
          <w:p w14:paraId="5031CE91">
            <w:pPr>
              <w:jc w:val="center"/>
              <w:rPr>
                <w:rFonts w:hint="default" w:ascii="Times New Roman" w:hAnsi="Times New Roman" w:eastAsia="宋体" w:cs="Times New Roman"/>
                <w:i w:val="0"/>
                <w:iCs w:val="0"/>
                <w:color w:val="00B050"/>
                <w:sz w:val="21"/>
                <w:szCs w:val="21"/>
                <w:u w:val="none"/>
              </w:rPr>
            </w:pPr>
          </w:p>
        </w:tc>
        <w:tc>
          <w:tcPr>
            <w:tcW w:w="663" w:type="dxa"/>
            <w:vMerge w:val="continue"/>
            <w:shd w:val="clear" w:color="auto" w:fill="auto"/>
            <w:vAlign w:val="center"/>
          </w:tcPr>
          <w:p w14:paraId="35ABD253">
            <w:pPr>
              <w:jc w:val="center"/>
              <w:rPr>
                <w:rFonts w:hint="default" w:ascii="Times New Roman" w:hAnsi="Times New Roman" w:eastAsia="宋体" w:cs="Times New Roman"/>
                <w:i w:val="0"/>
                <w:iCs w:val="0"/>
                <w:color w:val="00B050"/>
                <w:sz w:val="21"/>
                <w:szCs w:val="21"/>
                <w:u w:val="none"/>
              </w:rPr>
            </w:pPr>
          </w:p>
        </w:tc>
      </w:tr>
      <w:tr w14:paraId="1E47A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14" w:type="dxa"/>
            <w:vMerge w:val="restart"/>
            <w:shd w:val="clear" w:color="auto" w:fill="auto"/>
            <w:vAlign w:val="center"/>
          </w:tcPr>
          <w:p w14:paraId="108C387B">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G7</w:t>
            </w:r>
            <w:r>
              <w:rPr>
                <w:rFonts w:hint="eastAsia" w:ascii="宋体" w:hAnsi="宋体" w:eastAsia="宋体" w:cs="宋体"/>
                <w:i w:val="0"/>
                <w:iCs w:val="0"/>
                <w:color w:val="00B050"/>
                <w:kern w:val="0"/>
                <w:sz w:val="21"/>
                <w:szCs w:val="21"/>
                <w:u w:val="none"/>
                <w:lang w:val="en-US" w:eastAsia="zh-CN" w:bidi="ar"/>
              </w:rPr>
              <w:t>擦版废气</w:t>
            </w:r>
          </w:p>
        </w:tc>
        <w:tc>
          <w:tcPr>
            <w:tcW w:w="1274" w:type="dxa"/>
            <w:shd w:val="clear" w:color="auto" w:fill="auto"/>
            <w:vAlign w:val="center"/>
          </w:tcPr>
          <w:p w14:paraId="19C3CD1D">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非甲烷总烃</w:t>
            </w:r>
          </w:p>
        </w:tc>
        <w:tc>
          <w:tcPr>
            <w:tcW w:w="903" w:type="dxa"/>
            <w:shd w:val="clear" w:color="auto" w:fill="auto"/>
            <w:vAlign w:val="center"/>
          </w:tcPr>
          <w:p w14:paraId="015ACA08">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c>
          <w:tcPr>
            <w:tcW w:w="774" w:type="dxa"/>
            <w:shd w:val="clear" w:color="auto" w:fill="auto"/>
            <w:vAlign w:val="center"/>
          </w:tcPr>
          <w:p w14:paraId="2517D2D5">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c>
          <w:tcPr>
            <w:tcW w:w="678" w:type="dxa"/>
            <w:vMerge w:val="continue"/>
            <w:shd w:val="clear" w:color="auto" w:fill="auto"/>
            <w:vAlign w:val="center"/>
          </w:tcPr>
          <w:p w14:paraId="131C5BE2">
            <w:pPr>
              <w:jc w:val="center"/>
              <w:rPr>
                <w:rFonts w:hint="default" w:ascii="Times New Roman" w:hAnsi="Times New Roman" w:eastAsia="宋体" w:cs="Times New Roman"/>
                <w:i w:val="0"/>
                <w:iCs w:val="0"/>
                <w:color w:val="00B050"/>
                <w:sz w:val="21"/>
                <w:szCs w:val="21"/>
                <w:u w:val="none"/>
              </w:rPr>
            </w:pPr>
          </w:p>
        </w:tc>
        <w:tc>
          <w:tcPr>
            <w:tcW w:w="693" w:type="dxa"/>
            <w:vMerge w:val="continue"/>
            <w:shd w:val="clear" w:color="auto" w:fill="auto"/>
            <w:vAlign w:val="center"/>
          </w:tcPr>
          <w:p w14:paraId="4D1522F3">
            <w:pPr>
              <w:jc w:val="center"/>
              <w:rPr>
                <w:rFonts w:hint="default" w:ascii="Times New Roman" w:hAnsi="Times New Roman" w:eastAsia="宋体" w:cs="Times New Roman"/>
                <w:i w:val="0"/>
                <w:iCs w:val="0"/>
                <w:color w:val="00B050"/>
                <w:sz w:val="21"/>
                <w:szCs w:val="21"/>
                <w:u w:val="none"/>
              </w:rPr>
            </w:pPr>
          </w:p>
        </w:tc>
        <w:tc>
          <w:tcPr>
            <w:tcW w:w="597" w:type="dxa"/>
            <w:vMerge w:val="continue"/>
            <w:shd w:val="clear" w:color="auto" w:fill="auto"/>
            <w:vAlign w:val="center"/>
          </w:tcPr>
          <w:p w14:paraId="736B1464">
            <w:pPr>
              <w:jc w:val="center"/>
              <w:rPr>
                <w:rFonts w:hint="default" w:ascii="Times New Roman" w:hAnsi="Times New Roman" w:eastAsia="宋体" w:cs="Times New Roman"/>
                <w:i w:val="0"/>
                <w:iCs w:val="0"/>
                <w:color w:val="00B050"/>
                <w:sz w:val="21"/>
                <w:szCs w:val="21"/>
                <w:u w:val="none"/>
              </w:rPr>
            </w:pPr>
          </w:p>
        </w:tc>
        <w:tc>
          <w:tcPr>
            <w:tcW w:w="1774" w:type="dxa"/>
            <w:vMerge w:val="continue"/>
            <w:shd w:val="clear" w:color="auto" w:fill="auto"/>
            <w:vAlign w:val="center"/>
          </w:tcPr>
          <w:p w14:paraId="2AEF5651">
            <w:pPr>
              <w:jc w:val="center"/>
              <w:rPr>
                <w:rFonts w:hint="default" w:ascii="Times New Roman" w:hAnsi="Times New Roman" w:eastAsia="宋体" w:cs="Times New Roman"/>
                <w:i w:val="0"/>
                <w:iCs w:val="0"/>
                <w:color w:val="00B050"/>
                <w:sz w:val="21"/>
                <w:szCs w:val="21"/>
                <w:u w:val="none"/>
              </w:rPr>
            </w:pPr>
          </w:p>
        </w:tc>
        <w:tc>
          <w:tcPr>
            <w:tcW w:w="314" w:type="dxa"/>
            <w:vMerge w:val="continue"/>
            <w:shd w:val="clear" w:color="auto" w:fill="auto"/>
            <w:vAlign w:val="center"/>
          </w:tcPr>
          <w:p w14:paraId="5EC8594F">
            <w:pPr>
              <w:jc w:val="center"/>
              <w:rPr>
                <w:rFonts w:hint="default" w:ascii="Times New Roman" w:hAnsi="Times New Roman" w:eastAsia="宋体" w:cs="Times New Roman"/>
                <w:i w:val="0"/>
                <w:iCs w:val="0"/>
                <w:color w:val="00B050"/>
                <w:sz w:val="21"/>
                <w:szCs w:val="21"/>
                <w:u w:val="none"/>
              </w:rPr>
            </w:pPr>
          </w:p>
        </w:tc>
        <w:tc>
          <w:tcPr>
            <w:tcW w:w="516" w:type="dxa"/>
            <w:vMerge w:val="continue"/>
            <w:shd w:val="clear" w:color="auto" w:fill="auto"/>
            <w:vAlign w:val="center"/>
          </w:tcPr>
          <w:p w14:paraId="51F2DAE5">
            <w:pPr>
              <w:jc w:val="center"/>
              <w:rPr>
                <w:rFonts w:hint="default" w:ascii="Times New Roman" w:hAnsi="Times New Roman" w:eastAsia="宋体" w:cs="Times New Roman"/>
                <w:i w:val="0"/>
                <w:iCs w:val="0"/>
                <w:color w:val="00B050"/>
                <w:sz w:val="21"/>
                <w:szCs w:val="21"/>
                <w:u w:val="none"/>
              </w:rPr>
            </w:pPr>
          </w:p>
        </w:tc>
        <w:tc>
          <w:tcPr>
            <w:tcW w:w="339" w:type="dxa"/>
            <w:vMerge w:val="continue"/>
            <w:shd w:val="clear" w:color="auto" w:fill="auto"/>
            <w:vAlign w:val="center"/>
          </w:tcPr>
          <w:p w14:paraId="0F57D86C">
            <w:pPr>
              <w:jc w:val="center"/>
              <w:rPr>
                <w:rFonts w:hint="default" w:ascii="Times New Roman" w:hAnsi="Times New Roman" w:eastAsia="宋体" w:cs="Times New Roman"/>
                <w:i w:val="0"/>
                <w:iCs w:val="0"/>
                <w:color w:val="00B050"/>
                <w:sz w:val="21"/>
                <w:szCs w:val="21"/>
                <w:u w:val="none"/>
              </w:rPr>
            </w:pPr>
          </w:p>
        </w:tc>
        <w:tc>
          <w:tcPr>
            <w:tcW w:w="322" w:type="dxa"/>
            <w:vMerge w:val="continue"/>
            <w:shd w:val="clear" w:color="auto" w:fill="auto"/>
            <w:vAlign w:val="center"/>
          </w:tcPr>
          <w:p w14:paraId="23DD6A02">
            <w:pPr>
              <w:jc w:val="center"/>
              <w:rPr>
                <w:rFonts w:hint="default" w:ascii="Times New Roman" w:hAnsi="Times New Roman" w:eastAsia="宋体" w:cs="Times New Roman"/>
                <w:i w:val="0"/>
                <w:iCs w:val="0"/>
                <w:color w:val="00B050"/>
                <w:sz w:val="21"/>
                <w:szCs w:val="21"/>
                <w:u w:val="none"/>
              </w:rPr>
            </w:pPr>
          </w:p>
        </w:tc>
        <w:tc>
          <w:tcPr>
            <w:tcW w:w="634" w:type="dxa"/>
            <w:vMerge w:val="continue"/>
            <w:shd w:val="clear" w:color="auto" w:fill="auto"/>
            <w:vAlign w:val="center"/>
          </w:tcPr>
          <w:p w14:paraId="4A6CA3BA">
            <w:pPr>
              <w:jc w:val="center"/>
              <w:rPr>
                <w:rFonts w:hint="default" w:ascii="Times New Roman" w:hAnsi="Times New Roman" w:eastAsia="宋体" w:cs="Times New Roman"/>
                <w:i w:val="0"/>
                <w:iCs w:val="0"/>
                <w:color w:val="00B050"/>
                <w:sz w:val="21"/>
                <w:szCs w:val="21"/>
                <w:u w:val="none"/>
              </w:rPr>
            </w:pPr>
          </w:p>
        </w:tc>
        <w:tc>
          <w:tcPr>
            <w:tcW w:w="635" w:type="dxa"/>
            <w:vMerge w:val="continue"/>
            <w:shd w:val="clear" w:color="auto" w:fill="auto"/>
            <w:vAlign w:val="center"/>
          </w:tcPr>
          <w:p w14:paraId="72BDF6AE">
            <w:pPr>
              <w:jc w:val="center"/>
              <w:rPr>
                <w:rFonts w:hint="default" w:ascii="Times New Roman" w:hAnsi="Times New Roman" w:eastAsia="宋体" w:cs="Times New Roman"/>
                <w:i w:val="0"/>
                <w:iCs w:val="0"/>
                <w:color w:val="00B050"/>
                <w:sz w:val="21"/>
                <w:szCs w:val="21"/>
                <w:u w:val="none"/>
              </w:rPr>
            </w:pPr>
          </w:p>
        </w:tc>
        <w:tc>
          <w:tcPr>
            <w:tcW w:w="635" w:type="dxa"/>
            <w:vMerge w:val="continue"/>
            <w:shd w:val="clear" w:color="auto" w:fill="auto"/>
            <w:vAlign w:val="center"/>
          </w:tcPr>
          <w:p w14:paraId="054DFFCD">
            <w:pPr>
              <w:jc w:val="center"/>
              <w:rPr>
                <w:rFonts w:hint="default" w:ascii="Times New Roman" w:hAnsi="Times New Roman" w:eastAsia="宋体" w:cs="Times New Roman"/>
                <w:i w:val="0"/>
                <w:iCs w:val="0"/>
                <w:color w:val="00B050"/>
                <w:sz w:val="21"/>
                <w:szCs w:val="21"/>
                <w:u w:val="none"/>
              </w:rPr>
            </w:pPr>
          </w:p>
        </w:tc>
        <w:tc>
          <w:tcPr>
            <w:tcW w:w="663" w:type="dxa"/>
            <w:vMerge w:val="continue"/>
            <w:shd w:val="clear" w:color="auto" w:fill="auto"/>
            <w:vAlign w:val="center"/>
          </w:tcPr>
          <w:p w14:paraId="5B40414F">
            <w:pPr>
              <w:jc w:val="center"/>
              <w:rPr>
                <w:rFonts w:hint="default" w:ascii="Times New Roman" w:hAnsi="Times New Roman" w:eastAsia="宋体" w:cs="Times New Roman"/>
                <w:i w:val="0"/>
                <w:iCs w:val="0"/>
                <w:color w:val="00B050"/>
                <w:sz w:val="21"/>
                <w:szCs w:val="21"/>
                <w:u w:val="none"/>
              </w:rPr>
            </w:pPr>
          </w:p>
        </w:tc>
        <w:tc>
          <w:tcPr>
            <w:tcW w:w="663" w:type="dxa"/>
            <w:vMerge w:val="continue"/>
            <w:shd w:val="clear" w:color="auto" w:fill="auto"/>
            <w:vAlign w:val="center"/>
          </w:tcPr>
          <w:p w14:paraId="2115ACAA">
            <w:pPr>
              <w:jc w:val="center"/>
              <w:rPr>
                <w:rFonts w:hint="default" w:ascii="Times New Roman" w:hAnsi="Times New Roman" w:eastAsia="宋体" w:cs="Times New Roman"/>
                <w:i w:val="0"/>
                <w:iCs w:val="0"/>
                <w:color w:val="00B050"/>
                <w:sz w:val="21"/>
                <w:szCs w:val="21"/>
                <w:u w:val="none"/>
              </w:rPr>
            </w:pPr>
          </w:p>
        </w:tc>
      </w:tr>
      <w:tr w14:paraId="3AFAB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trPr>
        <w:tc>
          <w:tcPr>
            <w:tcW w:w="1814" w:type="dxa"/>
            <w:vMerge w:val="continue"/>
            <w:shd w:val="clear" w:color="auto" w:fill="auto"/>
            <w:vAlign w:val="center"/>
          </w:tcPr>
          <w:p w14:paraId="1F446785">
            <w:pPr>
              <w:jc w:val="center"/>
              <w:rPr>
                <w:rFonts w:hint="default" w:ascii="Times New Roman" w:hAnsi="Times New Roman" w:eastAsia="宋体" w:cs="Times New Roman"/>
                <w:i w:val="0"/>
                <w:iCs w:val="0"/>
                <w:color w:val="00B050"/>
                <w:sz w:val="21"/>
                <w:szCs w:val="21"/>
                <w:u w:val="none"/>
              </w:rPr>
            </w:pPr>
          </w:p>
        </w:tc>
        <w:tc>
          <w:tcPr>
            <w:tcW w:w="1274" w:type="dxa"/>
            <w:shd w:val="clear" w:color="auto" w:fill="auto"/>
            <w:vAlign w:val="center"/>
          </w:tcPr>
          <w:p w14:paraId="3D8820A8">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三甲苯</w:t>
            </w:r>
          </w:p>
        </w:tc>
        <w:tc>
          <w:tcPr>
            <w:tcW w:w="903" w:type="dxa"/>
            <w:shd w:val="clear" w:color="auto" w:fill="auto"/>
            <w:vAlign w:val="center"/>
          </w:tcPr>
          <w:p w14:paraId="46DA4003">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c>
          <w:tcPr>
            <w:tcW w:w="774" w:type="dxa"/>
            <w:shd w:val="clear" w:color="auto" w:fill="auto"/>
            <w:vAlign w:val="center"/>
          </w:tcPr>
          <w:p w14:paraId="6B7EAACA">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c>
          <w:tcPr>
            <w:tcW w:w="678" w:type="dxa"/>
            <w:shd w:val="clear" w:color="auto" w:fill="auto"/>
            <w:vAlign w:val="center"/>
          </w:tcPr>
          <w:p w14:paraId="667E557D">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0.0045</w:t>
            </w:r>
          </w:p>
        </w:tc>
        <w:tc>
          <w:tcPr>
            <w:tcW w:w="693" w:type="dxa"/>
            <w:shd w:val="clear" w:color="auto" w:fill="auto"/>
            <w:vAlign w:val="center"/>
          </w:tcPr>
          <w:p w14:paraId="4D0CB819">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lang w:val="en-US" w:eastAsia="zh-CN"/>
              </w:rPr>
            </w:pPr>
            <w:r>
              <w:rPr>
                <w:rFonts w:hint="default" w:ascii="Times New Roman" w:hAnsi="Times New Roman" w:eastAsia="宋体" w:cs="Times New Roman"/>
                <w:i w:val="0"/>
                <w:iCs w:val="0"/>
                <w:color w:val="00B050"/>
                <w:kern w:val="0"/>
                <w:sz w:val="21"/>
                <w:szCs w:val="21"/>
                <w:u w:val="none"/>
                <w:lang w:val="en-US" w:eastAsia="zh-CN" w:bidi="ar"/>
              </w:rPr>
              <w:t>0.0036</w:t>
            </w:r>
          </w:p>
        </w:tc>
        <w:tc>
          <w:tcPr>
            <w:tcW w:w="597" w:type="dxa"/>
            <w:shd w:val="clear" w:color="auto" w:fill="auto"/>
            <w:vAlign w:val="center"/>
          </w:tcPr>
          <w:p w14:paraId="5FEF5114">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lang w:val="en-US"/>
              </w:rPr>
            </w:pPr>
            <w:r>
              <w:rPr>
                <w:rFonts w:hint="default" w:ascii="Times New Roman" w:hAnsi="Times New Roman" w:eastAsia="宋体" w:cs="Times New Roman"/>
                <w:i w:val="0"/>
                <w:iCs w:val="0"/>
                <w:color w:val="00B050"/>
                <w:kern w:val="0"/>
                <w:sz w:val="21"/>
                <w:szCs w:val="21"/>
                <w:u w:val="none"/>
                <w:lang w:val="en-US" w:eastAsia="zh-CN" w:bidi="ar"/>
              </w:rPr>
              <w:t>0.0633</w:t>
            </w:r>
          </w:p>
        </w:tc>
        <w:tc>
          <w:tcPr>
            <w:tcW w:w="1774" w:type="dxa"/>
            <w:vMerge w:val="continue"/>
            <w:shd w:val="clear" w:color="auto" w:fill="auto"/>
            <w:vAlign w:val="center"/>
          </w:tcPr>
          <w:p w14:paraId="455ACDA6">
            <w:pPr>
              <w:jc w:val="center"/>
              <w:rPr>
                <w:rFonts w:hint="default" w:ascii="Times New Roman" w:hAnsi="Times New Roman" w:eastAsia="宋体" w:cs="Times New Roman"/>
                <w:i w:val="0"/>
                <w:iCs w:val="0"/>
                <w:color w:val="00B050"/>
                <w:sz w:val="21"/>
                <w:szCs w:val="21"/>
                <w:u w:val="none"/>
              </w:rPr>
            </w:pPr>
          </w:p>
        </w:tc>
        <w:tc>
          <w:tcPr>
            <w:tcW w:w="314" w:type="dxa"/>
            <w:vMerge w:val="continue"/>
            <w:shd w:val="clear" w:color="auto" w:fill="auto"/>
            <w:vAlign w:val="center"/>
          </w:tcPr>
          <w:p w14:paraId="542B2EBB">
            <w:pPr>
              <w:jc w:val="center"/>
              <w:rPr>
                <w:rFonts w:hint="default" w:ascii="Times New Roman" w:hAnsi="Times New Roman" w:eastAsia="宋体" w:cs="Times New Roman"/>
                <w:i w:val="0"/>
                <w:iCs w:val="0"/>
                <w:color w:val="00B050"/>
                <w:sz w:val="21"/>
                <w:szCs w:val="21"/>
                <w:u w:val="none"/>
              </w:rPr>
            </w:pPr>
          </w:p>
        </w:tc>
        <w:tc>
          <w:tcPr>
            <w:tcW w:w="516" w:type="dxa"/>
            <w:vMerge w:val="continue"/>
            <w:shd w:val="clear" w:color="auto" w:fill="auto"/>
            <w:vAlign w:val="center"/>
          </w:tcPr>
          <w:p w14:paraId="723A8991">
            <w:pPr>
              <w:jc w:val="center"/>
              <w:rPr>
                <w:rFonts w:hint="default" w:ascii="Times New Roman" w:hAnsi="Times New Roman" w:eastAsia="宋体" w:cs="Times New Roman"/>
                <w:i w:val="0"/>
                <w:iCs w:val="0"/>
                <w:color w:val="00B050"/>
                <w:sz w:val="21"/>
                <w:szCs w:val="21"/>
                <w:u w:val="none"/>
              </w:rPr>
            </w:pPr>
          </w:p>
        </w:tc>
        <w:tc>
          <w:tcPr>
            <w:tcW w:w="339" w:type="dxa"/>
            <w:vMerge w:val="continue"/>
            <w:shd w:val="clear" w:color="auto" w:fill="auto"/>
            <w:vAlign w:val="center"/>
          </w:tcPr>
          <w:p w14:paraId="4AE48C71">
            <w:pPr>
              <w:jc w:val="center"/>
              <w:rPr>
                <w:rFonts w:hint="default" w:ascii="Times New Roman" w:hAnsi="Times New Roman" w:eastAsia="宋体" w:cs="Times New Roman"/>
                <w:i w:val="0"/>
                <w:iCs w:val="0"/>
                <w:color w:val="00B050"/>
                <w:sz w:val="21"/>
                <w:szCs w:val="21"/>
                <w:u w:val="none"/>
              </w:rPr>
            </w:pPr>
          </w:p>
        </w:tc>
        <w:tc>
          <w:tcPr>
            <w:tcW w:w="322" w:type="dxa"/>
            <w:vMerge w:val="continue"/>
            <w:shd w:val="clear" w:color="auto" w:fill="auto"/>
            <w:vAlign w:val="center"/>
          </w:tcPr>
          <w:p w14:paraId="0BDEA154">
            <w:pPr>
              <w:jc w:val="center"/>
              <w:rPr>
                <w:rFonts w:hint="default" w:ascii="Times New Roman" w:hAnsi="Times New Roman" w:eastAsia="宋体" w:cs="Times New Roman"/>
                <w:i w:val="0"/>
                <w:iCs w:val="0"/>
                <w:color w:val="00B050"/>
                <w:sz w:val="21"/>
                <w:szCs w:val="21"/>
                <w:u w:val="none"/>
              </w:rPr>
            </w:pPr>
          </w:p>
        </w:tc>
        <w:tc>
          <w:tcPr>
            <w:tcW w:w="634" w:type="dxa"/>
            <w:shd w:val="clear" w:color="auto" w:fill="auto"/>
            <w:vAlign w:val="center"/>
          </w:tcPr>
          <w:p w14:paraId="564092BF">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0.0009</w:t>
            </w:r>
          </w:p>
        </w:tc>
        <w:tc>
          <w:tcPr>
            <w:tcW w:w="635" w:type="dxa"/>
            <w:shd w:val="clear" w:color="auto" w:fill="auto"/>
            <w:vAlign w:val="center"/>
          </w:tcPr>
          <w:p w14:paraId="179CC822">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0.0004</w:t>
            </w:r>
          </w:p>
        </w:tc>
        <w:tc>
          <w:tcPr>
            <w:tcW w:w="635" w:type="dxa"/>
            <w:shd w:val="clear" w:color="auto" w:fill="auto"/>
            <w:vAlign w:val="center"/>
          </w:tcPr>
          <w:p w14:paraId="4FBE6CBD">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0.0158</w:t>
            </w:r>
          </w:p>
        </w:tc>
        <w:tc>
          <w:tcPr>
            <w:tcW w:w="663" w:type="dxa"/>
            <w:shd w:val="clear" w:color="auto" w:fill="auto"/>
            <w:vAlign w:val="center"/>
          </w:tcPr>
          <w:p w14:paraId="5A6AE29D">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0.0009</w:t>
            </w:r>
          </w:p>
        </w:tc>
        <w:tc>
          <w:tcPr>
            <w:tcW w:w="663" w:type="dxa"/>
            <w:shd w:val="clear" w:color="auto" w:fill="auto"/>
            <w:vAlign w:val="center"/>
          </w:tcPr>
          <w:p w14:paraId="2D44A138">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0.0004</w:t>
            </w:r>
          </w:p>
        </w:tc>
      </w:tr>
      <w:tr w14:paraId="0BADC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814" w:type="dxa"/>
            <w:vMerge w:val="restart"/>
            <w:shd w:val="clear" w:color="auto" w:fill="auto"/>
            <w:vAlign w:val="center"/>
          </w:tcPr>
          <w:p w14:paraId="50BD9F10">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G2-2</w:t>
            </w:r>
            <w:r>
              <w:rPr>
                <w:rFonts w:hint="eastAsia" w:ascii="宋体" w:hAnsi="宋体" w:eastAsia="宋体" w:cs="宋体"/>
                <w:i w:val="0"/>
                <w:iCs w:val="0"/>
                <w:color w:val="00B050"/>
                <w:kern w:val="0"/>
                <w:sz w:val="21"/>
                <w:szCs w:val="21"/>
                <w:u w:val="none"/>
                <w:lang w:val="en-US" w:eastAsia="zh-CN" w:bidi="ar"/>
              </w:rPr>
              <w:t>注塑废气</w:t>
            </w:r>
          </w:p>
        </w:tc>
        <w:tc>
          <w:tcPr>
            <w:tcW w:w="1274" w:type="dxa"/>
            <w:shd w:val="clear" w:color="auto" w:fill="auto"/>
            <w:vAlign w:val="center"/>
          </w:tcPr>
          <w:p w14:paraId="7B1EEEF6">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非甲烷总烃</w:t>
            </w:r>
          </w:p>
        </w:tc>
        <w:tc>
          <w:tcPr>
            <w:tcW w:w="903" w:type="dxa"/>
            <w:shd w:val="clear" w:color="auto" w:fill="auto"/>
            <w:vAlign w:val="center"/>
          </w:tcPr>
          <w:p w14:paraId="02388FC5">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2.7kg/t-</w:t>
            </w:r>
          </w:p>
        </w:tc>
        <w:tc>
          <w:tcPr>
            <w:tcW w:w="774" w:type="dxa"/>
            <w:shd w:val="clear" w:color="auto" w:fill="auto"/>
            <w:vAlign w:val="center"/>
          </w:tcPr>
          <w:p w14:paraId="66E5881F">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602.8678</w:t>
            </w:r>
          </w:p>
        </w:tc>
        <w:tc>
          <w:tcPr>
            <w:tcW w:w="678" w:type="dxa"/>
            <w:shd w:val="clear" w:color="auto" w:fill="auto"/>
            <w:vAlign w:val="center"/>
          </w:tcPr>
          <w:p w14:paraId="1FC9F650">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lang w:val="en-US"/>
              </w:rPr>
            </w:pPr>
            <w:r>
              <w:rPr>
                <w:rFonts w:hint="default" w:ascii="Times New Roman" w:hAnsi="Times New Roman" w:eastAsia="宋体" w:cs="Times New Roman"/>
                <w:i w:val="0"/>
                <w:iCs w:val="0"/>
                <w:color w:val="00B050"/>
                <w:kern w:val="0"/>
                <w:sz w:val="21"/>
                <w:szCs w:val="21"/>
                <w:u w:val="none"/>
                <w:lang w:val="en-US" w:eastAsia="zh-CN" w:bidi="ar"/>
              </w:rPr>
              <w:t>1.</w:t>
            </w:r>
            <w:r>
              <w:rPr>
                <w:rFonts w:hint="eastAsia" w:cs="Times New Roman"/>
                <w:i w:val="0"/>
                <w:iCs w:val="0"/>
                <w:color w:val="00B050"/>
                <w:kern w:val="0"/>
                <w:sz w:val="21"/>
                <w:szCs w:val="21"/>
                <w:u w:val="none"/>
                <w:lang w:val="en-US" w:eastAsia="zh-CN" w:bidi="ar"/>
              </w:rPr>
              <w:t>6322</w:t>
            </w:r>
          </w:p>
        </w:tc>
        <w:tc>
          <w:tcPr>
            <w:tcW w:w="693" w:type="dxa"/>
            <w:shd w:val="clear" w:color="auto" w:fill="auto"/>
            <w:vAlign w:val="center"/>
          </w:tcPr>
          <w:p w14:paraId="4CFAD2C6">
            <w:pPr>
              <w:keepNext w:val="0"/>
              <w:keepLines w:val="0"/>
              <w:widowControl/>
              <w:suppressLineNumbers w:val="0"/>
              <w:jc w:val="center"/>
              <w:textAlignment w:val="center"/>
              <w:rPr>
                <w:rFonts w:hint="default" w:ascii="Times New Roman" w:hAnsi="Times New Roman" w:eastAsia="宋体" w:cs="Times New Roman"/>
                <w:i w:val="0"/>
                <w:iCs w:val="0"/>
                <w:color w:val="00B050"/>
                <w:kern w:val="2"/>
                <w:sz w:val="22"/>
                <w:szCs w:val="22"/>
                <w:u w:val="none"/>
                <w:lang w:val="en-US" w:eastAsia="zh-CN" w:bidi="ar-SA"/>
              </w:rPr>
            </w:pPr>
            <w:r>
              <w:rPr>
                <w:rFonts w:hint="default" w:ascii="Times New Roman" w:hAnsi="Times New Roman" w:eastAsia="宋体" w:cs="Times New Roman"/>
                <w:i w:val="0"/>
                <w:iCs w:val="0"/>
                <w:color w:val="00B050"/>
                <w:kern w:val="0"/>
                <w:sz w:val="21"/>
                <w:szCs w:val="21"/>
                <w:u w:val="none"/>
                <w:shd w:val="clear"/>
                <w:lang w:val="en-US" w:eastAsia="zh-CN" w:bidi="ar"/>
              </w:rPr>
              <w:t>1.</w:t>
            </w:r>
            <w:r>
              <w:rPr>
                <w:rFonts w:hint="eastAsia" w:cs="Times New Roman"/>
                <w:i w:val="0"/>
                <w:iCs w:val="0"/>
                <w:color w:val="00B050"/>
                <w:kern w:val="0"/>
                <w:sz w:val="21"/>
                <w:szCs w:val="21"/>
                <w:u w:val="none"/>
                <w:shd w:val="clear"/>
                <w:lang w:val="en-US" w:eastAsia="zh-CN" w:bidi="ar"/>
              </w:rPr>
              <w:t>3058</w:t>
            </w:r>
          </w:p>
        </w:tc>
        <w:tc>
          <w:tcPr>
            <w:tcW w:w="597" w:type="dxa"/>
            <w:shd w:val="clear" w:color="auto" w:fill="auto"/>
            <w:vAlign w:val="center"/>
          </w:tcPr>
          <w:p w14:paraId="136B7973">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lang w:val="en-US"/>
              </w:rPr>
            </w:pPr>
            <w:r>
              <w:rPr>
                <w:rFonts w:hint="eastAsia" w:cs="Times New Roman"/>
                <w:i w:val="0"/>
                <w:iCs w:val="0"/>
                <w:color w:val="00B050"/>
                <w:kern w:val="0"/>
                <w:sz w:val="21"/>
                <w:szCs w:val="21"/>
                <w:u w:val="none"/>
                <w:lang w:val="en-US" w:eastAsia="zh-CN" w:bidi="ar"/>
              </w:rPr>
              <w:t>14.7045</w:t>
            </w:r>
          </w:p>
        </w:tc>
        <w:tc>
          <w:tcPr>
            <w:tcW w:w="1774" w:type="dxa"/>
            <w:vMerge w:val="restart"/>
            <w:shd w:val="clear" w:color="auto" w:fill="auto"/>
            <w:vAlign w:val="center"/>
          </w:tcPr>
          <w:p w14:paraId="108D9647">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1</w:t>
            </w:r>
            <w:r>
              <w:rPr>
                <w:rFonts w:hint="eastAsia" w:ascii="宋体" w:hAnsi="宋体" w:eastAsia="宋体" w:cs="宋体"/>
                <w:i w:val="0"/>
                <w:iCs w:val="0"/>
                <w:color w:val="00B050"/>
                <w:kern w:val="0"/>
                <w:sz w:val="21"/>
                <w:szCs w:val="21"/>
                <w:u w:val="none"/>
                <w:lang w:val="en-US" w:eastAsia="zh-CN" w:bidi="ar"/>
              </w:rPr>
              <w:t>套</w:t>
            </w:r>
            <w:r>
              <w:rPr>
                <w:rFonts w:hint="default" w:ascii="Times New Roman" w:hAnsi="Times New Roman" w:eastAsia="宋体" w:cs="Times New Roman"/>
                <w:i w:val="0"/>
                <w:iCs w:val="0"/>
                <w:color w:val="00B050"/>
                <w:kern w:val="0"/>
                <w:sz w:val="21"/>
                <w:szCs w:val="21"/>
                <w:u w:val="none"/>
                <w:lang w:val="en-US" w:eastAsia="zh-CN" w:bidi="ar"/>
              </w:rPr>
              <w:t>“</w:t>
            </w:r>
            <w:r>
              <w:rPr>
                <w:rFonts w:hint="eastAsia" w:ascii="宋体" w:hAnsi="宋体" w:eastAsia="宋体" w:cs="宋体"/>
                <w:i w:val="0"/>
                <w:iCs w:val="0"/>
                <w:color w:val="00B050"/>
                <w:kern w:val="0"/>
                <w:sz w:val="21"/>
                <w:szCs w:val="21"/>
                <w:u w:val="none"/>
                <w:lang w:val="en-US" w:eastAsia="zh-CN" w:bidi="ar"/>
              </w:rPr>
              <w:t>两级活性炭</w:t>
            </w:r>
            <w:r>
              <w:rPr>
                <w:rFonts w:hint="default" w:ascii="Times New Roman" w:hAnsi="Times New Roman" w:eastAsia="宋体" w:cs="Times New Roman"/>
                <w:i w:val="0"/>
                <w:iCs w:val="0"/>
                <w:color w:val="00B050"/>
                <w:kern w:val="0"/>
                <w:sz w:val="21"/>
                <w:szCs w:val="21"/>
                <w:u w:val="none"/>
                <w:lang w:val="en-US" w:eastAsia="zh-CN" w:bidi="ar"/>
              </w:rPr>
              <w:t>”</w:t>
            </w:r>
            <w:r>
              <w:rPr>
                <w:rFonts w:hint="eastAsia" w:ascii="宋体" w:hAnsi="宋体" w:eastAsia="宋体" w:cs="宋体"/>
                <w:i w:val="0"/>
                <w:iCs w:val="0"/>
                <w:color w:val="00B050"/>
                <w:kern w:val="0"/>
                <w:sz w:val="21"/>
                <w:szCs w:val="21"/>
                <w:u w:val="none"/>
                <w:lang w:val="en-US" w:eastAsia="zh-CN" w:bidi="ar"/>
              </w:rPr>
              <w:t>装置，</w:t>
            </w:r>
            <w:r>
              <w:rPr>
                <w:rFonts w:hint="default" w:ascii="Times New Roman" w:hAnsi="Times New Roman" w:eastAsia="宋体" w:cs="Times New Roman"/>
                <w:i w:val="0"/>
                <w:iCs w:val="0"/>
                <w:color w:val="00B050"/>
                <w:kern w:val="0"/>
                <w:sz w:val="21"/>
                <w:szCs w:val="21"/>
                <w:u w:val="none"/>
                <w:lang w:val="en-US" w:eastAsia="zh-CN" w:bidi="ar"/>
              </w:rPr>
              <w:t>1</w:t>
            </w:r>
            <w:r>
              <w:rPr>
                <w:rFonts w:hint="eastAsia" w:ascii="宋体" w:hAnsi="宋体" w:eastAsia="宋体" w:cs="宋体"/>
                <w:i w:val="0"/>
                <w:iCs w:val="0"/>
                <w:color w:val="00B050"/>
                <w:kern w:val="0"/>
                <w:sz w:val="21"/>
                <w:szCs w:val="21"/>
                <w:u w:val="none"/>
                <w:lang w:val="en-US" w:eastAsia="zh-CN" w:bidi="ar"/>
              </w:rPr>
              <w:t>根</w:t>
            </w:r>
            <w:r>
              <w:rPr>
                <w:rFonts w:hint="default" w:ascii="Times New Roman" w:hAnsi="Times New Roman" w:eastAsia="宋体" w:cs="Times New Roman"/>
                <w:i w:val="0"/>
                <w:iCs w:val="0"/>
                <w:color w:val="00B050"/>
                <w:kern w:val="0"/>
                <w:sz w:val="21"/>
                <w:szCs w:val="21"/>
                <w:u w:val="none"/>
                <w:lang w:val="en-US" w:eastAsia="zh-CN" w:bidi="ar"/>
              </w:rPr>
              <w:t>32m</w:t>
            </w:r>
            <w:r>
              <w:rPr>
                <w:rFonts w:hint="eastAsia" w:ascii="宋体" w:hAnsi="宋体" w:eastAsia="宋体" w:cs="宋体"/>
                <w:i w:val="0"/>
                <w:iCs w:val="0"/>
                <w:color w:val="00B050"/>
                <w:kern w:val="0"/>
                <w:sz w:val="21"/>
                <w:szCs w:val="21"/>
                <w:u w:val="none"/>
                <w:lang w:val="en-US" w:eastAsia="zh-CN" w:bidi="ar"/>
              </w:rPr>
              <w:t>排气筒（</w:t>
            </w:r>
            <w:r>
              <w:rPr>
                <w:rFonts w:hint="default" w:ascii="Times New Roman" w:hAnsi="Times New Roman" w:eastAsia="宋体" w:cs="Times New Roman"/>
                <w:i w:val="0"/>
                <w:iCs w:val="0"/>
                <w:color w:val="00B050"/>
                <w:kern w:val="0"/>
                <w:sz w:val="21"/>
                <w:szCs w:val="21"/>
                <w:u w:val="none"/>
                <w:lang w:val="en-US" w:eastAsia="zh-CN" w:bidi="ar"/>
              </w:rPr>
              <w:t>DA002</w:t>
            </w:r>
            <w:r>
              <w:rPr>
                <w:rFonts w:hint="eastAsia" w:ascii="宋体" w:hAnsi="宋体" w:eastAsia="宋体" w:cs="宋体"/>
                <w:i w:val="0"/>
                <w:iCs w:val="0"/>
                <w:color w:val="00B050"/>
                <w:kern w:val="0"/>
                <w:sz w:val="21"/>
                <w:szCs w:val="21"/>
                <w:u w:val="none"/>
                <w:lang w:val="en-US" w:eastAsia="zh-CN" w:bidi="ar"/>
              </w:rPr>
              <w:t>）</w:t>
            </w:r>
          </w:p>
        </w:tc>
        <w:tc>
          <w:tcPr>
            <w:tcW w:w="314" w:type="dxa"/>
            <w:vMerge w:val="restart"/>
            <w:shd w:val="clear" w:color="auto" w:fill="auto"/>
            <w:vAlign w:val="center"/>
          </w:tcPr>
          <w:p w14:paraId="6244C8E5">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8</w:t>
            </w:r>
          </w:p>
        </w:tc>
        <w:tc>
          <w:tcPr>
            <w:tcW w:w="516" w:type="dxa"/>
            <w:vMerge w:val="restart"/>
            <w:shd w:val="clear" w:color="auto" w:fill="auto"/>
            <w:vAlign w:val="center"/>
          </w:tcPr>
          <w:p w14:paraId="289776B4">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37000</w:t>
            </w:r>
          </w:p>
        </w:tc>
        <w:tc>
          <w:tcPr>
            <w:tcW w:w="339" w:type="dxa"/>
            <w:vMerge w:val="restart"/>
            <w:shd w:val="clear" w:color="auto" w:fill="auto"/>
            <w:vAlign w:val="center"/>
          </w:tcPr>
          <w:p w14:paraId="614E10FD">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80%</w:t>
            </w:r>
          </w:p>
        </w:tc>
        <w:tc>
          <w:tcPr>
            <w:tcW w:w="322" w:type="dxa"/>
            <w:vMerge w:val="restart"/>
            <w:shd w:val="clear" w:color="auto" w:fill="auto"/>
            <w:vAlign w:val="center"/>
          </w:tcPr>
          <w:p w14:paraId="6604DE24">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75%</w:t>
            </w:r>
          </w:p>
        </w:tc>
        <w:tc>
          <w:tcPr>
            <w:tcW w:w="634" w:type="dxa"/>
            <w:shd w:val="clear" w:color="auto" w:fill="auto"/>
            <w:vAlign w:val="center"/>
          </w:tcPr>
          <w:p w14:paraId="0722DD3A">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lang w:val="en-US"/>
              </w:rPr>
            </w:pPr>
            <w:r>
              <w:rPr>
                <w:rFonts w:hint="eastAsia" w:cs="Times New Roman"/>
                <w:i w:val="0"/>
                <w:iCs w:val="0"/>
                <w:color w:val="00B050"/>
                <w:kern w:val="0"/>
                <w:sz w:val="21"/>
                <w:szCs w:val="21"/>
                <w:u w:val="none"/>
                <w:lang w:val="en-US" w:eastAsia="zh-CN" w:bidi="ar"/>
              </w:rPr>
              <w:t>0.3265</w:t>
            </w:r>
          </w:p>
        </w:tc>
        <w:tc>
          <w:tcPr>
            <w:tcW w:w="635" w:type="dxa"/>
            <w:shd w:val="clear" w:color="auto" w:fill="auto"/>
            <w:vAlign w:val="center"/>
          </w:tcPr>
          <w:p w14:paraId="6CE3030F">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lang w:val="en-US"/>
              </w:rPr>
            </w:pPr>
            <w:r>
              <w:rPr>
                <w:rFonts w:hint="default" w:ascii="Times New Roman" w:hAnsi="Times New Roman" w:eastAsia="宋体" w:cs="Times New Roman"/>
                <w:i w:val="0"/>
                <w:iCs w:val="0"/>
                <w:color w:val="00B050"/>
                <w:kern w:val="0"/>
                <w:sz w:val="21"/>
                <w:szCs w:val="21"/>
                <w:u w:val="none"/>
                <w:lang w:val="en-US" w:eastAsia="zh-CN" w:bidi="ar"/>
              </w:rPr>
              <w:t>0.</w:t>
            </w:r>
            <w:r>
              <w:rPr>
                <w:rFonts w:hint="eastAsia" w:cs="Times New Roman"/>
                <w:i w:val="0"/>
                <w:iCs w:val="0"/>
                <w:color w:val="00B050"/>
                <w:kern w:val="0"/>
                <w:sz w:val="21"/>
                <w:szCs w:val="21"/>
                <w:u w:val="none"/>
                <w:lang w:val="en-US" w:eastAsia="zh-CN" w:bidi="ar"/>
              </w:rPr>
              <w:t>136</w:t>
            </w:r>
          </w:p>
        </w:tc>
        <w:tc>
          <w:tcPr>
            <w:tcW w:w="635" w:type="dxa"/>
            <w:shd w:val="clear" w:color="auto" w:fill="auto"/>
            <w:vAlign w:val="center"/>
          </w:tcPr>
          <w:p w14:paraId="52047446">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lang w:val="en-US"/>
              </w:rPr>
            </w:pPr>
            <w:r>
              <w:rPr>
                <w:rFonts w:hint="eastAsia" w:cs="Times New Roman"/>
                <w:i w:val="0"/>
                <w:iCs w:val="0"/>
                <w:color w:val="00B050"/>
                <w:kern w:val="0"/>
                <w:sz w:val="21"/>
                <w:szCs w:val="21"/>
                <w:u w:val="none"/>
                <w:lang w:val="en-US" w:eastAsia="zh-CN" w:bidi="ar"/>
              </w:rPr>
              <w:t>3.6761</w:t>
            </w:r>
          </w:p>
        </w:tc>
        <w:tc>
          <w:tcPr>
            <w:tcW w:w="663" w:type="dxa"/>
            <w:shd w:val="clear" w:color="auto" w:fill="auto"/>
            <w:vAlign w:val="center"/>
          </w:tcPr>
          <w:p w14:paraId="0726F391">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cs="Times New Roman"/>
                <w:i w:val="0"/>
                <w:iCs w:val="0"/>
                <w:color w:val="00B050"/>
                <w:kern w:val="0"/>
                <w:sz w:val="21"/>
                <w:szCs w:val="21"/>
                <w:u w:val="none"/>
                <w:lang w:val="en-US" w:eastAsia="zh-CN" w:bidi="ar"/>
              </w:rPr>
              <w:t>0.3265</w:t>
            </w:r>
          </w:p>
        </w:tc>
        <w:tc>
          <w:tcPr>
            <w:tcW w:w="663" w:type="dxa"/>
            <w:shd w:val="clear" w:color="auto" w:fill="auto"/>
            <w:vAlign w:val="center"/>
          </w:tcPr>
          <w:p w14:paraId="32E4A5D6">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0.</w:t>
            </w:r>
            <w:r>
              <w:rPr>
                <w:rFonts w:hint="eastAsia" w:cs="Times New Roman"/>
                <w:i w:val="0"/>
                <w:iCs w:val="0"/>
                <w:color w:val="00B050"/>
                <w:kern w:val="0"/>
                <w:sz w:val="21"/>
                <w:szCs w:val="21"/>
                <w:u w:val="none"/>
                <w:lang w:val="en-US" w:eastAsia="zh-CN" w:bidi="ar"/>
              </w:rPr>
              <w:t>136</w:t>
            </w:r>
          </w:p>
        </w:tc>
      </w:tr>
      <w:tr w14:paraId="20AA7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25" w:hRule="atLeast"/>
        </w:trPr>
        <w:tc>
          <w:tcPr>
            <w:tcW w:w="1814" w:type="dxa"/>
            <w:vMerge w:val="continue"/>
            <w:shd w:val="clear" w:color="auto" w:fill="auto"/>
            <w:vAlign w:val="center"/>
          </w:tcPr>
          <w:p w14:paraId="5F031947">
            <w:pPr>
              <w:jc w:val="center"/>
              <w:rPr>
                <w:rFonts w:hint="default" w:ascii="Times New Roman" w:hAnsi="Times New Roman" w:eastAsia="宋体" w:cs="Times New Roman"/>
                <w:i w:val="0"/>
                <w:iCs w:val="0"/>
                <w:color w:val="00B050"/>
                <w:sz w:val="21"/>
                <w:szCs w:val="21"/>
                <w:u w:val="none"/>
              </w:rPr>
            </w:pPr>
          </w:p>
        </w:tc>
        <w:tc>
          <w:tcPr>
            <w:tcW w:w="1274" w:type="dxa"/>
            <w:shd w:val="clear" w:color="auto" w:fill="auto"/>
            <w:vAlign w:val="center"/>
          </w:tcPr>
          <w:p w14:paraId="10A876AA">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颗粒物</w:t>
            </w:r>
          </w:p>
        </w:tc>
        <w:tc>
          <w:tcPr>
            <w:tcW w:w="903" w:type="dxa"/>
            <w:shd w:val="clear" w:color="auto" w:fill="auto"/>
            <w:vAlign w:val="center"/>
          </w:tcPr>
          <w:p w14:paraId="55A5F0DC">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c>
          <w:tcPr>
            <w:tcW w:w="774" w:type="dxa"/>
            <w:shd w:val="clear" w:color="auto" w:fill="auto"/>
            <w:vAlign w:val="center"/>
          </w:tcPr>
          <w:p w14:paraId="0175D603">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c>
          <w:tcPr>
            <w:tcW w:w="678" w:type="dxa"/>
            <w:shd w:val="clear" w:color="auto" w:fill="auto"/>
            <w:vAlign w:val="center"/>
          </w:tcPr>
          <w:p w14:paraId="16EDC375">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少量</w:t>
            </w:r>
          </w:p>
        </w:tc>
        <w:tc>
          <w:tcPr>
            <w:tcW w:w="693" w:type="dxa"/>
            <w:shd w:val="clear" w:color="auto" w:fill="auto"/>
            <w:vAlign w:val="center"/>
          </w:tcPr>
          <w:p w14:paraId="4A02013F">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少量</w:t>
            </w:r>
          </w:p>
        </w:tc>
        <w:tc>
          <w:tcPr>
            <w:tcW w:w="597" w:type="dxa"/>
            <w:shd w:val="clear" w:color="auto" w:fill="auto"/>
            <w:vAlign w:val="center"/>
          </w:tcPr>
          <w:p w14:paraId="14A95D21">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c>
          <w:tcPr>
            <w:tcW w:w="1774" w:type="dxa"/>
            <w:vMerge w:val="continue"/>
            <w:shd w:val="clear" w:color="auto" w:fill="auto"/>
            <w:vAlign w:val="center"/>
          </w:tcPr>
          <w:p w14:paraId="12C401F7">
            <w:pPr>
              <w:jc w:val="center"/>
              <w:rPr>
                <w:rFonts w:hint="default" w:ascii="Times New Roman" w:hAnsi="Times New Roman" w:eastAsia="宋体" w:cs="Times New Roman"/>
                <w:i w:val="0"/>
                <w:iCs w:val="0"/>
                <w:color w:val="00B050"/>
                <w:sz w:val="21"/>
                <w:szCs w:val="21"/>
                <w:u w:val="none"/>
              </w:rPr>
            </w:pPr>
          </w:p>
        </w:tc>
        <w:tc>
          <w:tcPr>
            <w:tcW w:w="314" w:type="dxa"/>
            <w:vMerge w:val="continue"/>
            <w:shd w:val="clear" w:color="auto" w:fill="auto"/>
            <w:vAlign w:val="center"/>
          </w:tcPr>
          <w:p w14:paraId="09CF19D0">
            <w:pPr>
              <w:jc w:val="center"/>
              <w:rPr>
                <w:rFonts w:hint="default" w:ascii="Times New Roman" w:hAnsi="Times New Roman" w:eastAsia="宋体" w:cs="Times New Roman"/>
                <w:i w:val="0"/>
                <w:iCs w:val="0"/>
                <w:color w:val="00B050"/>
                <w:sz w:val="21"/>
                <w:szCs w:val="21"/>
                <w:u w:val="none"/>
              </w:rPr>
            </w:pPr>
          </w:p>
        </w:tc>
        <w:tc>
          <w:tcPr>
            <w:tcW w:w="516" w:type="dxa"/>
            <w:vMerge w:val="continue"/>
            <w:shd w:val="clear" w:color="auto" w:fill="auto"/>
            <w:vAlign w:val="center"/>
          </w:tcPr>
          <w:p w14:paraId="23F74D7A">
            <w:pPr>
              <w:jc w:val="center"/>
              <w:rPr>
                <w:rFonts w:hint="default" w:ascii="Times New Roman" w:hAnsi="Times New Roman" w:eastAsia="宋体" w:cs="Times New Roman"/>
                <w:i w:val="0"/>
                <w:iCs w:val="0"/>
                <w:color w:val="00B050"/>
                <w:sz w:val="21"/>
                <w:szCs w:val="21"/>
                <w:u w:val="none"/>
              </w:rPr>
            </w:pPr>
          </w:p>
        </w:tc>
        <w:tc>
          <w:tcPr>
            <w:tcW w:w="339" w:type="dxa"/>
            <w:vMerge w:val="continue"/>
            <w:shd w:val="clear" w:color="auto" w:fill="auto"/>
            <w:vAlign w:val="center"/>
          </w:tcPr>
          <w:p w14:paraId="6452ABF4">
            <w:pPr>
              <w:jc w:val="center"/>
              <w:rPr>
                <w:rFonts w:hint="default" w:ascii="Times New Roman" w:hAnsi="Times New Roman" w:eastAsia="宋体" w:cs="Times New Roman"/>
                <w:i w:val="0"/>
                <w:iCs w:val="0"/>
                <w:color w:val="00B050"/>
                <w:sz w:val="21"/>
                <w:szCs w:val="21"/>
                <w:u w:val="none"/>
              </w:rPr>
            </w:pPr>
          </w:p>
        </w:tc>
        <w:tc>
          <w:tcPr>
            <w:tcW w:w="322" w:type="dxa"/>
            <w:vMerge w:val="continue"/>
            <w:shd w:val="clear" w:color="auto" w:fill="auto"/>
            <w:vAlign w:val="center"/>
          </w:tcPr>
          <w:p w14:paraId="41EA69BF">
            <w:pPr>
              <w:jc w:val="center"/>
              <w:rPr>
                <w:rFonts w:hint="default" w:ascii="Times New Roman" w:hAnsi="Times New Roman" w:eastAsia="宋体" w:cs="Times New Roman"/>
                <w:i w:val="0"/>
                <w:iCs w:val="0"/>
                <w:color w:val="00B050"/>
                <w:sz w:val="21"/>
                <w:szCs w:val="21"/>
                <w:u w:val="none"/>
              </w:rPr>
            </w:pPr>
          </w:p>
        </w:tc>
        <w:tc>
          <w:tcPr>
            <w:tcW w:w="634" w:type="dxa"/>
            <w:shd w:val="clear" w:color="auto" w:fill="auto"/>
            <w:vAlign w:val="center"/>
          </w:tcPr>
          <w:p w14:paraId="2BA8F715">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少量</w:t>
            </w:r>
          </w:p>
        </w:tc>
        <w:tc>
          <w:tcPr>
            <w:tcW w:w="635" w:type="dxa"/>
            <w:shd w:val="clear" w:color="auto" w:fill="auto"/>
            <w:vAlign w:val="center"/>
          </w:tcPr>
          <w:p w14:paraId="1492C876">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c>
          <w:tcPr>
            <w:tcW w:w="635" w:type="dxa"/>
            <w:shd w:val="clear" w:color="auto" w:fill="auto"/>
            <w:vAlign w:val="center"/>
          </w:tcPr>
          <w:p w14:paraId="28952C94">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c>
          <w:tcPr>
            <w:tcW w:w="663" w:type="dxa"/>
            <w:shd w:val="clear" w:color="auto" w:fill="auto"/>
            <w:vAlign w:val="center"/>
          </w:tcPr>
          <w:p w14:paraId="6BF31164">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少量</w:t>
            </w:r>
          </w:p>
        </w:tc>
        <w:tc>
          <w:tcPr>
            <w:tcW w:w="663" w:type="dxa"/>
            <w:shd w:val="clear" w:color="auto" w:fill="auto"/>
            <w:vAlign w:val="center"/>
          </w:tcPr>
          <w:p w14:paraId="22A0B31A">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r>
      <w:tr w14:paraId="29C5E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1814" w:type="dxa"/>
            <w:shd w:val="clear" w:color="auto" w:fill="auto"/>
            <w:vAlign w:val="center"/>
          </w:tcPr>
          <w:p w14:paraId="2DD3371F">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G3</w:t>
            </w:r>
            <w:r>
              <w:rPr>
                <w:rFonts w:hint="eastAsia" w:ascii="宋体" w:hAnsi="宋体" w:eastAsia="宋体" w:cs="宋体"/>
                <w:i w:val="0"/>
                <w:iCs w:val="0"/>
                <w:color w:val="00B050"/>
                <w:kern w:val="0"/>
                <w:sz w:val="21"/>
                <w:szCs w:val="21"/>
                <w:u w:val="none"/>
                <w:lang w:val="en-US" w:eastAsia="zh-CN" w:bidi="ar"/>
              </w:rPr>
              <w:t>机边破碎粉尘</w:t>
            </w:r>
          </w:p>
        </w:tc>
        <w:tc>
          <w:tcPr>
            <w:tcW w:w="1274" w:type="dxa"/>
            <w:vMerge w:val="restart"/>
            <w:shd w:val="clear" w:color="auto" w:fill="auto"/>
            <w:vAlign w:val="center"/>
          </w:tcPr>
          <w:p w14:paraId="5F75BB10">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颗粒物</w:t>
            </w:r>
          </w:p>
        </w:tc>
        <w:tc>
          <w:tcPr>
            <w:tcW w:w="903" w:type="dxa"/>
            <w:vMerge w:val="restart"/>
            <w:shd w:val="clear" w:color="auto" w:fill="auto"/>
            <w:vAlign w:val="center"/>
          </w:tcPr>
          <w:p w14:paraId="4F4E6836">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425g/t-</w:t>
            </w:r>
          </w:p>
        </w:tc>
        <w:tc>
          <w:tcPr>
            <w:tcW w:w="774" w:type="dxa"/>
            <w:vMerge w:val="restart"/>
            <w:shd w:val="clear" w:color="auto" w:fill="auto"/>
            <w:vAlign w:val="center"/>
          </w:tcPr>
          <w:p w14:paraId="3AB932E1">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cs="Times New Roman"/>
                <w:i w:val="0"/>
                <w:iCs w:val="0"/>
                <w:color w:val="00B050"/>
                <w:kern w:val="0"/>
                <w:sz w:val="21"/>
                <w:szCs w:val="21"/>
                <w:u w:val="none"/>
                <w:lang w:val="en-US" w:eastAsia="zh-CN" w:bidi="ar"/>
              </w:rPr>
              <w:t>55.9762</w:t>
            </w:r>
          </w:p>
        </w:tc>
        <w:tc>
          <w:tcPr>
            <w:tcW w:w="678" w:type="dxa"/>
            <w:vMerge w:val="restart"/>
            <w:shd w:val="clear" w:color="auto" w:fill="auto"/>
            <w:vAlign w:val="center"/>
          </w:tcPr>
          <w:p w14:paraId="15E27C60">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cs="Times New Roman"/>
                <w:i w:val="0"/>
                <w:iCs w:val="0"/>
                <w:color w:val="00B050"/>
                <w:kern w:val="0"/>
                <w:sz w:val="21"/>
                <w:szCs w:val="21"/>
                <w:u w:val="none"/>
                <w:lang w:val="en-US" w:eastAsia="zh-CN" w:bidi="ar"/>
              </w:rPr>
              <w:t>0.0238</w:t>
            </w:r>
          </w:p>
        </w:tc>
        <w:tc>
          <w:tcPr>
            <w:tcW w:w="693" w:type="dxa"/>
            <w:vMerge w:val="restart"/>
            <w:shd w:val="clear" w:color="auto" w:fill="auto"/>
            <w:vAlign w:val="center"/>
          </w:tcPr>
          <w:p w14:paraId="628D94C1">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c>
          <w:tcPr>
            <w:tcW w:w="597" w:type="dxa"/>
            <w:vMerge w:val="restart"/>
            <w:shd w:val="clear" w:color="auto" w:fill="auto"/>
            <w:vAlign w:val="center"/>
          </w:tcPr>
          <w:p w14:paraId="1C7B2322">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c>
          <w:tcPr>
            <w:tcW w:w="1774" w:type="dxa"/>
            <w:vMerge w:val="restart"/>
            <w:shd w:val="clear" w:color="auto" w:fill="auto"/>
            <w:vAlign w:val="center"/>
          </w:tcPr>
          <w:p w14:paraId="6E277D84">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设备密闭，车间内无组织排放。</w:t>
            </w:r>
          </w:p>
        </w:tc>
        <w:tc>
          <w:tcPr>
            <w:tcW w:w="314" w:type="dxa"/>
            <w:vMerge w:val="restart"/>
            <w:shd w:val="clear" w:color="auto" w:fill="auto"/>
            <w:vAlign w:val="center"/>
          </w:tcPr>
          <w:p w14:paraId="77858F01">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c>
          <w:tcPr>
            <w:tcW w:w="516" w:type="dxa"/>
            <w:vMerge w:val="restart"/>
            <w:shd w:val="clear" w:color="auto" w:fill="auto"/>
            <w:vAlign w:val="center"/>
          </w:tcPr>
          <w:p w14:paraId="351C32FD">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c>
          <w:tcPr>
            <w:tcW w:w="339" w:type="dxa"/>
            <w:vMerge w:val="restart"/>
            <w:shd w:val="clear" w:color="auto" w:fill="auto"/>
            <w:vAlign w:val="center"/>
          </w:tcPr>
          <w:p w14:paraId="2FAA9CEB">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c>
          <w:tcPr>
            <w:tcW w:w="322" w:type="dxa"/>
            <w:vMerge w:val="restart"/>
            <w:shd w:val="clear" w:color="auto" w:fill="auto"/>
            <w:vAlign w:val="center"/>
          </w:tcPr>
          <w:p w14:paraId="3DB4A502">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c>
          <w:tcPr>
            <w:tcW w:w="634" w:type="dxa"/>
            <w:vMerge w:val="restart"/>
            <w:shd w:val="clear" w:color="auto" w:fill="auto"/>
            <w:vAlign w:val="center"/>
          </w:tcPr>
          <w:p w14:paraId="629093FA">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c>
          <w:tcPr>
            <w:tcW w:w="635" w:type="dxa"/>
            <w:vMerge w:val="restart"/>
            <w:shd w:val="clear" w:color="auto" w:fill="auto"/>
            <w:vAlign w:val="center"/>
          </w:tcPr>
          <w:p w14:paraId="5F5B8785">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c>
          <w:tcPr>
            <w:tcW w:w="635" w:type="dxa"/>
            <w:vMerge w:val="restart"/>
            <w:shd w:val="clear" w:color="auto" w:fill="auto"/>
            <w:vAlign w:val="center"/>
          </w:tcPr>
          <w:p w14:paraId="61F07024">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c>
          <w:tcPr>
            <w:tcW w:w="663" w:type="dxa"/>
            <w:vMerge w:val="restart"/>
            <w:shd w:val="clear" w:color="auto" w:fill="auto"/>
            <w:vAlign w:val="center"/>
          </w:tcPr>
          <w:p w14:paraId="4C27B07D">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lang w:val="en-US"/>
              </w:rPr>
            </w:pPr>
            <w:r>
              <w:rPr>
                <w:rFonts w:hint="eastAsia" w:cs="Times New Roman"/>
                <w:i w:val="0"/>
                <w:iCs w:val="0"/>
                <w:color w:val="00B050"/>
                <w:kern w:val="0"/>
                <w:sz w:val="21"/>
                <w:szCs w:val="21"/>
                <w:u w:val="none"/>
                <w:lang w:val="en-US" w:eastAsia="zh-CN" w:bidi="ar"/>
              </w:rPr>
              <w:t>0.0238</w:t>
            </w:r>
          </w:p>
        </w:tc>
        <w:tc>
          <w:tcPr>
            <w:tcW w:w="663" w:type="dxa"/>
            <w:vMerge w:val="restart"/>
            <w:shd w:val="clear" w:color="auto" w:fill="auto"/>
            <w:vAlign w:val="center"/>
          </w:tcPr>
          <w:p w14:paraId="2A2CDE67">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r>
      <w:tr w14:paraId="21B63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14" w:type="dxa"/>
            <w:shd w:val="clear" w:color="auto" w:fill="auto"/>
            <w:vAlign w:val="center"/>
          </w:tcPr>
          <w:p w14:paraId="60FE7C0D">
            <w:pPr>
              <w:keepNext w:val="0"/>
              <w:keepLines w:val="0"/>
              <w:widowControl/>
              <w:suppressLineNumbers w:val="0"/>
              <w:jc w:val="center"/>
              <w:textAlignment w:val="center"/>
              <w:rPr>
                <w:rFonts w:hint="default" w:ascii="Times New Roman" w:hAnsi="Times New Roman" w:eastAsia="宋体" w:cs="Times New Roman"/>
                <w:i w:val="0"/>
                <w:iCs w:val="0"/>
                <w:color w:val="00B050"/>
                <w:kern w:val="2"/>
                <w:sz w:val="21"/>
                <w:szCs w:val="21"/>
                <w:u w:val="none"/>
                <w:lang w:val="en-US" w:eastAsia="zh-CN" w:bidi="ar-SA"/>
              </w:rPr>
            </w:pPr>
            <w:r>
              <w:rPr>
                <w:rFonts w:hint="default" w:ascii="Times New Roman" w:hAnsi="Times New Roman" w:eastAsia="宋体" w:cs="Times New Roman"/>
                <w:i w:val="0"/>
                <w:iCs w:val="0"/>
                <w:color w:val="00B050"/>
                <w:kern w:val="0"/>
                <w:sz w:val="21"/>
                <w:szCs w:val="21"/>
                <w:u w:val="none"/>
                <w:lang w:val="en-US" w:eastAsia="zh-CN" w:bidi="ar"/>
              </w:rPr>
              <w:t>G4</w:t>
            </w:r>
            <w:r>
              <w:rPr>
                <w:rFonts w:hint="eastAsia" w:ascii="宋体" w:hAnsi="宋体" w:eastAsia="宋体" w:cs="宋体"/>
                <w:i w:val="0"/>
                <w:iCs w:val="0"/>
                <w:color w:val="00B050"/>
                <w:kern w:val="0"/>
                <w:sz w:val="21"/>
                <w:szCs w:val="21"/>
                <w:u w:val="none"/>
                <w:lang w:val="en-US" w:eastAsia="zh-CN" w:bidi="ar"/>
              </w:rPr>
              <w:t>集中破碎粉尘</w:t>
            </w:r>
          </w:p>
        </w:tc>
        <w:tc>
          <w:tcPr>
            <w:tcW w:w="1274" w:type="dxa"/>
            <w:vMerge w:val="continue"/>
            <w:shd w:val="clear" w:color="auto" w:fill="auto"/>
            <w:vAlign w:val="center"/>
          </w:tcPr>
          <w:p w14:paraId="18866E5E">
            <w:pPr>
              <w:jc w:val="center"/>
              <w:rPr>
                <w:rFonts w:hint="default" w:ascii="Times New Roman" w:hAnsi="Times New Roman" w:eastAsia="宋体" w:cs="Times New Roman"/>
                <w:i w:val="0"/>
                <w:iCs w:val="0"/>
                <w:color w:val="00B050"/>
                <w:kern w:val="0"/>
                <w:sz w:val="21"/>
                <w:szCs w:val="21"/>
                <w:u w:val="none"/>
                <w:lang w:val="en-US" w:eastAsia="zh-CN" w:bidi="ar"/>
              </w:rPr>
            </w:pPr>
          </w:p>
        </w:tc>
        <w:tc>
          <w:tcPr>
            <w:tcW w:w="903" w:type="dxa"/>
            <w:vMerge w:val="continue"/>
            <w:shd w:val="clear" w:color="auto" w:fill="auto"/>
            <w:vAlign w:val="center"/>
          </w:tcPr>
          <w:p w14:paraId="29A347E9">
            <w:pPr>
              <w:jc w:val="center"/>
              <w:rPr>
                <w:rFonts w:hint="default" w:ascii="Times New Roman" w:hAnsi="Times New Roman" w:eastAsia="宋体" w:cs="Times New Roman"/>
                <w:i w:val="0"/>
                <w:iCs w:val="0"/>
                <w:color w:val="00B050"/>
                <w:kern w:val="0"/>
                <w:sz w:val="21"/>
                <w:szCs w:val="21"/>
                <w:u w:val="none"/>
                <w:lang w:val="en-US" w:eastAsia="zh-CN" w:bidi="ar"/>
              </w:rPr>
            </w:pPr>
          </w:p>
        </w:tc>
        <w:tc>
          <w:tcPr>
            <w:tcW w:w="774" w:type="dxa"/>
            <w:vMerge w:val="continue"/>
            <w:shd w:val="clear" w:color="auto" w:fill="auto"/>
            <w:vAlign w:val="center"/>
          </w:tcPr>
          <w:p w14:paraId="06699607">
            <w:pPr>
              <w:jc w:val="center"/>
              <w:rPr>
                <w:rFonts w:hint="default" w:ascii="Times New Roman" w:hAnsi="Times New Roman" w:eastAsia="宋体" w:cs="Times New Roman"/>
                <w:i w:val="0"/>
                <w:iCs w:val="0"/>
                <w:color w:val="00B050"/>
                <w:kern w:val="0"/>
                <w:sz w:val="21"/>
                <w:szCs w:val="21"/>
                <w:u w:val="none"/>
                <w:lang w:val="en-US" w:eastAsia="zh-CN" w:bidi="ar"/>
              </w:rPr>
            </w:pPr>
          </w:p>
        </w:tc>
        <w:tc>
          <w:tcPr>
            <w:tcW w:w="678" w:type="dxa"/>
            <w:vMerge w:val="continue"/>
            <w:shd w:val="clear" w:color="auto" w:fill="auto"/>
            <w:vAlign w:val="center"/>
          </w:tcPr>
          <w:p w14:paraId="6B1CEEC3">
            <w:pPr>
              <w:jc w:val="center"/>
              <w:rPr>
                <w:rFonts w:hint="default" w:ascii="Times New Roman" w:hAnsi="Times New Roman" w:eastAsia="宋体" w:cs="Times New Roman"/>
                <w:i w:val="0"/>
                <w:iCs w:val="0"/>
                <w:color w:val="00B050"/>
                <w:kern w:val="0"/>
                <w:sz w:val="21"/>
                <w:szCs w:val="21"/>
                <w:u w:val="none"/>
                <w:lang w:val="en-US" w:eastAsia="zh-CN" w:bidi="ar"/>
              </w:rPr>
            </w:pPr>
          </w:p>
        </w:tc>
        <w:tc>
          <w:tcPr>
            <w:tcW w:w="693" w:type="dxa"/>
            <w:vMerge w:val="continue"/>
            <w:shd w:val="clear" w:color="auto" w:fill="auto"/>
            <w:vAlign w:val="center"/>
          </w:tcPr>
          <w:p w14:paraId="24F07E64">
            <w:pPr>
              <w:jc w:val="center"/>
              <w:rPr>
                <w:rFonts w:hint="default" w:ascii="Times New Roman" w:hAnsi="Times New Roman" w:eastAsia="宋体" w:cs="Times New Roman"/>
                <w:i w:val="0"/>
                <w:iCs w:val="0"/>
                <w:color w:val="00B050"/>
                <w:kern w:val="0"/>
                <w:sz w:val="21"/>
                <w:szCs w:val="21"/>
                <w:u w:val="none"/>
                <w:lang w:val="en-US" w:eastAsia="zh-CN" w:bidi="ar"/>
              </w:rPr>
            </w:pPr>
          </w:p>
        </w:tc>
        <w:tc>
          <w:tcPr>
            <w:tcW w:w="597" w:type="dxa"/>
            <w:vMerge w:val="continue"/>
            <w:shd w:val="clear" w:color="auto" w:fill="auto"/>
            <w:vAlign w:val="center"/>
          </w:tcPr>
          <w:p w14:paraId="51B046C4">
            <w:pPr>
              <w:jc w:val="center"/>
              <w:rPr>
                <w:rFonts w:hint="default" w:ascii="Times New Roman" w:hAnsi="Times New Roman" w:eastAsia="宋体" w:cs="Times New Roman"/>
                <w:i w:val="0"/>
                <w:iCs w:val="0"/>
                <w:color w:val="00B050"/>
                <w:kern w:val="0"/>
                <w:sz w:val="21"/>
                <w:szCs w:val="21"/>
                <w:u w:val="none"/>
                <w:lang w:val="en-US" w:eastAsia="zh-CN" w:bidi="ar"/>
              </w:rPr>
            </w:pPr>
          </w:p>
        </w:tc>
        <w:tc>
          <w:tcPr>
            <w:tcW w:w="1774" w:type="dxa"/>
            <w:vMerge w:val="continue"/>
            <w:shd w:val="clear" w:color="auto" w:fill="auto"/>
            <w:vAlign w:val="center"/>
          </w:tcPr>
          <w:p w14:paraId="2874BFF5">
            <w:pPr>
              <w:jc w:val="center"/>
              <w:rPr>
                <w:rFonts w:hint="default" w:ascii="Times New Roman" w:hAnsi="Times New Roman" w:eastAsia="宋体" w:cs="Times New Roman"/>
                <w:i w:val="0"/>
                <w:iCs w:val="0"/>
                <w:color w:val="00B050"/>
                <w:sz w:val="21"/>
                <w:szCs w:val="21"/>
                <w:u w:val="none"/>
              </w:rPr>
            </w:pPr>
          </w:p>
        </w:tc>
        <w:tc>
          <w:tcPr>
            <w:tcW w:w="314" w:type="dxa"/>
            <w:vMerge w:val="continue"/>
            <w:shd w:val="clear" w:color="auto" w:fill="auto"/>
            <w:vAlign w:val="center"/>
          </w:tcPr>
          <w:p w14:paraId="1FCA0EDE">
            <w:pPr>
              <w:jc w:val="center"/>
              <w:rPr>
                <w:rFonts w:hint="default" w:ascii="Times New Roman" w:hAnsi="Times New Roman" w:eastAsia="宋体" w:cs="Times New Roman"/>
                <w:i w:val="0"/>
                <w:iCs w:val="0"/>
                <w:color w:val="00B050"/>
                <w:kern w:val="0"/>
                <w:sz w:val="21"/>
                <w:szCs w:val="21"/>
                <w:u w:val="none"/>
                <w:lang w:val="en-US" w:eastAsia="zh-CN" w:bidi="ar"/>
              </w:rPr>
            </w:pPr>
          </w:p>
        </w:tc>
        <w:tc>
          <w:tcPr>
            <w:tcW w:w="516" w:type="dxa"/>
            <w:vMerge w:val="continue"/>
            <w:shd w:val="clear" w:color="auto" w:fill="auto"/>
            <w:vAlign w:val="center"/>
          </w:tcPr>
          <w:p w14:paraId="6FE25EC4">
            <w:pPr>
              <w:jc w:val="center"/>
              <w:rPr>
                <w:rFonts w:hint="default" w:ascii="Times New Roman" w:hAnsi="Times New Roman" w:eastAsia="宋体" w:cs="Times New Roman"/>
                <w:i w:val="0"/>
                <w:iCs w:val="0"/>
                <w:color w:val="00B050"/>
                <w:kern w:val="0"/>
                <w:sz w:val="21"/>
                <w:szCs w:val="21"/>
                <w:u w:val="none"/>
                <w:lang w:val="en-US" w:eastAsia="zh-CN" w:bidi="ar"/>
              </w:rPr>
            </w:pPr>
          </w:p>
        </w:tc>
        <w:tc>
          <w:tcPr>
            <w:tcW w:w="339" w:type="dxa"/>
            <w:vMerge w:val="continue"/>
            <w:shd w:val="clear" w:color="auto" w:fill="auto"/>
            <w:vAlign w:val="center"/>
          </w:tcPr>
          <w:p w14:paraId="0A107CD3">
            <w:pPr>
              <w:jc w:val="center"/>
              <w:rPr>
                <w:rFonts w:hint="default" w:ascii="Times New Roman" w:hAnsi="Times New Roman" w:eastAsia="宋体" w:cs="Times New Roman"/>
                <w:i w:val="0"/>
                <w:iCs w:val="0"/>
                <w:color w:val="00B050"/>
                <w:kern w:val="0"/>
                <w:sz w:val="21"/>
                <w:szCs w:val="21"/>
                <w:u w:val="none"/>
                <w:lang w:val="en-US" w:eastAsia="zh-CN" w:bidi="ar"/>
              </w:rPr>
            </w:pPr>
          </w:p>
        </w:tc>
        <w:tc>
          <w:tcPr>
            <w:tcW w:w="322" w:type="dxa"/>
            <w:vMerge w:val="continue"/>
            <w:shd w:val="clear" w:color="auto" w:fill="auto"/>
            <w:vAlign w:val="center"/>
          </w:tcPr>
          <w:p w14:paraId="76C9DF96">
            <w:pPr>
              <w:jc w:val="center"/>
              <w:rPr>
                <w:rFonts w:hint="default" w:ascii="Times New Roman" w:hAnsi="Times New Roman" w:eastAsia="宋体" w:cs="Times New Roman"/>
                <w:i w:val="0"/>
                <w:iCs w:val="0"/>
                <w:color w:val="00B050"/>
                <w:kern w:val="0"/>
                <w:sz w:val="21"/>
                <w:szCs w:val="21"/>
                <w:u w:val="none"/>
                <w:lang w:val="en-US" w:eastAsia="zh-CN" w:bidi="ar"/>
              </w:rPr>
            </w:pPr>
          </w:p>
        </w:tc>
        <w:tc>
          <w:tcPr>
            <w:tcW w:w="634" w:type="dxa"/>
            <w:vMerge w:val="continue"/>
            <w:shd w:val="clear" w:color="auto" w:fill="auto"/>
            <w:vAlign w:val="center"/>
          </w:tcPr>
          <w:p w14:paraId="706F5EB5">
            <w:pPr>
              <w:jc w:val="center"/>
              <w:rPr>
                <w:rFonts w:hint="default" w:ascii="Times New Roman" w:hAnsi="Times New Roman" w:eastAsia="宋体" w:cs="Times New Roman"/>
                <w:i w:val="0"/>
                <w:iCs w:val="0"/>
                <w:color w:val="00B050"/>
                <w:kern w:val="0"/>
                <w:sz w:val="21"/>
                <w:szCs w:val="21"/>
                <w:u w:val="none"/>
                <w:lang w:val="en-US" w:eastAsia="zh-CN" w:bidi="ar"/>
              </w:rPr>
            </w:pPr>
          </w:p>
        </w:tc>
        <w:tc>
          <w:tcPr>
            <w:tcW w:w="635" w:type="dxa"/>
            <w:vMerge w:val="continue"/>
            <w:shd w:val="clear" w:color="auto" w:fill="auto"/>
            <w:vAlign w:val="center"/>
          </w:tcPr>
          <w:p w14:paraId="06046C9B">
            <w:pPr>
              <w:jc w:val="center"/>
              <w:rPr>
                <w:rFonts w:hint="default" w:ascii="Times New Roman" w:hAnsi="Times New Roman" w:eastAsia="宋体" w:cs="Times New Roman"/>
                <w:i w:val="0"/>
                <w:iCs w:val="0"/>
                <w:color w:val="00B050"/>
                <w:kern w:val="0"/>
                <w:sz w:val="21"/>
                <w:szCs w:val="21"/>
                <w:u w:val="none"/>
                <w:lang w:val="en-US" w:eastAsia="zh-CN" w:bidi="ar"/>
              </w:rPr>
            </w:pPr>
          </w:p>
        </w:tc>
        <w:tc>
          <w:tcPr>
            <w:tcW w:w="635" w:type="dxa"/>
            <w:vMerge w:val="continue"/>
            <w:shd w:val="clear" w:color="auto" w:fill="auto"/>
            <w:vAlign w:val="center"/>
          </w:tcPr>
          <w:p w14:paraId="18AC61FF">
            <w:pPr>
              <w:jc w:val="center"/>
              <w:rPr>
                <w:rFonts w:hint="default" w:ascii="Times New Roman" w:hAnsi="Times New Roman" w:eastAsia="宋体" w:cs="Times New Roman"/>
                <w:i w:val="0"/>
                <w:iCs w:val="0"/>
                <w:color w:val="00B050"/>
                <w:kern w:val="0"/>
                <w:sz w:val="21"/>
                <w:szCs w:val="21"/>
                <w:u w:val="none"/>
                <w:lang w:val="en-US" w:eastAsia="zh-CN" w:bidi="ar"/>
              </w:rPr>
            </w:pPr>
          </w:p>
        </w:tc>
        <w:tc>
          <w:tcPr>
            <w:tcW w:w="663" w:type="dxa"/>
            <w:vMerge w:val="continue"/>
            <w:shd w:val="clear" w:color="auto" w:fill="auto"/>
            <w:vAlign w:val="center"/>
          </w:tcPr>
          <w:p w14:paraId="55BC2A7A">
            <w:pPr>
              <w:jc w:val="center"/>
              <w:rPr>
                <w:rFonts w:hint="default" w:ascii="Times New Roman" w:hAnsi="Times New Roman" w:eastAsia="宋体" w:cs="Times New Roman"/>
                <w:i w:val="0"/>
                <w:iCs w:val="0"/>
                <w:color w:val="00B050"/>
                <w:kern w:val="0"/>
                <w:sz w:val="21"/>
                <w:szCs w:val="21"/>
                <w:u w:val="none"/>
                <w:lang w:val="en-US" w:eastAsia="zh-CN" w:bidi="ar"/>
              </w:rPr>
            </w:pPr>
          </w:p>
        </w:tc>
        <w:tc>
          <w:tcPr>
            <w:tcW w:w="663" w:type="dxa"/>
            <w:vMerge w:val="continue"/>
            <w:shd w:val="clear" w:color="auto" w:fill="auto"/>
            <w:vAlign w:val="center"/>
          </w:tcPr>
          <w:p w14:paraId="6670FEE2">
            <w:pPr>
              <w:jc w:val="center"/>
              <w:rPr>
                <w:rFonts w:hint="default" w:ascii="Times New Roman" w:hAnsi="Times New Roman" w:eastAsia="宋体" w:cs="Times New Roman"/>
                <w:i w:val="0"/>
                <w:iCs w:val="0"/>
                <w:color w:val="00B050"/>
                <w:kern w:val="0"/>
                <w:sz w:val="21"/>
                <w:szCs w:val="21"/>
                <w:u w:val="none"/>
                <w:lang w:val="en-US" w:eastAsia="zh-CN" w:bidi="ar"/>
              </w:rPr>
            </w:pPr>
          </w:p>
        </w:tc>
      </w:tr>
      <w:tr w14:paraId="0C7EE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14" w:type="dxa"/>
            <w:shd w:val="clear" w:color="auto" w:fill="auto"/>
            <w:vAlign w:val="center"/>
          </w:tcPr>
          <w:p w14:paraId="0A563705">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G9</w:t>
            </w:r>
            <w:r>
              <w:rPr>
                <w:rFonts w:hint="eastAsia" w:ascii="宋体" w:hAnsi="宋体" w:eastAsia="宋体" w:cs="宋体"/>
                <w:i w:val="0"/>
                <w:iCs w:val="0"/>
                <w:color w:val="00B050"/>
                <w:kern w:val="0"/>
                <w:sz w:val="21"/>
                <w:szCs w:val="21"/>
                <w:u w:val="none"/>
                <w:lang w:val="en-US" w:eastAsia="zh-CN" w:bidi="ar"/>
              </w:rPr>
              <w:t>模具保养废气</w:t>
            </w:r>
          </w:p>
        </w:tc>
        <w:tc>
          <w:tcPr>
            <w:tcW w:w="1274" w:type="dxa"/>
            <w:shd w:val="clear" w:color="auto" w:fill="auto"/>
            <w:vAlign w:val="center"/>
          </w:tcPr>
          <w:p w14:paraId="356007F8">
            <w:pPr>
              <w:keepNext w:val="0"/>
              <w:keepLines w:val="0"/>
              <w:widowControl/>
              <w:suppressLineNumbers w:val="0"/>
              <w:jc w:val="center"/>
              <w:textAlignment w:val="center"/>
              <w:rPr>
                <w:rFonts w:hint="eastAsia" w:ascii="宋体" w:hAnsi="宋体" w:eastAsia="宋体" w:cs="宋体"/>
                <w:i w:val="0"/>
                <w:iCs w:val="0"/>
                <w:color w:val="00B050"/>
                <w:kern w:val="0"/>
                <w:sz w:val="21"/>
                <w:szCs w:val="21"/>
                <w:u w:val="none"/>
                <w:lang w:val="en-US" w:eastAsia="zh-CN" w:bidi="ar"/>
              </w:rPr>
            </w:pPr>
            <w:r>
              <w:rPr>
                <w:rFonts w:hint="eastAsia" w:ascii="宋体" w:hAnsi="宋体" w:eastAsia="宋体" w:cs="宋体"/>
                <w:i w:val="0"/>
                <w:iCs w:val="0"/>
                <w:color w:val="00B050"/>
                <w:kern w:val="0"/>
                <w:sz w:val="21"/>
                <w:szCs w:val="21"/>
                <w:u w:val="none"/>
                <w:lang w:val="en-US" w:eastAsia="zh-CN" w:bidi="ar"/>
              </w:rPr>
              <w:t>非甲烷总烃</w:t>
            </w:r>
          </w:p>
        </w:tc>
        <w:tc>
          <w:tcPr>
            <w:tcW w:w="903" w:type="dxa"/>
            <w:shd w:val="clear" w:color="auto" w:fill="auto"/>
            <w:vAlign w:val="center"/>
          </w:tcPr>
          <w:p w14:paraId="73D2F091">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w:t>
            </w:r>
          </w:p>
        </w:tc>
        <w:tc>
          <w:tcPr>
            <w:tcW w:w="774" w:type="dxa"/>
            <w:shd w:val="clear" w:color="auto" w:fill="auto"/>
            <w:vAlign w:val="center"/>
          </w:tcPr>
          <w:p w14:paraId="7EAFB383">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w:t>
            </w:r>
          </w:p>
        </w:tc>
        <w:tc>
          <w:tcPr>
            <w:tcW w:w="678" w:type="dxa"/>
            <w:shd w:val="clear" w:color="auto" w:fill="auto"/>
            <w:vAlign w:val="center"/>
          </w:tcPr>
          <w:p w14:paraId="0D4CA27B">
            <w:pPr>
              <w:keepNext w:val="0"/>
              <w:keepLines w:val="0"/>
              <w:widowControl/>
              <w:suppressLineNumbers w:val="0"/>
              <w:jc w:val="center"/>
              <w:textAlignment w:val="center"/>
              <w:rPr>
                <w:rFonts w:hint="eastAsia" w:ascii="宋体" w:hAnsi="宋体" w:eastAsia="宋体" w:cs="宋体"/>
                <w:i w:val="0"/>
                <w:iCs w:val="0"/>
                <w:color w:val="00B050"/>
                <w:kern w:val="0"/>
                <w:sz w:val="21"/>
                <w:szCs w:val="21"/>
                <w:u w:val="none"/>
                <w:lang w:val="en-US" w:eastAsia="zh-CN" w:bidi="ar"/>
              </w:rPr>
            </w:pPr>
            <w:r>
              <w:rPr>
                <w:rFonts w:hint="eastAsia" w:ascii="宋体" w:hAnsi="宋体" w:eastAsia="宋体" w:cs="宋体"/>
                <w:i w:val="0"/>
                <w:iCs w:val="0"/>
                <w:color w:val="00B050"/>
                <w:kern w:val="0"/>
                <w:sz w:val="21"/>
                <w:szCs w:val="21"/>
                <w:u w:val="none"/>
                <w:lang w:val="en-US" w:eastAsia="zh-CN" w:bidi="ar"/>
              </w:rPr>
              <w:t>少量</w:t>
            </w:r>
          </w:p>
        </w:tc>
        <w:tc>
          <w:tcPr>
            <w:tcW w:w="693" w:type="dxa"/>
            <w:shd w:val="clear" w:color="auto" w:fill="auto"/>
            <w:vAlign w:val="center"/>
          </w:tcPr>
          <w:p w14:paraId="6D396C64">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w:t>
            </w:r>
          </w:p>
        </w:tc>
        <w:tc>
          <w:tcPr>
            <w:tcW w:w="597" w:type="dxa"/>
            <w:shd w:val="clear" w:color="auto" w:fill="auto"/>
            <w:vAlign w:val="center"/>
          </w:tcPr>
          <w:p w14:paraId="140D0E10">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w:t>
            </w:r>
          </w:p>
        </w:tc>
        <w:tc>
          <w:tcPr>
            <w:tcW w:w="1774" w:type="dxa"/>
            <w:vMerge w:val="continue"/>
            <w:shd w:val="clear" w:color="auto" w:fill="auto"/>
            <w:vAlign w:val="center"/>
          </w:tcPr>
          <w:p w14:paraId="35E51771">
            <w:pPr>
              <w:jc w:val="center"/>
              <w:rPr>
                <w:rFonts w:hint="default" w:ascii="Times New Roman" w:hAnsi="Times New Roman" w:eastAsia="宋体" w:cs="Times New Roman"/>
                <w:i w:val="0"/>
                <w:iCs w:val="0"/>
                <w:color w:val="00B050"/>
                <w:sz w:val="21"/>
                <w:szCs w:val="21"/>
                <w:u w:val="none"/>
              </w:rPr>
            </w:pPr>
          </w:p>
        </w:tc>
        <w:tc>
          <w:tcPr>
            <w:tcW w:w="314" w:type="dxa"/>
            <w:shd w:val="clear" w:color="auto" w:fill="auto"/>
            <w:vAlign w:val="center"/>
          </w:tcPr>
          <w:p w14:paraId="378E903D">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w:t>
            </w:r>
          </w:p>
        </w:tc>
        <w:tc>
          <w:tcPr>
            <w:tcW w:w="516" w:type="dxa"/>
            <w:shd w:val="clear" w:color="auto" w:fill="auto"/>
            <w:vAlign w:val="center"/>
          </w:tcPr>
          <w:p w14:paraId="5A463C0A">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w:t>
            </w:r>
          </w:p>
        </w:tc>
        <w:tc>
          <w:tcPr>
            <w:tcW w:w="339" w:type="dxa"/>
            <w:shd w:val="clear" w:color="auto" w:fill="auto"/>
            <w:vAlign w:val="center"/>
          </w:tcPr>
          <w:p w14:paraId="4B775154">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w:t>
            </w:r>
          </w:p>
        </w:tc>
        <w:tc>
          <w:tcPr>
            <w:tcW w:w="322" w:type="dxa"/>
            <w:shd w:val="clear" w:color="auto" w:fill="auto"/>
            <w:vAlign w:val="center"/>
          </w:tcPr>
          <w:p w14:paraId="028761B3">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w:t>
            </w:r>
          </w:p>
        </w:tc>
        <w:tc>
          <w:tcPr>
            <w:tcW w:w="634" w:type="dxa"/>
            <w:shd w:val="clear" w:color="auto" w:fill="auto"/>
            <w:vAlign w:val="center"/>
          </w:tcPr>
          <w:p w14:paraId="0A3B80B2">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w:t>
            </w:r>
          </w:p>
        </w:tc>
        <w:tc>
          <w:tcPr>
            <w:tcW w:w="635" w:type="dxa"/>
            <w:shd w:val="clear" w:color="auto" w:fill="auto"/>
            <w:vAlign w:val="center"/>
          </w:tcPr>
          <w:p w14:paraId="1409430E">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w:t>
            </w:r>
          </w:p>
        </w:tc>
        <w:tc>
          <w:tcPr>
            <w:tcW w:w="635" w:type="dxa"/>
            <w:shd w:val="clear" w:color="auto" w:fill="auto"/>
            <w:vAlign w:val="center"/>
          </w:tcPr>
          <w:p w14:paraId="0D38EFB8">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w:t>
            </w:r>
          </w:p>
        </w:tc>
        <w:tc>
          <w:tcPr>
            <w:tcW w:w="663" w:type="dxa"/>
            <w:shd w:val="clear" w:color="auto" w:fill="auto"/>
            <w:vAlign w:val="center"/>
          </w:tcPr>
          <w:p w14:paraId="2BDB3B28">
            <w:pPr>
              <w:keepNext w:val="0"/>
              <w:keepLines w:val="0"/>
              <w:widowControl/>
              <w:suppressLineNumbers w:val="0"/>
              <w:jc w:val="center"/>
              <w:textAlignment w:val="center"/>
              <w:rPr>
                <w:rFonts w:hint="default" w:ascii="宋体" w:hAnsi="宋体" w:eastAsia="宋体" w:cs="宋体"/>
                <w:i w:val="0"/>
                <w:iCs w:val="0"/>
                <w:color w:val="00B050"/>
                <w:kern w:val="0"/>
                <w:sz w:val="21"/>
                <w:szCs w:val="21"/>
                <w:u w:val="none"/>
                <w:lang w:val="en-US" w:eastAsia="zh-CN" w:bidi="ar"/>
              </w:rPr>
            </w:pPr>
            <w:r>
              <w:rPr>
                <w:rFonts w:hint="default" w:ascii="Times New Roman" w:hAnsi="Times New Roman" w:cs="Times New Roman"/>
                <w:i w:val="0"/>
                <w:iCs w:val="0"/>
                <w:color w:val="00B050"/>
                <w:kern w:val="0"/>
                <w:sz w:val="21"/>
                <w:szCs w:val="21"/>
                <w:u w:val="none"/>
                <w:lang w:val="en-US" w:eastAsia="zh-CN" w:bidi="ar"/>
              </w:rPr>
              <w:t>0.068</w:t>
            </w:r>
          </w:p>
        </w:tc>
        <w:tc>
          <w:tcPr>
            <w:tcW w:w="663" w:type="dxa"/>
            <w:shd w:val="clear" w:color="auto" w:fill="auto"/>
            <w:vAlign w:val="center"/>
          </w:tcPr>
          <w:p w14:paraId="036B1C06">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w:t>
            </w:r>
          </w:p>
        </w:tc>
      </w:tr>
      <w:tr w14:paraId="4B8E0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1814" w:type="dxa"/>
            <w:shd w:val="clear" w:color="auto" w:fill="auto"/>
            <w:vAlign w:val="center"/>
          </w:tcPr>
          <w:p w14:paraId="6090E5D5">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G10</w:t>
            </w:r>
            <w:r>
              <w:rPr>
                <w:rFonts w:hint="eastAsia" w:ascii="宋体" w:hAnsi="宋体" w:eastAsia="宋体" w:cs="宋体"/>
                <w:i w:val="0"/>
                <w:iCs w:val="0"/>
                <w:color w:val="00B050"/>
                <w:kern w:val="0"/>
                <w:sz w:val="21"/>
                <w:szCs w:val="21"/>
                <w:u w:val="none"/>
                <w:lang w:val="en-US" w:eastAsia="zh-CN" w:bidi="ar"/>
              </w:rPr>
              <w:t>模具加工烟尘</w:t>
            </w:r>
          </w:p>
        </w:tc>
        <w:tc>
          <w:tcPr>
            <w:tcW w:w="1274" w:type="dxa"/>
            <w:shd w:val="clear" w:color="auto" w:fill="auto"/>
            <w:vAlign w:val="center"/>
          </w:tcPr>
          <w:p w14:paraId="59377BFF">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eastAsia" w:ascii="宋体" w:hAnsi="宋体" w:eastAsia="宋体" w:cs="宋体"/>
                <w:i w:val="0"/>
                <w:iCs w:val="0"/>
                <w:color w:val="00B050"/>
                <w:kern w:val="0"/>
                <w:sz w:val="21"/>
                <w:szCs w:val="21"/>
                <w:u w:val="none"/>
                <w:lang w:val="en-US" w:eastAsia="zh-CN" w:bidi="ar"/>
              </w:rPr>
              <w:t>烟尘</w:t>
            </w:r>
          </w:p>
        </w:tc>
        <w:tc>
          <w:tcPr>
            <w:tcW w:w="903" w:type="dxa"/>
            <w:shd w:val="clear" w:color="auto" w:fill="auto"/>
            <w:vAlign w:val="center"/>
          </w:tcPr>
          <w:p w14:paraId="1792BCF0">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w:t>
            </w:r>
          </w:p>
        </w:tc>
        <w:tc>
          <w:tcPr>
            <w:tcW w:w="774" w:type="dxa"/>
            <w:shd w:val="clear" w:color="auto" w:fill="auto"/>
            <w:vAlign w:val="center"/>
          </w:tcPr>
          <w:p w14:paraId="0B5749FE">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w:t>
            </w:r>
          </w:p>
        </w:tc>
        <w:tc>
          <w:tcPr>
            <w:tcW w:w="678" w:type="dxa"/>
            <w:shd w:val="clear" w:color="auto" w:fill="auto"/>
            <w:vAlign w:val="center"/>
          </w:tcPr>
          <w:p w14:paraId="33505521">
            <w:pPr>
              <w:keepNext w:val="0"/>
              <w:keepLines w:val="0"/>
              <w:widowControl/>
              <w:suppressLineNumbers w:val="0"/>
              <w:jc w:val="center"/>
              <w:textAlignment w:val="center"/>
              <w:rPr>
                <w:rFonts w:hint="eastAsia" w:ascii="宋体" w:hAnsi="宋体" w:eastAsia="宋体" w:cs="宋体"/>
                <w:i w:val="0"/>
                <w:iCs w:val="0"/>
                <w:color w:val="00B050"/>
                <w:kern w:val="0"/>
                <w:sz w:val="21"/>
                <w:szCs w:val="21"/>
                <w:u w:val="none"/>
                <w:lang w:val="en-US" w:eastAsia="zh-CN" w:bidi="ar"/>
              </w:rPr>
            </w:pPr>
            <w:r>
              <w:rPr>
                <w:rFonts w:hint="eastAsia" w:ascii="宋体" w:hAnsi="宋体" w:eastAsia="宋体" w:cs="宋体"/>
                <w:i w:val="0"/>
                <w:iCs w:val="0"/>
                <w:color w:val="00B050"/>
                <w:kern w:val="0"/>
                <w:sz w:val="21"/>
                <w:szCs w:val="21"/>
                <w:u w:val="none"/>
                <w:lang w:val="en-US" w:eastAsia="zh-CN" w:bidi="ar"/>
              </w:rPr>
              <w:t>少量</w:t>
            </w:r>
          </w:p>
        </w:tc>
        <w:tc>
          <w:tcPr>
            <w:tcW w:w="693" w:type="dxa"/>
            <w:shd w:val="clear" w:color="auto" w:fill="auto"/>
            <w:vAlign w:val="center"/>
          </w:tcPr>
          <w:p w14:paraId="285FB9F1">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w:t>
            </w:r>
          </w:p>
        </w:tc>
        <w:tc>
          <w:tcPr>
            <w:tcW w:w="597" w:type="dxa"/>
            <w:shd w:val="clear" w:color="auto" w:fill="auto"/>
            <w:vAlign w:val="center"/>
          </w:tcPr>
          <w:p w14:paraId="53CF5BD1">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w:t>
            </w:r>
          </w:p>
        </w:tc>
        <w:tc>
          <w:tcPr>
            <w:tcW w:w="1774" w:type="dxa"/>
            <w:vMerge w:val="continue"/>
            <w:shd w:val="clear" w:color="auto" w:fill="auto"/>
            <w:vAlign w:val="center"/>
          </w:tcPr>
          <w:p w14:paraId="04035991">
            <w:pPr>
              <w:jc w:val="center"/>
              <w:rPr>
                <w:rFonts w:hint="default" w:ascii="Times New Roman" w:hAnsi="Times New Roman" w:eastAsia="宋体" w:cs="Times New Roman"/>
                <w:i w:val="0"/>
                <w:iCs w:val="0"/>
                <w:color w:val="00B050"/>
                <w:sz w:val="21"/>
                <w:szCs w:val="21"/>
                <w:u w:val="none"/>
              </w:rPr>
            </w:pPr>
          </w:p>
        </w:tc>
        <w:tc>
          <w:tcPr>
            <w:tcW w:w="314" w:type="dxa"/>
            <w:shd w:val="clear" w:color="auto" w:fill="auto"/>
            <w:vAlign w:val="center"/>
          </w:tcPr>
          <w:p w14:paraId="07218DE5">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w:t>
            </w:r>
          </w:p>
        </w:tc>
        <w:tc>
          <w:tcPr>
            <w:tcW w:w="516" w:type="dxa"/>
            <w:shd w:val="clear" w:color="auto" w:fill="auto"/>
            <w:vAlign w:val="center"/>
          </w:tcPr>
          <w:p w14:paraId="01259427">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w:t>
            </w:r>
          </w:p>
        </w:tc>
        <w:tc>
          <w:tcPr>
            <w:tcW w:w="339" w:type="dxa"/>
            <w:shd w:val="clear" w:color="auto" w:fill="auto"/>
            <w:vAlign w:val="center"/>
          </w:tcPr>
          <w:p w14:paraId="6395978D">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w:t>
            </w:r>
          </w:p>
        </w:tc>
        <w:tc>
          <w:tcPr>
            <w:tcW w:w="322" w:type="dxa"/>
            <w:shd w:val="clear" w:color="auto" w:fill="auto"/>
            <w:vAlign w:val="center"/>
          </w:tcPr>
          <w:p w14:paraId="56BBE386">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w:t>
            </w:r>
          </w:p>
        </w:tc>
        <w:tc>
          <w:tcPr>
            <w:tcW w:w="634" w:type="dxa"/>
            <w:shd w:val="clear" w:color="auto" w:fill="auto"/>
            <w:vAlign w:val="center"/>
          </w:tcPr>
          <w:p w14:paraId="7DC09283">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w:t>
            </w:r>
          </w:p>
        </w:tc>
        <w:tc>
          <w:tcPr>
            <w:tcW w:w="635" w:type="dxa"/>
            <w:shd w:val="clear" w:color="auto" w:fill="auto"/>
            <w:vAlign w:val="center"/>
          </w:tcPr>
          <w:p w14:paraId="42A47D98">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w:t>
            </w:r>
          </w:p>
        </w:tc>
        <w:tc>
          <w:tcPr>
            <w:tcW w:w="635" w:type="dxa"/>
            <w:shd w:val="clear" w:color="auto" w:fill="auto"/>
            <w:vAlign w:val="center"/>
          </w:tcPr>
          <w:p w14:paraId="7F988D6E">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w:t>
            </w:r>
          </w:p>
        </w:tc>
        <w:tc>
          <w:tcPr>
            <w:tcW w:w="663" w:type="dxa"/>
            <w:shd w:val="clear" w:color="auto" w:fill="auto"/>
            <w:vAlign w:val="center"/>
          </w:tcPr>
          <w:p w14:paraId="096808C4">
            <w:pPr>
              <w:keepNext w:val="0"/>
              <w:keepLines w:val="0"/>
              <w:widowControl/>
              <w:suppressLineNumbers w:val="0"/>
              <w:jc w:val="center"/>
              <w:textAlignment w:val="center"/>
              <w:rPr>
                <w:rFonts w:hint="eastAsia" w:ascii="宋体" w:hAnsi="宋体" w:eastAsia="宋体" w:cs="宋体"/>
                <w:i w:val="0"/>
                <w:iCs w:val="0"/>
                <w:color w:val="00B050"/>
                <w:kern w:val="0"/>
                <w:sz w:val="21"/>
                <w:szCs w:val="21"/>
                <w:u w:val="none"/>
                <w:lang w:val="en-US" w:eastAsia="zh-CN" w:bidi="ar"/>
              </w:rPr>
            </w:pPr>
            <w:r>
              <w:rPr>
                <w:rFonts w:hint="eastAsia" w:ascii="宋体" w:hAnsi="宋体" w:eastAsia="宋体" w:cs="宋体"/>
                <w:i w:val="0"/>
                <w:iCs w:val="0"/>
                <w:color w:val="00B050"/>
                <w:kern w:val="0"/>
                <w:sz w:val="21"/>
                <w:szCs w:val="21"/>
                <w:u w:val="none"/>
                <w:lang w:val="en-US" w:eastAsia="zh-CN" w:bidi="ar"/>
              </w:rPr>
              <w:t>少量</w:t>
            </w:r>
          </w:p>
        </w:tc>
        <w:tc>
          <w:tcPr>
            <w:tcW w:w="663" w:type="dxa"/>
            <w:shd w:val="clear" w:color="auto" w:fill="auto"/>
            <w:vAlign w:val="center"/>
          </w:tcPr>
          <w:p w14:paraId="33F7066A">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w:t>
            </w:r>
          </w:p>
        </w:tc>
      </w:tr>
    </w:tbl>
    <w:p w14:paraId="37ECC199">
      <w:pPr>
        <w:keepNext w:val="0"/>
        <w:keepLines w:val="0"/>
        <w:pageBreakBefore w:val="0"/>
        <w:widowControl w:val="0"/>
        <w:kinsoku/>
        <w:wordWrap/>
        <w:overflowPunct/>
        <w:topLinePunct w:val="0"/>
        <w:autoSpaceDE/>
        <w:autoSpaceDN/>
        <w:bidi w:val="0"/>
        <w:spacing w:line="24" w:lineRule="auto"/>
        <w:jc w:val="center"/>
        <w:textAlignment w:val="auto"/>
        <w:rPr>
          <w:rFonts w:hint="default" w:ascii="Times New Roman" w:hAnsi="Times New Roman" w:cs="Times New Roman"/>
          <w:b/>
          <w:bCs/>
          <w:color w:val="auto"/>
          <w:sz w:val="24"/>
        </w:rPr>
      </w:pPr>
    </w:p>
    <w:p w14:paraId="26B8A9F5">
      <w:pPr>
        <w:keepNext w:val="0"/>
        <w:keepLines w:val="0"/>
        <w:pageBreakBefore w:val="0"/>
        <w:widowControl w:val="0"/>
        <w:kinsoku/>
        <w:wordWrap/>
        <w:overflowPunct/>
        <w:topLinePunct w:val="0"/>
        <w:autoSpaceDE/>
        <w:autoSpaceDN/>
        <w:bidi w:val="0"/>
        <w:adjustRightInd w:val="0"/>
        <w:snapToGrid w:val="0"/>
        <w:spacing w:line="24" w:lineRule="auto"/>
        <w:textAlignment w:val="auto"/>
        <w:rPr>
          <w:rFonts w:hint="default" w:ascii="Times New Roman" w:hAnsi="Times New Roman" w:cs="Times New Roman"/>
          <w:b/>
          <w:color w:val="auto"/>
          <w:kern w:val="0"/>
          <w:sz w:val="28"/>
          <w:szCs w:val="28"/>
        </w:rPr>
        <w:sectPr>
          <w:pgSz w:w="16840" w:h="11907" w:orient="landscape"/>
          <w:pgMar w:top="1531" w:right="1701" w:bottom="1531" w:left="2127" w:header="851" w:footer="851" w:gutter="0"/>
          <w:pgNumType w:fmt="decimal"/>
          <w:cols w:space="720" w:num="1"/>
          <w:docGrid w:linePitch="312" w:charSpace="0"/>
        </w:sectPr>
      </w:pPr>
    </w:p>
    <w:tbl>
      <w:tblPr>
        <w:tblStyle w:val="35"/>
        <w:tblW w:w="94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7"/>
        <w:gridCol w:w="9060"/>
      </w:tblGrid>
      <w:tr w14:paraId="6578B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5" w:hRule="atLeast"/>
          <w:jc w:val="center"/>
        </w:trPr>
        <w:tc>
          <w:tcPr>
            <w:tcW w:w="397" w:type="dxa"/>
            <w:noWrap w:val="0"/>
            <w:tcMar>
              <w:left w:w="28" w:type="dxa"/>
              <w:right w:w="28" w:type="dxa"/>
            </w:tcMar>
            <w:vAlign w:val="center"/>
          </w:tcPr>
          <w:p w14:paraId="0B14AE93">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运营</w:t>
            </w:r>
          </w:p>
          <w:p w14:paraId="615318A0">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期环</w:t>
            </w:r>
          </w:p>
          <w:p w14:paraId="6F78B9D3">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境影</w:t>
            </w:r>
          </w:p>
          <w:p w14:paraId="7B7200EE">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响和</w:t>
            </w:r>
          </w:p>
          <w:p w14:paraId="5D760548">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保护</w:t>
            </w:r>
          </w:p>
          <w:p w14:paraId="3DACA5C1">
            <w:pPr>
              <w:pStyle w:val="31"/>
              <w:adjustRightInd w:val="0"/>
              <w:snapToGrid w:val="0"/>
              <w:spacing w:before="0" w:beforeAutospacing="0" w:after="0" w:afterAutospacing="0"/>
              <w:jc w:val="center"/>
              <w:rPr>
                <w:rFonts w:hint="default" w:ascii="Times New Roman" w:hAnsi="Times New Roman" w:cs="Times New Roman"/>
                <w:color w:val="auto"/>
                <w:kern w:val="2"/>
                <w:sz w:val="21"/>
                <w:szCs w:val="21"/>
              </w:rPr>
            </w:pPr>
            <w:r>
              <w:rPr>
                <w:rFonts w:hint="default" w:ascii="Times New Roman" w:hAnsi="Times New Roman" w:cs="Times New Roman"/>
                <w:bCs/>
                <w:color w:val="auto"/>
                <w:sz w:val="21"/>
                <w:szCs w:val="21"/>
              </w:rPr>
              <w:t>措施</w:t>
            </w:r>
          </w:p>
        </w:tc>
        <w:tc>
          <w:tcPr>
            <w:tcW w:w="9060" w:type="dxa"/>
            <w:noWrap w:val="0"/>
            <w:vAlign w:val="top"/>
          </w:tcPr>
          <w:p w14:paraId="508CBFDB">
            <w:pPr>
              <w:pStyle w:val="216"/>
              <w:keepNext w:val="0"/>
              <w:keepLines w:val="0"/>
              <w:pageBreakBefore w:val="0"/>
              <w:widowControl w:val="0"/>
              <w:kinsoku/>
              <w:wordWrap/>
              <w:overflowPunct/>
              <w:topLinePunct w:val="0"/>
              <w:autoSpaceDE/>
              <w:autoSpaceDN/>
              <w:bidi w:val="0"/>
              <w:spacing w:line="240" w:lineRule="auto"/>
              <w:ind w:firstLine="0"/>
              <w:jc w:val="center"/>
              <w:textAlignment w:val="baseline"/>
              <w:rPr>
                <w:rFonts w:hint="default" w:ascii="Times New Roman" w:hAnsi="Times New Roman" w:cs="Times New Roman"/>
                <w:b/>
                <w:color w:val="00B050"/>
                <w:sz w:val="24"/>
              </w:rPr>
            </w:pPr>
            <w:r>
              <w:rPr>
                <w:rFonts w:hint="default" w:ascii="Times New Roman" w:hAnsi="Times New Roman" w:cs="Times New Roman"/>
                <w:b/>
                <w:color w:val="00B050"/>
                <w:sz w:val="24"/>
              </w:rPr>
              <w:t>表4.2-</w:t>
            </w:r>
            <w:r>
              <w:rPr>
                <w:rFonts w:hint="default" w:ascii="Times New Roman" w:hAnsi="Times New Roman" w:cs="Times New Roman"/>
                <w:b/>
                <w:color w:val="00B050"/>
                <w:sz w:val="24"/>
                <w:lang w:val="en-US" w:eastAsia="zh-CN"/>
              </w:rPr>
              <w:t>8</w:t>
            </w:r>
            <w:r>
              <w:rPr>
                <w:rFonts w:hint="default" w:ascii="Times New Roman" w:hAnsi="Times New Roman" w:cs="Times New Roman"/>
                <w:b/>
                <w:color w:val="00B050"/>
                <w:sz w:val="24"/>
              </w:rPr>
              <w:t xml:space="preserve">  本项目</w:t>
            </w:r>
            <w:r>
              <w:rPr>
                <w:rFonts w:hint="default" w:ascii="Times New Roman" w:hAnsi="Times New Roman" w:cs="Times New Roman"/>
                <w:b/>
                <w:color w:val="00B050"/>
                <w:sz w:val="24"/>
                <w:lang w:val="en-US" w:eastAsia="zh-CN"/>
              </w:rPr>
              <w:t>非甲烷总烃</w:t>
            </w:r>
            <w:r>
              <w:rPr>
                <w:rFonts w:hint="default" w:ascii="Times New Roman" w:hAnsi="Times New Roman" w:cs="Times New Roman"/>
                <w:b/>
                <w:color w:val="00B050"/>
                <w:sz w:val="24"/>
              </w:rPr>
              <w:t>产排情况</w:t>
            </w:r>
          </w:p>
          <w:tbl>
            <w:tblPr>
              <w:tblStyle w:val="35"/>
              <w:tblW w:w="8504"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17"/>
              <w:gridCol w:w="1417"/>
              <w:gridCol w:w="1417"/>
              <w:gridCol w:w="1417"/>
              <w:gridCol w:w="1418"/>
              <w:gridCol w:w="1418"/>
            </w:tblGrid>
            <w:tr w14:paraId="47DAF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1417" w:type="dxa"/>
                  <w:shd w:val="clear" w:color="auto" w:fill="auto"/>
                  <w:noWrap w:val="0"/>
                  <w:vAlign w:val="center"/>
                </w:tcPr>
                <w:p w14:paraId="7FB6EAC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B050"/>
                      <w:sz w:val="21"/>
                      <w:szCs w:val="21"/>
                      <w:highlight w:val="none"/>
                      <w:u w:val="none"/>
                    </w:rPr>
                  </w:pPr>
                  <w:r>
                    <w:rPr>
                      <w:rFonts w:hint="default" w:ascii="Times New Roman" w:hAnsi="Times New Roman" w:eastAsia="宋体" w:cs="Times New Roman"/>
                      <w:i w:val="0"/>
                      <w:iCs w:val="0"/>
                      <w:color w:val="00B050"/>
                      <w:kern w:val="0"/>
                      <w:sz w:val="21"/>
                      <w:szCs w:val="21"/>
                      <w:highlight w:val="none"/>
                      <w:u w:val="none"/>
                      <w:lang w:val="en-US" w:eastAsia="zh-CN" w:bidi="ar"/>
                    </w:rPr>
                    <w:t>污染因子</w:t>
                  </w:r>
                </w:p>
              </w:tc>
              <w:tc>
                <w:tcPr>
                  <w:tcW w:w="1417" w:type="dxa"/>
                  <w:shd w:val="clear" w:color="auto" w:fill="auto"/>
                  <w:noWrap w:val="0"/>
                  <w:vAlign w:val="center"/>
                </w:tcPr>
                <w:p w14:paraId="1E1EC2A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B050"/>
                      <w:sz w:val="21"/>
                      <w:szCs w:val="21"/>
                      <w:highlight w:val="none"/>
                      <w:u w:val="none"/>
                    </w:rPr>
                  </w:pPr>
                  <w:r>
                    <w:rPr>
                      <w:rFonts w:hint="default" w:ascii="Times New Roman" w:hAnsi="Times New Roman" w:eastAsia="宋体" w:cs="Times New Roman"/>
                      <w:i w:val="0"/>
                      <w:iCs w:val="0"/>
                      <w:color w:val="00B050"/>
                      <w:kern w:val="0"/>
                      <w:sz w:val="21"/>
                      <w:szCs w:val="21"/>
                      <w:highlight w:val="none"/>
                      <w:u w:val="none"/>
                      <w:lang w:val="en-US" w:eastAsia="zh-CN" w:bidi="ar"/>
                    </w:rPr>
                    <w:t>产生量（t/a）</w:t>
                  </w:r>
                </w:p>
              </w:tc>
              <w:tc>
                <w:tcPr>
                  <w:tcW w:w="1417" w:type="dxa"/>
                  <w:shd w:val="clear" w:color="auto" w:fill="auto"/>
                  <w:noWrap w:val="0"/>
                  <w:vAlign w:val="center"/>
                </w:tcPr>
                <w:p w14:paraId="4AAAB1A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B050"/>
                      <w:sz w:val="21"/>
                      <w:szCs w:val="21"/>
                      <w:highlight w:val="none"/>
                      <w:u w:val="none"/>
                    </w:rPr>
                  </w:pPr>
                  <w:r>
                    <w:rPr>
                      <w:rFonts w:hint="default" w:ascii="Times New Roman" w:hAnsi="Times New Roman" w:eastAsia="宋体" w:cs="Times New Roman"/>
                      <w:i w:val="0"/>
                      <w:iCs w:val="0"/>
                      <w:color w:val="00B050"/>
                      <w:kern w:val="0"/>
                      <w:sz w:val="21"/>
                      <w:szCs w:val="21"/>
                      <w:highlight w:val="none"/>
                      <w:u w:val="none"/>
                      <w:lang w:val="en-US" w:eastAsia="zh-CN" w:bidi="ar"/>
                    </w:rPr>
                    <w:t>收集量（t/a）</w:t>
                  </w:r>
                </w:p>
              </w:tc>
              <w:tc>
                <w:tcPr>
                  <w:tcW w:w="1417" w:type="dxa"/>
                  <w:shd w:val="clear" w:color="auto" w:fill="auto"/>
                  <w:noWrap w:val="0"/>
                  <w:vAlign w:val="center"/>
                </w:tcPr>
                <w:p w14:paraId="4016F34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B050"/>
                      <w:sz w:val="21"/>
                      <w:szCs w:val="21"/>
                      <w:highlight w:val="none"/>
                      <w:u w:val="none"/>
                    </w:rPr>
                  </w:pPr>
                  <w:r>
                    <w:rPr>
                      <w:rFonts w:hint="default" w:ascii="Times New Roman" w:hAnsi="Times New Roman" w:eastAsia="宋体" w:cs="Times New Roman"/>
                      <w:i w:val="0"/>
                      <w:iCs w:val="0"/>
                      <w:color w:val="00B050"/>
                      <w:kern w:val="0"/>
                      <w:sz w:val="21"/>
                      <w:szCs w:val="21"/>
                      <w:highlight w:val="none"/>
                      <w:u w:val="none"/>
                      <w:lang w:val="en-US" w:eastAsia="zh-CN" w:bidi="ar"/>
                    </w:rPr>
                    <w:t>有组织排放量（t/a）</w:t>
                  </w:r>
                </w:p>
              </w:tc>
              <w:tc>
                <w:tcPr>
                  <w:tcW w:w="1418" w:type="dxa"/>
                  <w:shd w:val="clear" w:color="auto" w:fill="auto"/>
                  <w:noWrap w:val="0"/>
                  <w:vAlign w:val="center"/>
                </w:tcPr>
                <w:p w14:paraId="1DF53B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B050"/>
                      <w:sz w:val="21"/>
                      <w:szCs w:val="21"/>
                      <w:highlight w:val="none"/>
                      <w:u w:val="none"/>
                    </w:rPr>
                  </w:pPr>
                  <w:r>
                    <w:rPr>
                      <w:rFonts w:hint="default" w:ascii="Times New Roman" w:hAnsi="Times New Roman" w:eastAsia="宋体" w:cs="Times New Roman"/>
                      <w:i w:val="0"/>
                      <w:iCs w:val="0"/>
                      <w:color w:val="00B050"/>
                      <w:kern w:val="0"/>
                      <w:sz w:val="21"/>
                      <w:szCs w:val="21"/>
                      <w:highlight w:val="none"/>
                      <w:u w:val="none"/>
                      <w:lang w:val="en-US" w:eastAsia="zh-CN" w:bidi="ar"/>
                    </w:rPr>
                    <w:t>无组织排放量（t/a）</w:t>
                  </w:r>
                </w:p>
              </w:tc>
              <w:tc>
                <w:tcPr>
                  <w:tcW w:w="1418" w:type="dxa"/>
                  <w:shd w:val="clear" w:color="auto" w:fill="auto"/>
                  <w:noWrap w:val="0"/>
                  <w:vAlign w:val="center"/>
                </w:tcPr>
                <w:p w14:paraId="4AA56E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B050"/>
                      <w:sz w:val="21"/>
                      <w:szCs w:val="21"/>
                      <w:highlight w:val="none"/>
                      <w:u w:val="none"/>
                    </w:rPr>
                  </w:pPr>
                  <w:r>
                    <w:rPr>
                      <w:rFonts w:hint="default" w:ascii="Times New Roman" w:hAnsi="Times New Roman" w:eastAsia="宋体" w:cs="Times New Roman"/>
                      <w:i w:val="0"/>
                      <w:iCs w:val="0"/>
                      <w:color w:val="00B050"/>
                      <w:kern w:val="0"/>
                      <w:sz w:val="21"/>
                      <w:szCs w:val="21"/>
                      <w:highlight w:val="none"/>
                      <w:u w:val="none"/>
                      <w:lang w:val="en-US" w:eastAsia="zh-CN" w:bidi="ar"/>
                    </w:rPr>
                    <w:t>废气治理设施收集量（t/a</w:t>
                  </w:r>
                  <w:r>
                    <w:rPr>
                      <w:rFonts w:hint="eastAsia" w:ascii="Times New Roman" w:hAnsi="Times New Roman" w:eastAsia="宋体" w:cs="Times New Roman"/>
                      <w:i w:val="0"/>
                      <w:iCs w:val="0"/>
                      <w:color w:val="00B050"/>
                      <w:kern w:val="0"/>
                      <w:sz w:val="21"/>
                      <w:szCs w:val="21"/>
                      <w:highlight w:val="none"/>
                      <w:u w:val="none"/>
                      <w:lang w:val="en-US" w:eastAsia="zh-CN" w:bidi="ar"/>
                    </w:rPr>
                    <w:t>）</w:t>
                  </w:r>
                </w:p>
              </w:tc>
            </w:tr>
            <w:tr w14:paraId="35C22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1417" w:type="dxa"/>
                  <w:shd w:val="clear" w:color="auto" w:fill="auto"/>
                  <w:noWrap w:val="0"/>
                  <w:vAlign w:val="center"/>
                </w:tcPr>
                <w:p w14:paraId="16C4F7B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B050"/>
                      <w:sz w:val="21"/>
                      <w:szCs w:val="21"/>
                      <w:highlight w:val="none"/>
                      <w:u w:val="none"/>
                    </w:rPr>
                  </w:pPr>
                  <w:r>
                    <w:rPr>
                      <w:rFonts w:hint="default" w:ascii="Times New Roman" w:hAnsi="Times New Roman" w:eastAsia="宋体" w:cs="Times New Roman"/>
                      <w:i w:val="0"/>
                      <w:iCs w:val="0"/>
                      <w:color w:val="00B050"/>
                      <w:kern w:val="0"/>
                      <w:sz w:val="21"/>
                      <w:szCs w:val="21"/>
                      <w:highlight w:val="none"/>
                      <w:u w:val="none"/>
                      <w:lang w:val="en-US" w:eastAsia="zh-CN" w:bidi="ar"/>
                    </w:rPr>
                    <w:t>非甲烷总烃</w:t>
                  </w:r>
                </w:p>
              </w:tc>
              <w:tc>
                <w:tcPr>
                  <w:tcW w:w="1417" w:type="dxa"/>
                  <w:shd w:val="clear" w:color="auto" w:fill="auto"/>
                  <w:noWrap w:val="0"/>
                  <w:vAlign w:val="center"/>
                </w:tcPr>
                <w:p w14:paraId="08F5BB0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B050"/>
                      <w:sz w:val="21"/>
                      <w:szCs w:val="21"/>
                      <w:highlight w:val="none"/>
                      <w:u w:val="none"/>
                      <w:lang w:val="en-US" w:eastAsia="zh-CN"/>
                    </w:rPr>
                  </w:pPr>
                  <w:r>
                    <w:rPr>
                      <w:rFonts w:hint="eastAsia" w:cs="Times New Roman"/>
                      <w:i w:val="0"/>
                      <w:iCs w:val="0"/>
                      <w:color w:val="00B050"/>
                      <w:sz w:val="21"/>
                      <w:szCs w:val="21"/>
                      <w:highlight w:val="none"/>
                      <w:u w:val="none"/>
                      <w:lang w:val="en-US" w:eastAsia="zh-CN"/>
                    </w:rPr>
                    <w:t>2.2109</w:t>
                  </w:r>
                </w:p>
              </w:tc>
              <w:tc>
                <w:tcPr>
                  <w:tcW w:w="1417" w:type="dxa"/>
                  <w:shd w:val="clear" w:color="auto" w:fill="auto"/>
                  <w:noWrap w:val="0"/>
                  <w:vAlign w:val="center"/>
                </w:tcPr>
                <w:p w14:paraId="402A9A4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B050"/>
                      <w:sz w:val="21"/>
                      <w:szCs w:val="21"/>
                      <w:highlight w:val="none"/>
                      <w:u w:val="none"/>
                      <w:lang w:val="en-US"/>
                    </w:rPr>
                  </w:pPr>
                  <w:r>
                    <w:rPr>
                      <w:rFonts w:hint="eastAsia" w:cs="Times New Roman"/>
                      <w:i w:val="0"/>
                      <w:iCs w:val="0"/>
                      <w:color w:val="00B050"/>
                      <w:kern w:val="0"/>
                      <w:sz w:val="21"/>
                      <w:szCs w:val="21"/>
                      <w:highlight w:val="none"/>
                      <w:u w:val="none"/>
                      <w:lang w:val="en-US" w:eastAsia="zh-CN" w:bidi="ar"/>
                    </w:rPr>
                    <w:t>1.7687</w:t>
                  </w:r>
                </w:p>
              </w:tc>
              <w:tc>
                <w:tcPr>
                  <w:tcW w:w="1417" w:type="dxa"/>
                  <w:shd w:val="clear" w:color="auto" w:fill="auto"/>
                  <w:noWrap w:val="0"/>
                  <w:vAlign w:val="center"/>
                </w:tcPr>
                <w:p w14:paraId="2DD177E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B050"/>
                      <w:sz w:val="21"/>
                      <w:szCs w:val="21"/>
                      <w:highlight w:val="none"/>
                      <w:u w:val="none"/>
                      <w:lang w:val="en-US"/>
                    </w:rPr>
                  </w:pPr>
                  <w:r>
                    <w:rPr>
                      <w:rFonts w:hint="eastAsia" w:cs="Times New Roman"/>
                      <w:i w:val="0"/>
                      <w:iCs w:val="0"/>
                      <w:color w:val="00B050"/>
                      <w:kern w:val="0"/>
                      <w:sz w:val="21"/>
                      <w:szCs w:val="21"/>
                      <w:highlight w:val="none"/>
                      <w:u w:val="none"/>
                      <w:lang w:val="en-US" w:eastAsia="zh-CN" w:bidi="ar"/>
                    </w:rPr>
                    <w:t>0.4422</w:t>
                  </w:r>
                </w:p>
              </w:tc>
              <w:tc>
                <w:tcPr>
                  <w:tcW w:w="1418" w:type="dxa"/>
                  <w:shd w:val="clear" w:color="auto" w:fill="auto"/>
                  <w:noWrap w:val="0"/>
                  <w:vAlign w:val="center"/>
                </w:tcPr>
                <w:p w14:paraId="4078415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B050"/>
                      <w:sz w:val="21"/>
                      <w:szCs w:val="21"/>
                      <w:highlight w:val="none"/>
                      <w:u w:val="none"/>
                      <w:lang w:val="en-US"/>
                    </w:rPr>
                  </w:pPr>
                  <w:r>
                    <w:rPr>
                      <w:rFonts w:hint="eastAsia" w:cs="Times New Roman"/>
                      <w:i w:val="0"/>
                      <w:iCs w:val="0"/>
                      <w:color w:val="00B050"/>
                      <w:kern w:val="0"/>
                      <w:sz w:val="21"/>
                      <w:szCs w:val="21"/>
                      <w:highlight w:val="none"/>
                      <w:u w:val="none"/>
                      <w:lang w:val="en-US" w:eastAsia="zh-CN" w:bidi="ar"/>
                    </w:rPr>
                    <w:t>0.5102</w:t>
                  </w:r>
                </w:p>
              </w:tc>
              <w:tc>
                <w:tcPr>
                  <w:tcW w:w="1418" w:type="dxa"/>
                  <w:shd w:val="clear" w:color="auto" w:fill="auto"/>
                  <w:noWrap w:val="0"/>
                  <w:vAlign w:val="center"/>
                </w:tcPr>
                <w:p w14:paraId="290C696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B050"/>
                      <w:sz w:val="21"/>
                      <w:szCs w:val="21"/>
                      <w:highlight w:val="none"/>
                      <w:u w:val="none"/>
                      <w:lang w:val="en-US"/>
                    </w:rPr>
                  </w:pPr>
                  <w:r>
                    <w:rPr>
                      <w:rFonts w:hint="eastAsia" w:cs="Times New Roman"/>
                      <w:i w:val="0"/>
                      <w:iCs w:val="0"/>
                      <w:color w:val="00B050"/>
                      <w:kern w:val="0"/>
                      <w:sz w:val="21"/>
                      <w:szCs w:val="21"/>
                      <w:highlight w:val="none"/>
                      <w:u w:val="none"/>
                      <w:lang w:val="en-US" w:eastAsia="zh-CN" w:bidi="ar"/>
                    </w:rPr>
                    <w:t>1.3265</w:t>
                  </w:r>
                </w:p>
              </w:tc>
            </w:tr>
            <w:tr w14:paraId="3CC5E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1417" w:type="dxa"/>
                  <w:shd w:val="clear" w:color="auto" w:fill="auto"/>
                  <w:noWrap w:val="0"/>
                  <w:vAlign w:val="center"/>
                </w:tcPr>
                <w:p w14:paraId="50A8446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eastAsia" w:cs="Times New Roman"/>
                      <w:i w:val="0"/>
                      <w:iCs w:val="0"/>
                      <w:color w:val="00B050"/>
                      <w:kern w:val="0"/>
                      <w:sz w:val="21"/>
                      <w:szCs w:val="21"/>
                      <w:highlight w:val="none"/>
                      <w:u w:val="none"/>
                      <w:lang w:val="en-US" w:eastAsia="zh-CN" w:bidi="ar"/>
                    </w:rPr>
                    <w:t>三甲苯</w:t>
                  </w:r>
                </w:p>
              </w:tc>
              <w:tc>
                <w:tcPr>
                  <w:tcW w:w="1417" w:type="dxa"/>
                  <w:shd w:val="clear" w:color="auto" w:fill="auto"/>
                  <w:noWrap w:val="0"/>
                  <w:vAlign w:val="center"/>
                </w:tcPr>
                <w:p w14:paraId="4F2427CB">
                  <w:pPr>
                    <w:keepNext w:val="0"/>
                    <w:keepLines w:val="0"/>
                    <w:widowControl/>
                    <w:suppressLineNumbers w:val="0"/>
                    <w:jc w:val="center"/>
                    <w:textAlignment w:val="center"/>
                    <w:rPr>
                      <w:rFonts w:hint="eastAsia" w:cs="Times New Roman"/>
                      <w:i w:val="0"/>
                      <w:iCs w:val="0"/>
                      <w:color w:val="00B050"/>
                      <w:sz w:val="21"/>
                      <w:szCs w:val="21"/>
                      <w:highlight w:val="none"/>
                      <w:u w:val="none"/>
                      <w:lang w:val="en-US" w:eastAsia="zh-CN"/>
                    </w:rPr>
                  </w:pPr>
                  <w:r>
                    <w:rPr>
                      <w:rFonts w:hint="default" w:ascii="Times New Roman" w:hAnsi="Times New Roman" w:eastAsia="宋体" w:cs="Times New Roman"/>
                      <w:i w:val="0"/>
                      <w:iCs w:val="0"/>
                      <w:color w:val="00B050"/>
                      <w:kern w:val="0"/>
                      <w:sz w:val="21"/>
                      <w:szCs w:val="21"/>
                      <w:highlight w:val="none"/>
                      <w:u w:val="none"/>
                      <w:lang w:val="en-US" w:eastAsia="zh-CN" w:bidi="ar"/>
                    </w:rPr>
                    <w:t xml:space="preserve">0.0045 </w:t>
                  </w:r>
                </w:p>
              </w:tc>
              <w:tc>
                <w:tcPr>
                  <w:tcW w:w="1417" w:type="dxa"/>
                  <w:shd w:val="clear" w:color="auto" w:fill="auto"/>
                  <w:noWrap w:val="0"/>
                  <w:vAlign w:val="center"/>
                </w:tcPr>
                <w:p w14:paraId="6D0E5FAC">
                  <w:pPr>
                    <w:keepNext w:val="0"/>
                    <w:keepLines w:val="0"/>
                    <w:widowControl/>
                    <w:suppressLineNumbers w:val="0"/>
                    <w:jc w:val="center"/>
                    <w:textAlignment w:val="center"/>
                    <w:rPr>
                      <w:rFonts w:hint="eastAsia"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2"/>
                      <w:szCs w:val="22"/>
                      <w:highlight w:val="none"/>
                      <w:u w:val="none"/>
                      <w:lang w:val="en-US" w:eastAsia="zh-CN" w:bidi="ar"/>
                    </w:rPr>
                    <w:t xml:space="preserve">0.0036 </w:t>
                  </w:r>
                </w:p>
              </w:tc>
              <w:tc>
                <w:tcPr>
                  <w:tcW w:w="1417" w:type="dxa"/>
                  <w:shd w:val="clear" w:color="auto" w:fill="auto"/>
                  <w:noWrap w:val="0"/>
                  <w:vAlign w:val="center"/>
                </w:tcPr>
                <w:p w14:paraId="7FC97B42">
                  <w:pPr>
                    <w:keepNext w:val="0"/>
                    <w:keepLines w:val="0"/>
                    <w:widowControl/>
                    <w:suppressLineNumbers w:val="0"/>
                    <w:jc w:val="center"/>
                    <w:textAlignment w:val="center"/>
                    <w:rPr>
                      <w:rFonts w:hint="eastAsia"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2"/>
                      <w:szCs w:val="22"/>
                      <w:highlight w:val="none"/>
                      <w:u w:val="none"/>
                      <w:lang w:val="en-US" w:eastAsia="zh-CN" w:bidi="ar"/>
                    </w:rPr>
                    <w:t xml:space="preserve">0.0009 </w:t>
                  </w:r>
                </w:p>
              </w:tc>
              <w:tc>
                <w:tcPr>
                  <w:tcW w:w="1418" w:type="dxa"/>
                  <w:shd w:val="clear" w:color="auto" w:fill="auto"/>
                  <w:noWrap w:val="0"/>
                  <w:vAlign w:val="center"/>
                </w:tcPr>
                <w:p w14:paraId="67906F8C">
                  <w:pPr>
                    <w:keepNext w:val="0"/>
                    <w:keepLines w:val="0"/>
                    <w:widowControl/>
                    <w:suppressLineNumbers w:val="0"/>
                    <w:jc w:val="center"/>
                    <w:textAlignment w:val="center"/>
                    <w:rPr>
                      <w:rFonts w:hint="eastAsia"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2"/>
                      <w:szCs w:val="22"/>
                      <w:highlight w:val="none"/>
                      <w:u w:val="none"/>
                      <w:lang w:val="en-US" w:eastAsia="zh-CN" w:bidi="ar"/>
                    </w:rPr>
                    <w:t xml:space="preserve">0.0009 </w:t>
                  </w:r>
                </w:p>
              </w:tc>
              <w:tc>
                <w:tcPr>
                  <w:tcW w:w="1418" w:type="dxa"/>
                  <w:shd w:val="clear" w:color="auto" w:fill="auto"/>
                  <w:noWrap w:val="0"/>
                  <w:vAlign w:val="center"/>
                </w:tcPr>
                <w:p w14:paraId="4C16E995">
                  <w:pPr>
                    <w:keepNext w:val="0"/>
                    <w:keepLines w:val="0"/>
                    <w:widowControl/>
                    <w:suppressLineNumbers w:val="0"/>
                    <w:jc w:val="center"/>
                    <w:textAlignment w:val="center"/>
                    <w:rPr>
                      <w:rFonts w:hint="eastAsia" w:ascii="Times New Roman" w:hAnsi="Times New Roman" w:eastAsia="宋体" w:cs="Times New Roman"/>
                      <w:i w:val="0"/>
                      <w:iCs w:val="0"/>
                      <w:color w:val="00B050"/>
                      <w:kern w:val="2"/>
                      <w:sz w:val="22"/>
                      <w:szCs w:val="22"/>
                      <w:highlight w:val="none"/>
                      <w:u w:val="none"/>
                      <w:lang w:val="en-US" w:eastAsia="zh-CN" w:bidi="ar-SA"/>
                    </w:rPr>
                  </w:pPr>
                  <w:r>
                    <w:rPr>
                      <w:rFonts w:hint="default" w:ascii="Times New Roman" w:hAnsi="Times New Roman" w:eastAsia="宋体" w:cs="Times New Roman"/>
                      <w:i w:val="0"/>
                      <w:iCs w:val="0"/>
                      <w:color w:val="00B050"/>
                      <w:kern w:val="0"/>
                      <w:sz w:val="22"/>
                      <w:szCs w:val="22"/>
                      <w:highlight w:val="none"/>
                      <w:u w:val="none"/>
                      <w:lang w:val="en-US" w:eastAsia="zh-CN" w:bidi="ar"/>
                    </w:rPr>
                    <w:t xml:space="preserve">0.0027 </w:t>
                  </w:r>
                </w:p>
              </w:tc>
            </w:tr>
          </w:tbl>
          <w:p w14:paraId="6D73A827">
            <w:pPr>
              <w:pStyle w:val="49"/>
              <w:ind w:firstLine="0" w:firstLineChars="0"/>
              <w:rPr>
                <w:rFonts w:hint="default" w:ascii="Times New Roman" w:hAnsi="Times New Roman" w:cs="Times New Roman"/>
                <w:b/>
                <w:color w:val="00B050"/>
              </w:rPr>
            </w:pPr>
            <w:r>
              <w:rPr>
                <w:rFonts w:hint="default" w:ascii="Times New Roman" w:hAnsi="Times New Roman" w:cs="Times New Roman"/>
                <w:b/>
                <w:color w:val="00B050"/>
              </w:rPr>
              <w:t>4.2.1.3废气排放口基本情况</w:t>
            </w:r>
          </w:p>
          <w:p w14:paraId="67F95DA9">
            <w:pPr>
              <w:pStyle w:val="49"/>
              <w:ind w:firstLine="480"/>
              <w:rPr>
                <w:rFonts w:hint="default" w:ascii="Times New Roman" w:hAnsi="Times New Roman" w:cs="Times New Roman"/>
                <w:color w:val="00B050"/>
              </w:rPr>
            </w:pPr>
            <w:r>
              <w:rPr>
                <w:rFonts w:hint="default" w:ascii="Times New Roman" w:hAnsi="Times New Roman" w:cs="Times New Roman"/>
                <w:color w:val="00B050"/>
              </w:rPr>
              <w:t>本项目大气污染物有组织排放口基本情况详见表4.2-</w:t>
            </w:r>
            <w:r>
              <w:rPr>
                <w:rFonts w:hint="default" w:ascii="Times New Roman" w:hAnsi="Times New Roman" w:cs="Times New Roman"/>
                <w:color w:val="00B050"/>
                <w:lang w:val="en-US" w:eastAsia="zh-CN"/>
              </w:rPr>
              <w:t>9</w:t>
            </w:r>
            <w:r>
              <w:rPr>
                <w:rFonts w:hint="default" w:ascii="Times New Roman" w:hAnsi="Times New Roman" w:cs="Times New Roman"/>
                <w:color w:val="00B050"/>
              </w:rPr>
              <w:t>。</w:t>
            </w:r>
          </w:p>
          <w:p w14:paraId="6C18A1C6">
            <w:pPr>
              <w:pStyle w:val="245"/>
              <w:keepNext w:val="0"/>
              <w:keepLines w:val="0"/>
              <w:pageBreakBefore w:val="0"/>
              <w:widowControl w:val="0"/>
              <w:kinsoku/>
              <w:wordWrap/>
              <w:overflowPunct/>
              <w:topLinePunct w:val="0"/>
              <w:autoSpaceDE/>
              <w:autoSpaceDN/>
              <w:bidi w:val="0"/>
              <w:spacing w:line="240" w:lineRule="auto"/>
              <w:jc w:val="center"/>
              <w:rPr>
                <w:rFonts w:hint="default" w:ascii="Times New Roman" w:hAnsi="Times New Roman" w:cs="Times New Roman"/>
                <w:b/>
                <w:bCs/>
                <w:color w:val="00B050"/>
                <w:highlight w:val="none"/>
              </w:rPr>
            </w:pPr>
            <w:r>
              <w:rPr>
                <w:rFonts w:hint="default" w:ascii="Times New Roman" w:hAnsi="Times New Roman" w:cs="Times New Roman"/>
                <w:b/>
                <w:bCs/>
                <w:color w:val="00B050"/>
                <w:highlight w:val="none"/>
              </w:rPr>
              <w:t>表4.2-</w:t>
            </w:r>
            <w:r>
              <w:rPr>
                <w:rFonts w:hint="default" w:ascii="Times New Roman" w:hAnsi="Times New Roman" w:cs="Times New Roman"/>
                <w:b/>
                <w:bCs/>
                <w:color w:val="00B050"/>
                <w:highlight w:val="none"/>
                <w:lang w:val="en-US" w:eastAsia="zh-CN"/>
              </w:rPr>
              <w:t>9</w:t>
            </w:r>
            <w:r>
              <w:rPr>
                <w:rFonts w:hint="default" w:ascii="Times New Roman" w:hAnsi="Times New Roman" w:cs="Times New Roman"/>
                <w:b/>
                <w:bCs/>
                <w:color w:val="00B050"/>
                <w:highlight w:val="none"/>
              </w:rPr>
              <w:t xml:space="preserve">  大气排放口基本情况表</w:t>
            </w:r>
          </w:p>
          <w:tbl>
            <w:tblPr>
              <w:tblStyle w:val="35"/>
              <w:tblW w:w="88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
              <w:gridCol w:w="1593"/>
              <w:gridCol w:w="1613"/>
              <w:gridCol w:w="1031"/>
              <w:gridCol w:w="1331"/>
              <w:gridCol w:w="1013"/>
              <w:gridCol w:w="1362"/>
            </w:tblGrid>
            <w:tr w14:paraId="017EE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2" w:type="dxa"/>
                  <w:noWrap w:val="0"/>
                  <w:vAlign w:val="center"/>
                </w:tcPr>
                <w:p w14:paraId="473D8B42">
                  <w:pPr>
                    <w:pStyle w:val="247"/>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00B050"/>
                      <w:sz w:val="21"/>
                      <w:szCs w:val="21"/>
                      <w:highlight w:val="none"/>
                    </w:rPr>
                  </w:pPr>
                  <w:r>
                    <w:rPr>
                      <w:rFonts w:hint="default" w:ascii="Times New Roman" w:hAnsi="Times New Roman" w:eastAsia="宋体" w:cs="Times New Roman"/>
                      <w:b/>
                      <w:bCs/>
                      <w:color w:val="00B050"/>
                      <w:sz w:val="21"/>
                      <w:szCs w:val="21"/>
                      <w:highlight w:val="none"/>
                    </w:rPr>
                    <w:t>排放口编号</w:t>
                  </w:r>
                </w:p>
              </w:tc>
              <w:tc>
                <w:tcPr>
                  <w:tcW w:w="1593" w:type="dxa"/>
                  <w:noWrap w:val="0"/>
                  <w:vAlign w:val="center"/>
                </w:tcPr>
                <w:p w14:paraId="04051378">
                  <w:pPr>
                    <w:pStyle w:val="247"/>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00B050"/>
                      <w:sz w:val="21"/>
                      <w:szCs w:val="21"/>
                      <w:highlight w:val="none"/>
                    </w:rPr>
                  </w:pPr>
                  <w:r>
                    <w:rPr>
                      <w:rFonts w:hint="default" w:ascii="Times New Roman" w:hAnsi="Times New Roman" w:eastAsia="宋体" w:cs="Times New Roman"/>
                      <w:b/>
                      <w:bCs/>
                      <w:color w:val="00B050"/>
                      <w:sz w:val="21"/>
                      <w:szCs w:val="21"/>
                      <w:highlight w:val="none"/>
                    </w:rPr>
                    <w:t>经度</w:t>
                  </w:r>
                </w:p>
              </w:tc>
              <w:tc>
                <w:tcPr>
                  <w:tcW w:w="1613" w:type="dxa"/>
                  <w:noWrap w:val="0"/>
                  <w:vAlign w:val="center"/>
                </w:tcPr>
                <w:p w14:paraId="60BA388F">
                  <w:pPr>
                    <w:pStyle w:val="247"/>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00B050"/>
                      <w:sz w:val="21"/>
                      <w:szCs w:val="21"/>
                      <w:highlight w:val="none"/>
                    </w:rPr>
                  </w:pPr>
                  <w:r>
                    <w:rPr>
                      <w:rFonts w:hint="default" w:ascii="Times New Roman" w:hAnsi="Times New Roman" w:eastAsia="宋体" w:cs="Times New Roman"/>
                      <w:b/>
                      <w:bCs/>
                      <w:color w:val="00B050"/>
                      <w:sz w:val="21"/>
                      <w:szCs w:val="21"/>
                      <w:highlight w:val="none"/>
                    </w:rPr>
                    <w:t>纬度</w:t>
                  </w:r>
                </w:p>
              </w:tc>
              <w:tc>
                <w:tcPr>
                  <w:tcW w:w="1031" w:type="dxa"/>
                  <w:noWrap w:val="0"/>
                  <w:vAlign w:val="center"/>
                </w:tcPr>
                <w:p w14:paraId="26CC8CD6">
                  <w:pPr>
                    <w:pStyle w:val="247"/>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00B050"/>
                      <w:sz w:val="21"/>
                      <w:szCs w:val="21"/>
                      <w:highlight w:val="none"/>
                    </w:rPr>
                  </w:pPr>
                  <w:r>
                    <w:rPr>
                      <w:rFonts w:hint="default" w:ascii="Times New Roman" w:hAnsi="Times New Roman" w:eastAsia="宋体" w:cs="Times New Roman"/>
                      <w:b/>
                      <w:bCs/>
                      <w:color w:val="00B050"/>
                      <w:sz w:val="21"/>
                      <w:szCs w:val="21"/>
                      <w:highlight w:val="none"/>
                    </w:rPr>
                    <w:t>排气筒高度（m）</w:t>
                  </w:r>
                </w:p>
              </w:tc>
              <w:tc>
                <w:tcPr>
                  <w:tcW w:w="1331" w:type="dxa"/>
                  <w:noWrap w:val="0"/>
                  <w:vAlign w:val="center"/>
                </w:tcPr>
                <w:p w14:paraId="0AA311A7">
                  <w:pPr>
                    <w:pStyle w:val="247"/>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00B050"/>
                      <w:sz w:val="21"/>
                      <w:szCs w:val="21"/>
                      <w:highlight w:val="none"/>
                    </w:rPr>
                  </w:pPr>
                  <w:r>
                    <w:rPr>
                      <w:rFonts w:hint="default" w:ascii="Times New Roman" w:hAnsi="Times New Roman" w:eastAsia="宋体" w:cs="Times New Roman"/>
                      <w:b/>
                      <w:bCs/>
                      <w:color w:val="00B050"/>
                      <w:sz w:val="21"/>
                      <w:szCs w:val="21"/>
                      <w:highlight w:val="none"/>
                    </w:rPr>
                    <w:t>排气筒出口内径（m）</w:t>
                  </w:r>
                </w:p>
              </w:tc>
              <w:tc>
                <w:tcPr>
                  <w:tcW w:w="1013" w:type="dxa"/>
                  <w:noWrap w:val="0"/>
                  <w:vAlign w:val="center"/>
                </w:tcPr>
                <w:p w14:paraId="25A18214">
                  <w:pPr>
                    <w:pStyle w:val="247"/>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00B050"/>
                      <w:sz w:val="21"/>
                      <w:szCs w:val="21"/>
                      <w:highlight w:val="none"/>
                    </w:rPr>
                  </w:pPr>
                  <w:r>
                    <w:rPr>
                      <w:rFonts w:hint="default" w:ascii="Times New Roman" w:hAnsi="Times New Roman" w:eastAsia="宋体" w:cs="Times New Roman"/>
                      <w:b/>
                      <w:bCs/>
                      <w:color w:val="00B050"/>
                      <w:sz w:val="21"/>
                      <w:szCs w:val="21"/>
                      <w:highlight w:val="none"/>
                    </w:rPr>
                    <w:t>排气温度（℃）</w:t>
                  </w:r>
                </w:p>
              </w:tc>
              <w:tc>
                <w:tcPr>
                  <w:tcW w:w="1362" w:type="dxa"/>
                  <w:noWrap w:val="0"/>
                  <w:vAlign w:val="center"/>
                </w:tcPr>
                <w:p w14:paraId="1EED0808">
                  <w:pPr>
                    <w:pStyle w:val="247"/>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b/>
                      <w:bCs/>
                      <w:color w:val="00B050"/>
                      <w:sz w:val="21"/>
                      <w:szCs w:val="21"/>
                      <w:highlight w:val="none"/>
                    </w:rPr>
                  </w:pPr>
                  <w:r>
                    <w:rPr>
                      <w:rFonts w:hint="default" w:ascii="Times New Roman" w:hAnsi="Times New Roman" w:eastAsia="宋体" w:cs="Times New Roman"/>
                      <w:b/>
                      <w:bCs/>
                      <w:color w:val="00B050"/>
                      <w:sz w:val="21"/>
                      <w:szCs w:val="21"/>
                      <w:highlight w:val="none"/>
                    </w:rPr>
                    <w:t>排放口类型</w:t>
                  </w:r>
                </w:p>
              </w:tc>
            </w:tr>
            <w:tr w14:paraId="7AD16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2" w:type="dxa"/>
                  <w:noWrap w:val="0"/>
                  <w:vAlign w:val="center"/>
                </w:tcPr>
                <w:p w14:paraId="07BBEE70">
                  <w:pPr>
                    <w:pStyle w:val="247"/>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B050"/>
                      <w:sz w:val="21"/>
                      <w:szCs w:val="21"/>
                      <w:highlight w:val="none"/>
                      <w:lang w:val="en-US" w:eastAsia="zh-CN"/>
                    </w:rPr>
                  </w:pPr>
                  <w:r>
                    <w:rPr>
                      <w:rFonts w:hint="default" w:ascii="Times New Roman" w:hAnsi="Times New Roman" w:eastAsia="宋体" w:cs="Times New Roman"/>
                      <w:color w:val="00B050"/>
                      <w:sz w:val="21"/>
                      <w:szCs w:val="21"/>
                      <w:highlight w:val="none"/>
                      <w:lang w:val="en-US" w:eastAsia="zh-CN"/>
                    </w:rPr>
                    <w:t>DA001</w:t>
                  </w:r>
                </w:p>
              </w:tc>
              <w:tc>
                <w:tcPr>
                  <w:tcW w:w="1593" w:type="dxa"/>
                  <w:noWrap w:val="0"/>
                  <w:vAlign w:val="center"/>
                </w:tcPr>
                <w:p w14:paraId="6DEA0A9E">
                  <w:pPr>
                    <w:pStyle w:val="49"/>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B050"/>
                      <w:sz w:val="21"/>
                      <w:szCs w:val="21"/>
                      <w:highlight w:val="none"/>
                      <w:lang w:val="en-US" w:eastAsia="zh-CN"/>
                    </w:rPr>
                  </w:pPr>
                  <w:r>
                    <w:rPr>
                      <w:rFonts w:hint="default" w:ascii="Times New Roman" w:hAnsi="Times New Roman" w:cs="Times New Roman"/>
                      <w:color w:val="00B050"/>
                      <w:sz w:val="21"/>
                      <w:szCs w:val="21"/>
                    </w:rPr>
                    <w:t>107°14′53.709″</w:t>
                  </w:r>
                </w:p>
              </w:tc>
              <w:tc>
                <w:tcPr>
                  <w:tcW w:w="1613" w:type="dxa"/>
                  <w:noWrap w:val="0"/>
                  <w:vAlign w:val="center"/>
                </w:tcPr>
                <w:p w14:paraId="3AEA79C2">
                  <w:pPr>
                    <w:pStyle w:val="49"/>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B050"/>
                      <w:sz w:val="21"/>
                      <w:szCs w:val="21"/>
                      <w:highlight w:val="none"/>
                      <w:lang w:val="en-US" w:eastAsia="zh-CN"/>
                    </w:rPr>
                  </w:pPr>
                  <w:r>
                    <w:rPr>
                      <w:rFonts w:hint="default" w:ascii="Times New Roman" w:hAnsi="Times New Roman" w:cs="Times New Roman"/>
                      <w:color w:val="00B050"/>
                      <w:sz w:val="21"/>
                      <w:szCs w:val="21"/>
                    </w:rPr>
                    <w:t>30°43′35.78</w:t>
                  </w:r>
                  <w:r>
                    <w:rPr>
                      <w:rFonts w:hint="default" w:ascii="Times New Roman" w:hAnsi="Times New Roman" w:cs="Times New Roman"/>
                      <w:color w:val="00B050"/>
                      <w:sz w:val="21"/>
                      <w:szCs w:val="21"/>
                      <w:lang w:val="en-US" w:eastAsia="zh-CN"/>
                    </w:rPr>
                    <w:t>7</w:t>
                  </w:r>
                  <w:r>
                    <w:rPr>
                      <w:rFonts w:hint="default" w:ascii="Times New Roman" w:hAnsi="Times New Roman" w:cs="Times New Roman"/>
                      <w:color w:val="00B050"/>
                      <w:sz w:val="21"/>
                      <w:szCs w:val="21"/>
                    </w:rPr>
                    <w:t xml:space="preserve">″ </w:t>
                  </w:r>
                </w:p>
              </w:tc>
              <w:tc>
                <w:tcPr>
                  <w:tcW w:w="1031" w:type="dxa"/>
                  <w:noWrap w:val="0"/>
                  <w:vAlign w:val="center"/>
                </w:tcPr>
                <w:p w14:paraId="75CD37C3">
                  <w:pPr>
                    <w:pStyle w:val="247"/>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B050"/>
                      <w:sz w:val="21"/>
                      <w:szCs w:val="21"/>
                      <w:highlight w:val="none"/>
                      <w:lang w:val="en-US" w:eastAsia="zh-CN"/>
                    </w:rPr>
                  </w:pPr>
                  <w:r>
                    <w:rPr>
                      <w:rFonts w:hint="eastAsia" w:ascii="Times New Roman" w:eastAsia="宋体" w:cs="Times New Roman"/>
                      <w:color w:val="00B050"/>
                      <w:sz w:val="21"/>
                      <w:szCs w:val="21"/>
                      <w:highlight w:val="none"/>
                      <w:lang w:val="en-US" w:eastAsia="zh-CN"/>
                    </w:rPr>
                    <w:t>32</w:t>
                  </w:r>
                </w:p>
              </w:tc>
              <w:tc>
                <w:tcPr>
                  <w:tcW w:w="1331" w:type="dxa"/>
                  <w:noWrap w:val="0"/>
                  <w:vAlign w:val="center"/>
                </w:tcPr>
                <w:p w14:paraId="0FAA1DA4">
                  <w:pPr>
                    <w:pStyle w:val="247"/>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B050"/>
                      <w:sz w:val="21"/>
                      <w:szCs w:val="21"/>
                      <w:highlight w:val="none"/>
                      <w:lang w:val="en-US" w:eastAsia="zh-CN"/>
                    </w:rPr>
                  </w:pPr>
                  <w:r>
                    <w:rPr>
                      <w:rFonts w:hint="default" w:ascii="Times New Roman" w:hAnsi="Times New Roman" w:eastAsia="宋体" w:cs="Times New Roman"/>
                      <w:color w:val="00B050"/>
                      <w:sz w:val="21"/>
                      <w:szCs w:val="21"/>
                      <w:highlight w:val="none"/>
                      <w:lang w:val="en-US" w:eastAsia="zh-CN"/>
                    </w:rPr>
                    <w:t>0.</w:t>
                  </w:r>
                  <w:r>
                    <w:rPr>
                      <w:rFonts w:hint="eastAsia" w:ascii="Times New Roman" w:eastAsia="宋体" w:cs="Times New Roman"/>
                      <w:color w:val="00B050"/>
                      <w:sz w:val="21"/>
                      <w:szCs w:val="21"/>
                      <w:highlight w:val="none"/>
                      <w:lang w:val="en-US" w:eastAsia="zh-CN"/>
                    </w:rPr>
                    <w:t>3</w:t>
                  </w:r>
                </w:p>
              </w:tc>
              <w:tc>
                <w:tcPr>
                  <w:tcW w:w="1013" w:type="dxa"/>
                  <w:noWrap w:val="0"/>
                  <w:vAlign w:val="center"/>
                </w:tcPr>
                <w:p w14:paraId="506AEB6C">
                  <w:pPr>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color w:val="00B050"/>
                      <w:szCs w:val="21"/>
                      <w:highlight w:val="none"/>
                    </w:rPr>
                  </w:pPr>
                  <w:r>
                    <w:rPr>
                      <w:rFonts w:hint="default" w:ascii="Times New Roman" w:hAnsi="Times New Roman" w:eastAsia="宋体" w:cs="Times New Roman"/>
                      <w:color w:val="00B050"/>
                      <w:sz w:val="21"/>
                      <w:szCs w:val="21"/>
                      <w:highlight w:val="none"/>
                    </w:rPr>
                    <w:t>常温</w:t>
                  </w:r>
                </w:p>
              </w:tc>
              <w:tc>
                <w:tcPr>
                  <w:tcW w:w="1362" w:type="dxa"/>
                  <w:noWrap w:val="0"/>
                  <w:vAlign w:val="center"/>
                </w:tcPr>
                <w:p w14:paraId="2FE41ADA">
                  <w:pPr>
                    <w:pStyle w:val="247"/>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B050"/>
                      <w:sz w:val="21"/>
                      <w:szCs w:val="21"/>
                      <w:highlight w:val="none"/>
                    </w:rPr>
                  </w:pPr>
                  <w:r>
                    <w:rPr>
                      <w:rFonts w:hint="default" w:ascii="Times New Roman" w:hAnsi="Times New Roman" w:eastAsia="宋体" w:cs="Times New Roman"/>
                      <w:color w:val="00B050"/>
                      <w:sz w:val="21"/>
                      <w:szCs w:val="21"/>
                      <w:highlight w:val="none"/>
                    </w:rPr>
                    <w:t>一般排放口</w:t>
                  </w:r>
                </w:p>
              </w:tc>
            </w:tr>
            <w:tr w14:paraId="4CCF4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92" w:type="dxa"/>
                  <w:noWrap w:val="0"/>
                  <w:vAlign w:val="center"/>
                </w:tcPr>
                <w:p w14:paraId="12DD03C5">
                  <w:pPr>
                    <w:pStyle w:val="247"/>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B050"/>
                      <w:sz w:val="21"/>
                      <w:szCs w:val="21"/>
                      <w:highlight w:val="none"/>
                      <w:lang w:val="en-US" w:eastAsia="zh-CN"/>
                    </w:rPr>
                  </w:pPr>
                  <w:r>
                    <w:rPr>
                      <w:rFonts w:hint="default" w:ascii="Times New Roman" w:hAnsi="Times New Roman" w:eastAsia="宋体" w:cs="Times New Roman"/>
                      <w:color w:val="00B050"/>
                      <w:sz w:val="21"/>
                      <w:szCs w:val="21"/>
                      <w:highlight w:val="none"/>
                      <w:lang w:val="en-US" w:eastAsia="zh-CN"/>
                    </w:rPr>
                    <w:t>DA002</w:t>
                  </w:r>
                </w:p>
              </w:tc>
              <w:tc>
                <w:tcPr>
                  <w:tcW w:w="1593" w:type="dxa"/>
                  <w:noWrap w:val="0"/>
                  <w:vAlign w:val="center"/>
                </w:tcPr>
                <w:p w14:paraId="0577FAF7">
                  <w:pPr>
                    <w:pStyle w:val="247"/>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B050"/>
                      <w:sz w:val="21"/>
                      <w:szCs w:val="21"/>
                      <w:highlight w:val="none"/>
                      <w:lang w:val="en-US" w:eastAsia="zh-CN"/>
                    </w:rPr>
                  </w:pPr>
                  <w:r>
                    <w:rPr>
                      <w:rFonts w:hint="default" w:ascii="Times New Roman" w:hAnsi="Times New Roman" w:eastAsia="宋体" w:cs="Times New Roman"/>
                      <w:color w:val="00B050"/>
                      <w:sz w:val="21"/>
                      <w:szCs w:val="21"/>
                      <w:highlight w:val="none"/>
                      <w:lang w:val="en-US" w:eastAsia="zh-CN"/>
                    </w:rPr>
                    <w:t>107°14′55.789″</w:t>
                  </w:r>
                </w:p>
              </w:tc>
              <w:tc>
                <w:tcPr>
                  <w:tcW w:w="1613" w:type="dxa"/>
                  <w:noWrap w:val="0"/>
                  <w:vAlign w:val="center"/>
                </w:tcPr>
                <w:p w14:paraId="166AB009">
                  <w:pPr>
                    <w:pStyle w:val="247"/>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B050"/>
                      <w:sz w:val="21"/>
                      <w:szCs w:val="21"/>
                      <w:highlight w:val="none"/>
                      <w:lang w:val="en-US" w:eastAsia="zh-CN"/>
                    </w:rPr>
                  </w:pPr>
                  <w:r>
                    <w:rPr>
                      <w:rFonts w:hint="default" w:ascii="Times New Roman" w:hAnsi="Times New Roman" w:eastAsia="宋体" w:cs="Times New Roman"/>
                      <w:color w:val="00B050"/>
                      <w:sz w:val="21"/>
                      <w:szCs w:val="21"/>
                      <w:highlight w:val="none"/>
                      <w:lang w:val="en-US" w:eastAsia="zh-CN"/>
                    </w:rPr>
                    <w:t>30°43′35.864″</w:t>
                  </w:r>
                </w:p>
              </w:tc>
              <w:tc>
                <w:tcPr>
                  <w:tcW w:w="1031" w:type="dxa"/>
                  <w:noWrap w:val="0"/>
                  <w:vAlign w:val="center"/>
                </w:tcPr>
                <w:p w14:paraId="2092BE83">
                  <w:pPr>
                    <w:pStyle w:val="247"/>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B050"/>
                      <w:kern w:val="2"/>
                      <w:sz w:val="21"/>
                      <w:szCs w:val="21"/>
                      <w:highlight w:val="none"/>
                      <w:lang w:val="en-US" w:eastAsia="zh-CN" w:bidi="ar-SA"/>
                    </w:rPr>
                  </w:pPr>
                  <w:r>
                    <w:rPr>
                      <w:rFonts w:hint="eastAsia" w:ascii="Times New Roman" w:eastAsia="宋体" w:cs="Times New Roman"/>
                      <w:color w:val="00B050"/>
                      <w:kern w:val="2"/>
                      <w:sz w:val="21"/>
                      <w:szCs w:val="21"/>
                      <w:highlight w:val="none"/>
                      <w:lang w:val="en-US" w:eastAsia="zh-CN" w:bidi="ar-SA"/>
                    </w:rPr>
                    <w:t>32</w:t>
                  </w:r>
                </w:p>
              </w:tc>
              <w:tc>
                <w:tcPr>
                  <w:tcW w:w="1331" w:type="dxa"/>
                  <w:noWrap w:val="0"/>
                  <w:vAlign w:val="center"/>
                </w:tcPr>
                <w:p w14:paraId="6272FB8E">
                  <w:pPr>
                    <w:pStyle w:val="247"/>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B050"/>
                      <w:sz w:val="21"/>
                      <w:szCs w:val="21"/>
                      <w:highlight w:val="none"/>
                      <w:lang w:val="en-US" w:eastAsia="zh-CN"/>
                    </w:rPr>
                  </w:pPr>
                  <w:r>
                    <w:rPr>
                      <w:rFonts w:hint="default" w:ascii="Times New Roman" w:hAnsi="Times New Roman" w:eastAsia="宋体" w:cs="Times New Roman"/>
                      <w:color w:val="00B050"/>
                      <w:sz w:val="21"/>
                      <w:szCs w:val="21"/>
                      <w:highlight w:val="none"/>
                      <w:lang w:val="en-US" w:eastAsia="zh-CN"/>
                    </w:rPr>
                    <w:t>0.</w:t>
                  </w:r>
                  <w:r>
                    <w:rPr>
                      <w:rFonts w:hint="eastAsia" w:ascii="Times New Roman" w:eastAsia="宋体" w:cs="Times New Roman"/>
                      <w:color w:val="00B050"/>
                      <w:sz w:val="21"/>
                      <w:szCs w:val="21"/>
                      <w:highlight w:val="none"/>
                      <w:lang w:val="en-US" w:eastAsia="zh-CN"/>
                    </w:rPr>
                    <w:t>3</w:t>
                  </w:r>
                </w:p>
              </w:tc>
              <w:tc>
                <w:tcPr>
                  <w:tcW w:w="1013" w:type="dxa"/>
                  <w:noWrap w:val="0"/>
                  <w:vAlign w:val="center"/>
                </w:tcPr>
                <w:p w14:paraId="734EC31E">
                  <w:pPr>
                    <w:pStyle w:val="247"/>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B050"/>
                      <w:sz w:val="21"/>
                      <w:szCs w:val="21"/>
                      <w:highlight w:val="none"/>
                    </w:rPr>
                  </w:pPr>
                  <w:r>
                    <w:rPr>
                      <w:rFonts w:hint="default" w:ascii="Times New Roman" w:hAnsi="Times New Roman" w:eastAsia="宋体" w:cs="Times New Roman"/>
                      <w:color w:val="00B050"/>
                      <w:sz w:val="21"/>
                      <w:szCs w:val="21"/>
                      <w:highlight w:val="none"/>
                    </w:rPr>
                    <w:t>常温</w:t>
                  </w:r>
                </w:p>
              </w:tc>
              <w:tc>
                <w:tcPr>
                  <w:tcW w:w="1362" w:type="dxa"/>
                  <w:noWrap w:val="0"/>
                  <w:vAlign w:val="center"/>
                </w:tcPr>
                <w:p w14:paraId="07879E40">
                  <w:pPr>
                    <w:pStyle w:val="247"/>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00B050"/>
                      <w:sz w:val="21"/>
                      <w:szCs w:val="21"/>
                      <w:highlight w:val="none"/>
                    </w:rPr>
                  </w:pPr>
                  <w:r>
                    <w:rPr>
                      <w:rFonts w:hint="default" w:ascii="Times New Roman" w:hAnsi="Times New Roman" w:eastAsia="宋体" w:cs="Times New Roman"/>
                      <w:color w:val="00B050"/>
                      <w:sz w:val="21"/>
                      <w:szCs w:val="21"/>
                      <w:highlight w:val="none"/>
                    </w:rPr>
                    <w:t>一般排放口</w:t>
                  </w:r>
                </w:p>
              </w:tc>
            </w:tr>
          </w:tbl>
          <w:p w14:paraId="6CCC71A8">
            <w:pPr>
              <w:pStyle w:val="49"/>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b/>
                <w:color w:val="00B050"/>
              </w:rPr>
            </w:pPr>
            <w:r>
              <w:rPr>
                <w:rFonts w:hint="default" w:ascii="Times New Roman" w:hAnsi="Times New Roman" w:cs="Times New Roman"/>
                <w:b/>
                <w:color w:val="00B050"/>
              </w:rPr>
              <w:t>4.2.1.4废气治理设施达标排放分析</w:t>
            </w:r>
          </w:p>
          <w:p w14:paraId="0FBAA4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B050"/>
                <w:sz w:val="24"/>
              </w:rPr>
            </w:pPr>
            <w:r>
              <w:rPr>
                <w:rFonts w:hint="default" w:ascii="Times New Roman" w:hAnsi="Times New Roman" w:cs="Times New Roman"/>
                <w:color w:val="00B050"/>
                <w:sz w:val="24"/>
              </w:rPr>
              <w:t>（1）废气达标排放分析</w:t>
            </w:r>
          </w:p>
          <w:p w14:paraId="123BC0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bCs/>
                <w:color w:val="00B050"/>
                <w:sz w:val="24"/>
              </w:rPr>
            </w:pPr>
            <w:r>
              <w:rPr>
                <w:rFonts w:hint="default" w:ascii="Times New Roman" w:hAnsi="Times New Roman" w:cs="Times New Roman"/>
                <w:color w:val="00B050"/>
                <w:sz w:val="24"/>
              </w:rPr>
              <w:t>本项目废气排放口达标排放情况（正常排放）详见表4.2-</w:t>
            </w:r>
            <w:r>
              <w:rPr>
                <w:rFonts w:hint="default" w:ascii="Times New Roman" w:hAnsi="Times New Roman" w:cs="Times New Roman"/>
                <w:color w:val="00B050"/>
                <w:sz w:val="24"/>
                <w:lang w:val="en-US" w:eastAsia="zh-CN"/>
              </w:rPr>
              <w:t>10</w:t>
            </w:r>
            <w:r>
              <w:rPr>
                <w:rFonts w:hint="default" w:ascii="Times New Roman" w:hAnsi="Times New Roman" w:cs="Times New Roman"/>
                <w:color w:val="00B050"/>
                <w:sz w:val="24"/>
              </w:rPr>
              <w:t>。</w:t>
            </w:r>
          </w:p>
          <w:p w14:paraId="71E6F132">
            <w:pPr>
              <w:pStyle w:val="49"/>
              <w:keepNext w:val="0"/>
              <w:keepLines w:val="0"/>
              <w:pageBreakBefore w:val="0"/>
              <w:widowControl w:val="0"/>
              <w:kinsoku/>
              <w:wordWrap/>
              <w:overflowPunct/>
              <w:topLinePunct w:val="0"/>
              <w:autoSpaceDE/>
              <w:autoSpaceDN/>
              <w:bidi w:val="0"/>
              <w:spacing w:line="240" w:lineRule="auto"/>
              <w:ind w:firstLine="0" w:firstLineChars="0"/>
              <w:jc w:val="center"/>
              <w:rPr>
                <w:rFonts w:hint="default" w:ascii="Times New Roman" w:hAnsi="Times New Roman" w:cs="Times New Roman"/>
                <w:b/>
                <w:bCs/>
                <w:color w:val="00B050"/>
                <w:szCs w:val="24"/>
              </w:rPr>
            </w:pPr>
            <w:r>
              <w:rPr>
                <w:rFonts w:hint="default" w:ascii="Times New Roman" w:hAnsi="Times New Roman" w:cs="Times New Roman"/>
                <w:b/>
                <w:bCs/>
                <w:color w:val="00B050"/>
                <w:szCs w:val="24"/>
              </w:rPr>
              <w:t>表4.2-</w:t>
            </w:r>
            <w:r>
              <w:rPr>
                <w:rFonts w:hint="default" w:ascii="Times New Roman" w:hAnsi="Times New Roman" w:cs="Times New Roman"/>
                <w:b/>
                <w:bCs/>
                <w:color w:val="00B050"/>
                <w:szCs w:val="24"/>
                <w:lang w:val="en-US" w:eastAsia="zh-CN"/>
              </w:rPr>
              <w:t>10</w:t>
            </w:r>
            <w:r>
              <w:rPr>
                <w:rFonts w:hint="default" w:ascii="Times New Roman" w:hAnsi="Times New Roman" w:cs="Times New Roman"/>
                <w:b/>
                <w:bCs/>
                <w:color w:val="00B050"/>
                <w:szCs w:val="24"/>
              </w:rPr>
              <w:t xml:space="preserve">  本项目废气排放口达标排放分析表</w:t>
            </w:r>
          </w:p>
          <w:tbl>
            <w:tblPr>
              <w:tblStyle w:val="3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723"/>
              <w:gridCol w:w="1282"/>
              <w:gridCol w:w="888"/>
              <w:gridCol w:w="801"/>
              <w:gridCol w:w="3473"/>
              <w:gridCol w:w="644"/>
            </w:tblGrid>
            <w:tr w14:paraId="43E1B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93" w:type="dxa"/>
                  <w:vMerge w:val="restart"/>
                  <w:noWrap w:val="0"/>
                  <w:vAlign w:val="center"/>
                </w:tcPr>
                <w:p w14:paraId="0CBEF275">
                  <w:pPr>
                    <w:keepNext w:val="0"/>
                    <w:keepLines w:val="0"/>
                    <w:widowControl/>
                    <w:suppressLineNumbers w:val="0"/>
                    <w:jc w:val="both"/>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废气排放口编号</w:t>
                  </w:r>
                </w:p>
              </w:tc>
              <w:tc>
                <w:tcPr>
                  <w:tcW w:w="723" w:type="dxa"/>
                  <w:vMerge w:val="restart"/>
                  <w:noWrap w:val="0"/>
                  <w:vAlign w:val="center"/>
                </w:tcPr>
                <w:p w14:paraId="1F160FC5">
                  <w:pPr>
                    <w:keepNext w:val="0"/>
                    <w:keepLines w:val="0"/>
                    <w:widowControl/>
                    <w:suppressLineNumbers w:val="0"/>
                    <w:jc w:val="both"/>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废气排放量</w:t>
                  </w:r>
                  <w:r>
                    <w:rPr>
                      <w:rFonts w:hint="default" w:ascii="Times New Roman" w:hAnsi="Times New Roman" w:eastAsia="宋体" w:cs="Times New Roman"/>
                      <w:i w:val="0"/>
                      <w:iCs w:val="0"/>
                      <w:color w:val="00B050"/>
                      <w:kern w:val="0"/>
                      <w:sz w:val="21"/>
                      <w:szCs w:val="21"/>
                      <w:u w:val="none"/>
                      <w:lang w:val="en-US" w:eastAsia="zh-CN" w:bidi="ar"/>
                    </w:rPr>
                    <w:t>m</w:t>
                  </w:r>
                  <w:r>
                    <w:rPr>
                      <w:rFonts w:hint="default" w:ascii="Times New Roman" w:hAnsi="Times New Roman" w:eastAsia="宋体" w:cs="Times New Roman"/>
                      <w:i w:val="0"/>
                      <w:iCs w:val="0"/>
                      <w:color w:val="00B050"/>
                      <w:kern w:val="0"/>
                      <w:sz w:val="21"/>
                      <w:szCs w:val="21"/>
                      <w:u w:val="none"/>
                      <w:vertAlign w:val="superscript"/>
                      <w:lang w:val="en-US" w:eastAsia="zh-CN" w:bidi="ar"/>
                    </w:rPr>
                    <w:t>3</w:t>
                  </w:r>
                  <w:r>
                    <w:rPr>
                      <w:rFonts w:hint="default" w:ascii="Times New Roman" w:hAnsi="Times New Roman" w:eastAsia="宋体" w:cs="Times New Roman"/>
                      <w:i w:val="0"/>
                      <w:iCs w:val="0"/>
                      <w:color w:val="00B050"/>
                      <w:kern w:val="0"/>
                      <w:sz w:val="21"/>
                      <w:szCs w:val="21"/>
                      <w:u w:val="none"/>
                      <w:lang w:val="en-US" w:eastAsia="zh-CN" w:bidi="ar"/>
                    </w:rPr>
                    <w:t>/h</w:t>
                  </w:r>
                </w:p>
              </w:tc>
              <w:tc>
                <w:tcPr>
                  <w:tcW w:w="2170" w:type="dxa"/>
                  <w:gridSpan w:val="2"/>
                  <w:noWrap w:val="0"/>
                  <w:vAlign w:val="center"/>
                </w:tcPr>
                <w:p w14:paraId="435BBD8A">
                  <w:pPr>
                    <w:keepNext w:val="0"/>
                    <w:keepLines w:val="0"/>
                    <w:widowControl/>
                    <w:suppressLineNumbers w:val="0"/>
                    <w:jc w:val="both"/>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排放情况</w:t>
                  </w:r>
                </w:p>
              </w:tc>
              <w:tc>
                <w:tcPr>
                  <w:tcW w:w="4274" w:type="dxa"/>
                  <w:gridSpan w:val="2"/>
                  <w:noWrap w:val="0"/>
                  <w:vAlign w:val="center"/>
                </w:tcPr>
                <w:p w14:paraId="50D6740E">
                  <w:pPr>
                    <w:keepNext w:val="0"/>
                    <w:keepLines w:val="0"/>
                    <w:widowControl/>
                    <w:suppressLineNumbers w:val="0"/>
                    <w:jc w:val="both"/>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排放标准</w:t>
                  </w:r>
                </w:p>
              </w:tc>
              <w:tc>
                <w:tcPr>
                  <w:tcW w:w="644" w:type="dxa"/>
                  <w:vMerge w:val="restart"/>
                  <w:noWrap w:val="0"/>
                  <w:vAlign w:val="center"/>
                </w:tcPr>
                <w:p w14:paraId="784B213E">
                  <w:pPr>
                    <w:keepNext w:val="0"/>
                    <w:keepLines w:val="0"/>
                    <w:widowControl/>
                    <w:suppressLineNumbers w:val="0"/>
                    <w:jc w:val="both"/>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达标情况</w:t>
                  </w:r>
                </w:p>
              </w:tc>
            </w:tr>
            <w:tr w14:paraId="6B32D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3" w:type="dxa"/>
                  <w:vMerge w:val="continue"/>
                  <w:noWrap w:val="0"/>
                  <w:vAlign w:val="center"/>
                </w:tcPr>
                <w:p w14:paraId="5E08CAE0">
                  <w:pPr>
                    <w:jc w:val="both"/>
                    <w:rPr>
                      <w:rFonts w:hint="default" w:ascii="Times New Roman" w:hAnsi="Times New Roman" w:eastAsia="宋体" w:cs="Times New Roman"/>
                      <w:i w:val="0"/>
                      <w:iCs w:val="0"/>
                      <w:color w:val="00B050"/>
                      <w:sz w:val="21"/>
                      <w:szCs w:val="21"/>
                      <w:u w:val="none"/>
                    </w:rPr>
                  </w:pPr>
                </w:p>
              </w:tc>
              <w:tc>
                <w:tcPr>
                  <w:tcW w:w="723" w:type="dxa"/>
                  <w:vMerge w:val="continue"/>
                  <w:noWrap w:val="0"/>
                  <w:vAlign w:val="center"/>
                </w:tcPr>
                <w:p w14:paraId="427BC15F">
                  <w:pPr>
                    <w:jc w:val="both"/>
                    <w:rPr>
                      <w:rFonts w:hint="default" w:ascii="Times New Roman" w:hAnsi="Times New Roman" w:eastAsia="宋体" w:cs="Times New Roman"/>
                      <w:i w:val="0"/>
                      <w:iCs w:val="0"/>
                      <w:color w:val="00B050"/>
                      <w:sz w:val="21"/>
                      <w:szCs w:val="21"/>
                      <w:u w:val="none"/>
                    </w:rPr>
                  </w:pPr>
                </w:p>
              </w:tc>
              <w:tc>
                <w:tcPr>
                  <w:tcW w:w="1282" w:type="dxa"/>
                  <w:noWrap w:val="0"/>
                  <w:vAlign w:val="center"/>
                </w:tcPr>
                <w:p w14:paraId="6EC3883B">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污染因子</w:t>
                  </w:r>
                </w:p>
              </w:tc>
              <w:tc>
                <w:tcPr>
                  <w:tcW w:w="888" w:type="dxa"/>
                  <w:noWrap w:val="0"/>
                  <w:vAlign w:val="center"/>
                </w:tcPr>
                <w:p w14:paraId="73F14B0E">
                  <w:pPr>
                    <w:keepNext w:val="0"/>
                    <w:keepLines w:val="0"/>
                    <w:widowControl/>
                    <w:suppressLineNumbers w:val="0"/>
                    <w:jc w:val="both"/>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排放浓度</w:t>
                  </w:r>
                  <w:r>
                    <w:rPr>
                      <w:rFonts w:hint="default" w:ascii="Times New Roman" w:hAnsi="Times New Roman" w:eastAsia="宋体" w:cs="Times New Roman"/>
                      <w:i w:val="0"/>
                      <w:iCs w:val="0"/>
                      <w:color w:val="00B050"/>
                      <w:kern w:val="0"/>
                      <w:sz w:val="21"/>
                      <w:szCs w:val="21"/>
                      <w:u w:val="none"/>
                      <w:lang w:val="en-US" w:eastAsia="zh-CN" w:bidi="ar"/>
                    </w:rPr>
                    <w:t>mg/m</w:t>
                  </w:r>
                  <w:r>
                    <w:rPr>
                      <w:rFonts w:hint="default" w:ascii="Times New Roman" w:hAnsi="Times New Roman" w:eastAsia="宋体" w:cs="Times New Roman"/>
                      <w:i w:val="0"/>
                      <w:iCs w:val="0"/>
                      <w:color w:val="00B050"/>
                      <w:kern w:val="0"/>
                      <w:sz w:val="21"/>
                      <w:szCs w:val="21"/>
                      <w:u w:val="none"/>
                      <w:vertAlign w:val="superscript"/>
                      <w:lang w:val="en-US" w:eastAsia="zh-CN" w:bidi="ar"/>
                    </w:rPr>
                    <w:t>3</w:t>
                  </w:r>
                </w:p>
              </w:tc>
              <w:tc>
                <w:tcPr>
                  <w:tcW w:w="801" w:type="dxa"/>
                  <w:noWrap w:val="0"/>
                  <w:vAlign w:val="center"/>
                </w:tcPr>
                <w:p w14:paraId="01A11813">
                  <w:pPr>
                    <w:keepNext w:val="0"/>
                    <w:keepLines w:val="0"/>
                    <w:widowControl/>
                    <w:suppressLineNumbers w:val="0"/>
                    <w:jc w:val="both"/>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浓度限值</w:t>
                  </w:r>
                  <w:r>
                    <w:rPr>
                      <w:rFonts w:hint="default" w:ascii="Times New Roman" w:hAnsi="Times New Roman" w:eastAsia="宋体" w:cs="Times New Roman"/>
                      <w:i w:val="0"/>
                      <w:iCs w:val="0"/>
                      <w:color w:val="00B050"/>
                      <w:kern w:val="0"/>
                      <w:sz w:val="21"/>
                      <w:szCs w:val="21"/>
                      <w:u w:val="none"/>
                      <w:lang w:val="en-US" w:eastAsia="zh-CN" w:bidi="ar"/>
                    </w:rPr>
                    <w:t>mg/m</w:t>
                  </w:r>
                  <w:r>
                    <w:rPr>
                      <w:rFonts w:hint="default" w:ascii="Times New Roman" w:hAnsi="Times New Roman" w:eastAsia="宋体" w:cs="Times New Roman"/>
                      <w:i w:val="0"/>
                      <w:iCs w:val="0"/>
                      <w:color w:val="00B050"/>
                      <w:kern w:val="0"/>
                      <w:sz w:val="21"/>
                      <w:szCs w:val="21"/>
                      <w:u w:val="none"/>
                      <w:vertAlign w:val="superscript"/>
                      <w:lang w:val="en-US" w:eastAsia="zh-CN" w:bidi="ar"/>
                    </w:rPr>
                    <w:t>3</w:t>
                  </w:r>
                </w:p>
              </w:tc>
              <w:tc>
                <w:tcPr>
                  <w:tcW w:w="3473" w:type="dxa"/>
                  <w:noWrap w:val="0"/>
                  <w:vAlign w:val="center"/>
                </w:tcPr>
                <w:p w14:paraId="7E1AA708">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标准文号</w:t>
                  </w:r>
                </w:p>
              </w:tc>
              <w:tc>
                <w:tcPr>
                  <w:tcW w:w="644" w:type="dxa"/>
                  <w:vMerge w:val="continue"/>
                  <w:noWrap w:val="0"/>
                  <w:vAlign w:val="center"/>
                </w:tcPr>
                <w:p w14:paraId="7B896CE5">
                  <w:pPr>
                    <w:jc w:val="both"/>
                    <w:rPr>
                      <w:rFonts w:hint="default" w:ascii="Times New Roman" w:hAnsi="Times New Roman" w:eastAsia="宋体" w:cs="Times New Roman"/>
                      <w:i w:val="0"/>
                      <w:iCs w:val="0"/>
                      <w:color w:val="00B050"/>
                      <w:sz w:val="21"/>
                      <w:szCs w:val="21"/>
                      <w:u w:val="none"/>
                    </w:rPr>
                  </w:pPr>
                </w:p>
              </w:tc>
            </w:tr>
            <w:tr w14:paraId="09ADB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3" w:type="dxa"/>
                  <w:vMerge w:val="restart"/>
                  <w:noWrap w:val="0"/>
                  <w:vAlign w:val="center"/>
                </w:tcPr>
                <w:p w14:paraId="48ACCA22">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DA001</w:t>
                  </w:r>
                </w:p>
              </w:tc>
              <w:tc>
                <w:tcPr>
                  <w:tcW w:w="723" w:type="dxa"/>
                  <w:vMerge w:val="restart"/>
                  <w:noWrap w:val="0"/>
                  <w:vAlign w:val="center"/>
                </w:tcPr>
                <w:p w14:paraId="1CCEC658">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23700</w:t>
                  </w:r>
                </w:p>
              </w:tc>
              <w:tc>
                <w:tcPr>
                  <w:tcW w:w="1282" w:type="dxa"/>
                  <w:noWrap w:val="0"/>
                  <w:vAlign w:val="center"/>
                </w:tcPr>
                <w:p w14:paraId="5BAC6162">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非甲烷总烃</w:t>
                  </w:r>
                </w:p>
              </w:tc>
              <w:tc>
                <w:tcPr>
                  <w:tcW w:w="888" w:type="dxa"/>
                  <w:noWrap w:val="0"/>
                  <w:vAlign w:val="center"/>
                </w:tcPr>
                <w:p w14:paraId="7D822E5B">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highlight w:val="yellow"/>
                      <w:u w:val="none"/>
                      <w:lang w:val="en-US"/>
                    </w:rPr>
                  </w:pPr>
                  <w:r>
                    <w:rPr>
                      <w:rFonts w:hint="default" w:ascii="Times New Roman" w:hAnsi="Times New Roman" w:eastAsia="宋体" w:cs="Times New Roman"/>
                      <w:i w:val="0"/>
                      <w:iCs w:val="0"/>
                      <w:color w:val="00B050"/>
                      <w:kern w:val="0"/>
                      <w:sz w:val="21"/>
                      <w:szCs w:val="21"/>
                      <w:u w:val="none"/>
                      <w:lang w:val="en-US" w:eastAsia="zh-CN" w:bidi="ar"/>
                    </w:rPr>
                    <w:t>2.0347</w:t>
                  </w:r>
                </w:p>
              </w:tc>
              <w:tc>
                <w:tcPr>
                  <w:tcW w:w="801" w:type="dxa"/>
                  <w:noWrap w:val="0"/>
                  <w:vAlign w:val="center"/>
                </w:tcPr>
                <w:p w14:paraId="66CB2875">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60</w:t>
                  </w:r>
                </w:p>
              </w:tc>
              <w:tc>
                <w:tcPr>
                  <w:tcW w:w="3473" w:type="dxa"/>
                  <w:vMerge w:val="restart"/>
                  <w:noWrap w:val="0"/>
                  <w:vAlign w:val="center"/>
                </w:tcPr>
                <w:p w14:paraId="65991D6E">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《四川省固定污染源大气挥发性有机物排放标准》（</w:t>
                  </w:r>
                  <w:r>
                    <w:rPr>
                      <w:rFonts w:hint="default" w:ascii="Times New Roman" w:hAnsi="Times New Roman" w:eastAsia="宋体" w:cs="Times New Roman"/>
                      <w:i w:val="0"/>
                      <w:iCs w:val="0"/>
                      <w:color w:val="00B050"/>
                      <w:kern w:val="0"/>
                      <w:sz w:val="21"/>
                      <w:szCs w:val="21"/>
                      <w:u w:val="none"/>
                      <w:lang w:val="en-US" w:eastAsia="zh-CN" w:bidi="ar"/>
                    </w:rPr>
                    <w:t>DB51/2377-2017</w:t>
                  </w:r>
                  <w:r>
                    <w:rPr>
                      <w:rFonts w:hint="eastAsia" w:ascii="宋体" w:hAnsi="宋体" w:eastAsia="宋体" w:cs="宋体"/>
                      <w:i w:val="0"/>
                      <w:iCs w:val="0"/>
                      <w:color w:val="00B050"/>
                      <w:kern w:val="0"/>
                      <w:sz w:val="21"/>
                      <w:szCs w:val="21"/>
                      <w:u w:val="none"/>
                      <w:lang w:val="en-US" w:eastAsia="zh-CN" w:bidi="ar"/>
                    </w:rPr>
                    <w:t>）</w:t>
                  </w:r>
                </w:p>
              </w:tc>
              <w:tc>
                <w:tcPr>
                  <w:tcW w:w="644" w:type="dxa"/>
                  <w:noWrap w:val="0"/>
                  <w:vAlign w:val="center"/>
                </w:tcPr>
                <w:p w14:paraId="0B71F3E5">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达标</w:t>
                  </w:r>
                </w:p>
              </w:tc>
            </w:tr>
            <w:tr w14:paraId="4DB1E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3" w:type="dxa"/>
                  <w:vMerge w:val="continue"/>
                  <w:noWrap w:val="0"/>
                  <w:vAlign w:val="center"/>
                </w:tcPr>
                <w:p w14:paraId="4AF57675">
                  <w:pPr>
                    <w:jc w:val="center"/>
                    <w:rPr>
                      <w:rFonts w:hint="default" w:ascii="Times New Roman" w:hAnsi="Times New Roman" w:eastAsia="宋体" w:cs="Times New Roman"/>
                      <w:i w:val="0"/>
                      <w:iCs w:val="0"/>
                      <w:color w:val="00B050"/>
                      <w:sz w:val="21"/>
                      <w:szCs w:val="21"/>
                      <w:u w:val="none"/>
                    </w:rPr>
                  </w:pPr>
                </w:p>
              </w:tc>
              <w:tc>
                <w:tcPr>
                  <w:tcW w:w="723" w:type="dxa"/>
                  <w:vMerge w:val="continue"/>
                  <w:noWrap w:val="0"/>
                  <w:vAlign w:val="center"/>
                </w:tcPr>
                <w:p w14:paraId="777BABB7">
                  <w:pPr>
                    <w:jc w:val="center"/>
                    <w:rPr>
                      <w:rFonts w:hint="default" w:ascii="Times New Roman" w:hAnsi="Times New Roman" w:eastAsia="宋体" w:cs="Times New Roman"/>
                      <w:i w:val="0"/>
                      <w:iCs w:val="0"/>
                      <w:color w:val="00B050"/>
                      <w:sz w:val="21"/>
                      <w:szCs w:val="21"/>
                      <w:u w:val="none"/>
                    </w:rPr>
                  </w:pPr>
                </w:p>
              </w:tc>
              <w:tc>
                <w:tcPr>
                  <w:tcW w:w="1282" w:type="dxa"/>
                  <w:noWrap w:val="0"/>
                  <w:vAlign w:val="center"/>
                </w:tcPr>
                <w:p w14:paraId="03648061">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三甲苯</w:t>
                  </w:r>
                </w:p>
              </w:tc>
              <w:tc>
                <w:tcPr>
                  <w:tcW w:w="888" w:type="dxa"/>
                  <w:noWrap w:val="0"/>
                  <w:vAlign w:val="center"/>
                </w:tcPr>
                <w:p w14:paraId="137C5A8D">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highlight w:val="yellow"/>
                      <w:u w:val="none"/>
                    </w:rPr>
                  </w:pPr>
                  <w:r>
                    <w:rPr>
                      <w:rFonts w:hint="default" w:ascii="Times New Roman" w:hAnsi="Times New Roman" w:eastAsia="宋体" w:cs="Times New Roman"/>
                      <w:i w:val="0"/>
                      <w:iCs w:val="0"/>
                      <w:color w:val="00B050"/>
                      <w:kern w:val="0"/>
                      <w:sz w:val="21"/>
                      <w:szCs w:val="21"/>
                      <w:u w:val="none"/>
                      <w:lang w:val="en-US" w:eastAsia="zh-CN" w:bidi="ar"/>
                    </w:rPr>
                    <w:t>0.0158</w:t>
                  </w:r>
                </w:p>
              </w:tc>
              <w:tc>
                <w:tcPr>
                  <w:tcW w:w="801" w:type="dxa"/>
                  <w:noWrap w:val="0"/>
                  <w:vAlign w:val="center"/>
                </w:tcPr>
                <w:p w14:paraId="600DFA4C">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40</w:t>
                  </w:r>
                </w:p>
              </w:tc>
              <w:tc>
                <w:tcPr>
                  <w:tcW w:w="3473" w:type="dxa"/>
                  <w:vMerge w:val="continue"/>
                  <w:noWrap w:val="0"/>
                  <w:vAlign w:val="center"/>
                </w:tcPr>
                <w:p w14:paraId="12DF605B">
                  <w:pPr>
                    <w:jc w:val="center"/>
                    <w:rPr>
                      <w:rFonts w:hint="default" w:ascii="Times New Roman" w:hAnsi="Times New Roman" w:eastAsia="宋体" w:cs="Times New Roman"/>
                      <w:i w:val="0"/>
                      <w:iCs w:val="0"/>
                      <w:color w:val="00B050"/>
                      <w:sz w:val="21"/>
                      <w:szCs w:val="21"/>
                      <w:u w:val="none"/>
                    </w:rPr>
                  </w:pPr>
                </w:p>
              </w:tc>
              <w:tc>
                <w:tcPr>
                  <w:tcW w:w="644" w:type="dxa"/>
                  <w:noWrap w:val="0"/>
                  <w:vAlign w:val="center"/>
                </w:tcPr>
                <w:p w14:paraId="14A23B9F">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达标</w:t>
                  </w:r>
                </w:p>
              </w:tc>
            </w:tr>
            <w:tr w14:paraId="14D1E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3" w:type="dxa"/>
                  <w:vMerge w:val="continue"/>
                  <w:noWrap w:val="0"/>
                  <w:vAlign w:val="center"/>
                </w:tcPr>
                <w:p w14:paraId="3A7CD1CF">
                  <w:pPr>
                    <w:jc w:val="center"/>
                    <w:rPr>
                      <w:rFonts w:hint="default" w:ascii="Times New Roman" w:hAnsi="Times New Roman" w:eastAsia="宋体" w:cs="Times New Roman"/>
                      <w:i w:val="0"/>
                      <w:iCs w:val="0"/>
                      <w:color w:val="00B050"/>
                      <w:sz w:val="21"/>
                      <w:szCs w:val="21"/>
                      <w:u w:val="none"/>
                    </w:rPr>
                  </w:pPr>
                </w:p>
              </w:tc>
              <w:tc>
                <w:tcPr>
                  <w:tcW w:w="723" w:type="dxa"/>
                  <w:vMerge w:val="continue"/>
                  <w:noWrap w:val="0"/>
                  <w:vAlign w:val="center"/>
                </w:tcPr>
                <w:p w14:paraId="69D2BAA6">
                  <w:pPr>
                    <w:jc w:val="center"/>
                    <w:rPr>
                      <w:rFonts w:hint="default" w:ascii="Times New Roman" w:hAnsi="Times New Roman" w:eastAsia="宋体" w:cs="Times New Roman"/>
                      <w:i w:val="0"/>
                      <w:iCs w:val="0"/>
                      <w:color w:val="00B050"/>
                      <w:sz w:val="21"/>
                      <w:szCs w:val="21"/>
                      <w:u w:val="none"/>
                    </w:rPr>
                  </w:pPr>
                </w:p>
              </w:tc>
              <w:tc>
                <w:tcPr>
                  <w:tcW w:w="1282" w:type="dxa"/>
                  <w:noWrap w:val="0"/>
                  <w:vAlign w:val="center"/>
                </w:tcPr>
                <w:p w14:paraId="1937F192">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颗粒物</w:t>
                  </w:r>
                </w:p>
              </w:tc>
              <w:tc>
                <w:tcPr>
                  <w:tcW w:w="888" w:type="dxa"/>
                  <w:noWrap w:val="0"/>
                  <w:vAlign w:val="center"/>
                </w:tcPr>
                <w:p w14:paraId="3BC3F833">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highlight w:val="yellow"/>
                      <w:u w:val="none"/>
                      <w:lang w:val="en-US"/>
                    </w:rPr>
                  </w:pPr>
                  <w:r>
                    <w:rPr>
                      <w:rFonts w:hint="default" w:ascii="Times New Roman" w:hAnsi="Times New Roman" w:eastAsia="宋体" w:cs="Times New Roman"/>
                      <w:i w:val="0"/>
                      <w:iCs w:val="0"/>
                      <w:color w:val="00B050"/>
                      <w:kern w:val="0"/>
                      <w:sz w:val="21"/>
                      <w:szCs w:val="21"/>
                      <w:u w:val="none"/>
                      <w:lang w:val="en-US" w:eastAsia="zh-CN" w:bidi="ar"/>
                    </w:rPr>
                    <w:t>/</w:t>
                  </w:r>
                </w:p>
              </w:tc>
              <w:tc>
                <w:tcPr>
                  <w:tcW w:w="801" w:type="dxa"/>
                  <w:noWrap w:val="0"/>
                  <w:vAlign w:val="center"/>
                </w:tcPr>
                <w:p w14:paraId="359D9DE1">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20</w:t>
                  </w:r>
                </w:p>
              </w:tc>
              <w:tc>
                <w:tcPr>
                  <w:tcW w:w="3473" w:type="dxa"/>
                  <w:noWrap w:val="0"/>
                  <w:vAlign w:val="center"/>
                </w:tcPr>
                <w:p w14:paraId="146EFE56">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《合成树脂工业污染物排放标准》（</w:t>
                  </w:r>
                  <w:r>
                    <w:rPr>
                      <w:rFonts w:hint="default" w:ascii="Times New Roman" w:hAnsi="Times New Roman" w:eastAsia="宋体" w:cs="Times New Roman"/>
                      <w:i w:val="0"/>
                      <w:iCs w:val="0"/>
                      <w:color w:val="00B050"/>
                      <w:kern w:val="0"/>
                      <w:sz w:val="21"/>
                      <w:szCs w:val="21"/>
                      <w:u w:val="none"/>
                      <w:lang w:val="en-US" w:eastAsia="zh-CN" w:bidi="ar"/>
                    </w:rPr>
                    <w:t>GB 31572-2015</w:t>
                  </w:r>
                  <w:r>
                    <w:rPr>
                      <w:rFonts w:hint="eastAsia" w:ascii="宋体" w:hAnsi="宋体" w:eastAsia="宋体" w:cs="宋体"/>
                      <w:i w:val="0"/>
                      <w:iCs w:val="0"/>
                      <w:color w:val="00B050"/>
                      <w:kern w:val="0"/>
                      <w:sz w:val="21"/>
                      <w:szCs w:val="21"/>
                      <w:u w:val="none"/>
                      <w:lang w:val="en-US" w:eastAsia="zh-CN" w:bidi="ar"/>
                    </w:rPr>
                    <w:t>）及</w:t>
                  </w:r>
                  <w:r>
                    <w:rPr>
                      <w:rFonts w:hint="default" w:ascii="Times New Roman" w:hAnsi="Times New Roman" w:eastAsia="宋体" w:cs="Times New Roman"/>
                      <w:i w:val="0"/>
                      <w:iCs w:val="0"/>
                      <w:color w:val="00B050"/>
                      <w:kern w:val="0"/>
                      <w:sz w:val="21"/>
                      <w:szCs w:val="21"/>
                      <w:u w:val="none"/>
                      <w:lang w:val="en-US" w:eastAsia="zh-CN" w:bidi="ar"/>
                    </w:rPr>
                    <w:t>“</w:t>
                  </w:r>
                  <w:r>
                    <w:rPr>
                      <w:rFonts w:hint="eastAsia" w:ascii="宋体" w:hAnsi="宋体" w:eastAsia="宋体" w:cs="宋体"/>
                      <w:i w:val="0"/>
                      <w:iCs w:val="0"/>
                      <w:color w:val="00B050"/>
                      <w:kern w:val="0"/>
                      <w:sz w:val="21"/>
                      <w:szCs w:val="21"/>
                      <w:u w:val="none"/>
                      <w:lang w:val="en-US" w:eastAsia="zh-CN" w:bidi="ar"/>
                    </w:rPr>
                    <w:t>修改单</w:t>
                  </w:r>
                  <w:r>
                    <w:rPr>
                      <w:rFonts w:hint="default" w:ascii="Times New Roman" w:hAnsi="Times New Roman" w:eastAsia="宋体" w:cs="Times New Roman"/>
                      <w:i w:val="0"/>
                      <w:iCs w:val="0"/>
                      <w:color w:val="00B050"/>
                      <w:kern w:val="0"/>
                      <w:sz w:val="21"/>
                      <w:szCs w:val="21"/>
                      <w:u w:val="none"/>
                      <w:lang w:val="en-US" w:eastAsia="zh-CN" w:bidi="ar"/>
                    </w:rPr>
                    <w:t>”</w:t>
                  </w:r>
                </w:p>
              </w:tc>
              <w:tc>
                <w:tcPr>
                  <w:tcW w:w="644" w:type="dxa"/>
                  <w:noWrap w:val="0"/>
                  <w:vAlign w:val="center"/>
                </w:tcPr>
                <w:p w14:paraId="0FF6BC55">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达标</w:t>
                  </w:r>
                </w:p>
              </w:tc>
            </w:tr>
            <w:tr w14:paraId="4994A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3" w:type="dxa"/>
                  <w:vMerge w:val="restart"/>
                  <w:noWrap w:val="0"/>
                  <w:vAlign w:val="center"/>
                </w:tcPr>
                <w:p w14:paraId="333F9B80">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DA002</w:t>
                  </w:r>
                </w:p>
              </w:tc>
              <w:tc>
                <w:tcPr>
                  <w:tcW w:w="723" w:type="dxa"/>
                  <w:vMerge w:val="restart"/>
                  <w:noWrap w:val="0"/>
                  <w:vAlign w:val="center"/>
                </w:tcPr>
                <w:p w14:paraId="20266A44">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37000</w:t>
                  </w:r>
                </w:p>
              </w:tc>
              <w:tc>
                <w:tcPr>
                  <w:tcW w:w="1282" w:type="dxa"/>
                  <w:noWrap w:val="0"/>
                  <w:vAlign w:val="center"/>
                </w:tcPr>
                <w:p w14:paraId="3A53050B">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非甲烷总烃</w:t>
                  </w:r>
                </w:p>
              </w:tc>
              <w:tc>
                <w:tcPr>
                  <w:tcW w:w="888" w:type="dxa"/>
                  <w:noWrap w:val="0"/>
                  <w:vAlign w:val="center"/>
                </w:tcPr>
                <w:p w14:paraId="48624A42">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highlight w:val="yellow"/>
                      <w:u w:val="none"/>
                      <w:lang w:val="en-US"/>
                    </w:rPr>
                  </w:pPr>
                  <w:r>
                    <w:rPr>
                      <w:rFonts w:hint="eastAsia" w:cs="Times New Roman"/>
                      <w:i w:val="0"/>
                      <w:iCs w:val="0"/>
                      <w:color w:val="00B050"/>
                      <w:kern w:val="0"/>
                      <w:sz w:val="21"/>
                      <w:szCs w:val="21"/>
                      <w:u w:val="none"/>
                      <w:lang w:val="en-US" w:eastAsia="zh-CN" w:bidi="ar"/>
                    </w:rPr>
                    <w:t>3.6761</w:t>
                  </w:r>
                </w:p>
              </w:tc>
              <w:tc>
                <w:tcPr>
                  <w:tcW w:w="801" w:type="dxa"/>
                  <w:noWrap w:val="0"/>
                  <w:vAlign w:val="center"/>
                </w:tcPr>
                <w:p w14:paraId="212AA623">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60</w:t>
                  </w:r>
                </w:p>
              </w:tc>
              <w:tc>
                <w:tcPr>
                  <w:tcW w:w="3473" w:type="dxa"/>
                  <w:vMerge w:val="restart"/>
                  <w:noWrap w:val="0"/>
                  <w:vAlign w:val="center"/>
                </w:tcPr>
                <w:p w14:paraId="5AC8FB4B">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《合成树脂工业污染物排放标准》（</w:t>
                  </w:r>
                  <w:r>
                    <w:rPr>
                      <w:rFonts w:hint="default" w:ascii="Times New Roman" w:hAnsi="Times New Roman" w:eastAsia="宋体" w:cs="Times New Roman"/>
                      <w:i w:val="0"/>
                      <w:iCs w:val="0"/>
                      <w:color w:val="00B050"/>
                      <w:kern w:val="0"/>
                      <w:sz w:val="21"/>
                      <w:szCs w:val="21"/>
                      <w:u w:val="none"/>
                      <w:lang w:val="en-US" w:eastAsia="zh-CN" w:bidi="ar"/>
                    </w:rPr>
                    <w:t>GB 31572-2015</w:t>
                  </w:r>
                  <w:r>
                    <w:rPr>
                      <w:rFonts w:hint="eastAsia" w:ascii="宋体" w:hAnsi="宋体" w:eastAsia="宋体" w:cs="宋体"/>
                      <w:i w:val="0"/>
                      <w:iCs w:val="0"/>
                      <w:color w:val="00B050"/>
                      <w:kern w:val="0"/>
                      <w:sz w:val="21"/>
                      <w:szCs w:val="21"/>
                      <w:u w:val="none"/>
                      <w:lang w:val="en-US" w:eastAsia="zh-CN" w:bidi="ar"/>
                    </w:rPr>
                    <w:t>）及</w:t>
                  </w:r>
                  <w:r>
                    <w:rPr>
                      <w:rFonts w:hint="default" w:ascii="Times New Roman" w:hAnsi="Times New Roman" w:eastAsia="宋体" w:cs="Times New Roman"/>
                      <w:i w:val="0"/>
                      <w:iCs w:val="0"/>
                      <w:color w:val="00B050"/>
                      <w:kern w:val="0"/>
                      <w:sz w:val="21"/>
                      <w:szCs w:val="21"/>
                      <w:u w:val="none"/>
                      <w:lang w:val="en-US" w:eastAsia="zh-CN" w:bidi="ar"/>
                    </w:rPr>
                    <w:t>“</w:t>
                  </w:r>
                  <w:r>
                    <w:rPr>
                      <w:rFonts w:hint="eastAsia" w:ascii="宋体" w:hAnsi="宋体" w:eastAsia="宋体" w:cs="宋体"/>
                      <w:i w:val="0"/>
                      <w:iCs w:val="0"/>
                      <w:color w:val="00B050"/>
                      <w:kern w:val="0"/>
                      <w:sz w:val="21"/>
                      <w:szCs w:val="21"/>
                      <w:u w:val="none"/>
                      <w:lang w:val="en-US" w:eastAsia="zh-CN" w:bidi="ar"/>
                    </w:rPr>
                    <w:t>修改单</w:t>
                  </w:r>
                  <w:r>
                    <w:rPr>
                      <w:rFonts w:hint="default" w:ascii="Times New Roman" w:hAnsi="Times New Roman" w:eastAsia="宋体" w:cs="Times New Roman"/>
                      <w:i w:val="0"/>
                      <w:iCs w:val="0"/>
                      <w:color w:val="00B050"/>
                      <w:kern w:val="0"/>
                      <w:sz w:val="21"/>
                      <w:szCs w:val="21"/>
                      <w:u w:val="none"/>
                      <w:lang w:val="en-US" w:eastAsia="zh-CN" w:bidi="ar"/>
                    </w:rPr>
                    <w:t>”</w:t>
                  </w:r>
                </w:p>
              </w:tc>
              <w:tc>
                <w:tcPr>
                  <w:tcW w:w="644" w:type="dxa"/>
                  <w:noWrap w:val="0"/>
                  <w:vAlign w:val="center"/>
                </w:tcPr>
                <w:p w14:paraId="6F802045">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达标</w:t>
                  </w:r>
                </w:p>
              </w:tc>
            </w:tr>
            <w:tr w14:paraId="4C4C3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3" w:type="dxa"/>
                  <w:vMerge w:val="continue"/>
                  <w:noWrap w:val="0"/>
                  <w:vAlign w:val="center"/>
                </w:tcPr>
                <w:p w14:paraId="7DCFAE8C">
                  <w:pPr>
                    <w:jc w:val="center"/>
                    <w:rPr>
                      <w:rFonts w:hint="default" w:ascii="Times New Roman" w:hAnsi="Times New Roman" w:eastAsia="宋体" w:cs="Times New Roman"/>
                      <w:i w:val="0"/>
                      <w:iCs w:val="0"/>
                      <w:color w:val="00B050"/>
                      <w:sz w:val="21"/>
                      <w:szCs w:val="21"/>
                      <w:u w:val="none"/>
                    </w:rPr>
                  </w:pPr>
                </w:p>
              </w:tc>
              <w:tc>
                <w:tcPr>
                  <w:tcW w:w="723" w:type="dxa"/>
                  <w:vMerge w:val="continue"/>
                  <w:noWrap w:val="0"/>
                  <w:vAlign w:val="center"/>
                </w:tcPr>
                <w:p w14:paraId="2FA0DA7A">
                  <w:pPr>
                    <w:jc w:val="center"/>
                    <w:rPr>
                      <w:rFonts w:hint="default" w:ascii="Times New Roman" w:hAnsi="Times New Roman" w:eastAsia="宋体" w:cs="Times New Roman"/>
                      <w:i w:val="0"/>
                      <w:iCs w:val="0"/>
                      <w:color w:val="00B050"/>
                      <w:sz w:val="21"/>
                      <w:szCs w:val="21"/>
                      <w:u w:val="none"/>
                    </w:rPr>
                  </w:pPr>
                </w:p>
              </w:tc>
              <w:tc>
                <w:tcPr>
                  <w:tcW w:w="1282" w:type="dxa"/>
                  <w:noWrap w:val="0"/>
                  <w:vAlign w:val="center"/>
                </w:tcPr>
                <w:p w14:paraId="48C5985B">
                  <w:pPr>
                    <w:keepNext w:val="0"/>
                    <w:keepLines w:val="0"/>
                    <w:widowControl/>
                    <w:suppressLineNumbers w:val="0"/>
                    <w:jc w:val="center"/>
                    <w:textAlignment w:val="center"/>
                    <w:rPr>
                      <w:rFonts w:hint="eastAsia" w:ascii="宋体" w:hAnsi="宋体" w:eastAsia="宋体" w:cs="宋体"/>
                      <w:i w:val="0"/>
                      <w:iCs w:val="0"/>
                      <w:color w:val="00B050"/>
                      <w:kern w:val="0"/>
                      <w:sz w:val="21"/>
                      <w:szCs w:val="21"/>
                      <w:u w:val="none"/>
                      <w:lang w:val="en-US" w:eastAsia="zh-CN" w:bidi="ar"/>
                    </w:rPr>
                  </w:pPr>
                  <w:r>
                    <w:rPr>
                      <w:rFonts w:hint="eastAsia" w:ascii="宋体" w:hAnsi="宋体" w:eastAsia="宋体" w:cs="宋体"/>
                      <w:i w:val="0"/>
                      <w:iCs w:val="0"/>
                      <w:color w:val="00B050"/>
                      <w:kern w:val="0"/>
                      <w:sz w:val="21"/>
                      <w:szCs w:val="21"/>
                      <w:u w:val="none"/>
                      <w:lang w:val="en-US" w:eastAsia="zh-CN" w:bidi="ar"/>
                    </w:rPr>
                    <w:t>颗粒物</w:t>
                  </w:r>
                </w:p>
              </w:tc>
              <w:tc>
                <w:tcPr>
                  <w:tcW w:w="888" w:type="dxa"/>
                  <w:noWrap w:val="0"/>
                  <w:vAlign w:val="center"/>
                </w:tcPr>
                <w:p w14:paraId="7C9B3FB2">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w:t>
                  </w:r>
                </w:p>
              </w:tc>
              <w:tc>
                <w:tcPr>
                  <w:tcW w:w="801" w:type="dxa"/>
                  <w:noWrap w:val="0"/>
                  <w:vAlign w:val="center"/>
                </w:tcPr>
                <w:p w14:paraId="6EBF7966">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20</w:t>
                  </w:r>
                </w:p>
              </w:tc>
              <w:tc>
                <w:tcPr>
                  <w:tcW w:w="3473" w:type="dxa"/>
                  <w:vMerge w:val="continue"/>
                  <w:noWrap w:val="0"/>
                  <w:vAlign w:val="center"/>
                </w:tcPr>
                <w:p w14:paraId="035075B4">
                  <w:pPr>
                    <w:jc w:val="center"/>
                    <w:rPr>
                      <w:rFonts w:hint="default" w:ascii="Times New Roman" w:hAnsi="Times New Roman" w:eastAsia="宋体" w:cs="Times New Roman"/>
                      <w:i w:val="0"/>
                      <w:iCs w:val="0"/>
                      <w:color w:val="00B050"/>
                      <w:sz w:val="21"/>
                      <w:szCs w:val="21"/>
                      <w:u w:val="none"/>
                    </w:rPr>
                  </w:pPr>
                </w:p>
              </w:tc>
              <w:tc>
                <w:tcPr>
                  <w:tcW w:w="644" w:type="dxa"/>
                  <w:noWrap w:val="0"/>
                  <w:vAlign w:val="center"/>
                </w:tcPr>
                <w:p w14:paraId="42DB9A74">
                  <w:pPr>
                    <w:keepNext w:val="0"/>
                    <w:keepLines w:val="0"/>
                    <w:widowControl/>
                    <w:suppressLineNumbers w:val="0"/>
                    <w:jc w:val="center"/>
                    <w:textAlignment w:val="center"/>
                    <w:rPr>
                      <w:rFonts w:hint="eastAsia" w:ascii="宋体" w:hAnsi="宋体" w:eastAsia="宋体" w:cs="宋体"/>
                      <w:i w:val="0"/>
                      <w:iCs w:val="0"/>
                      <w:color w:val="00B050"/>
                      <w:kern w:val="0"/>
                      <w:sz w:val="21"/>
                      <w:szCs w:val="21"/>
                      <w:u w:val="none"/>
                      <w:lang w:val="en-US" w:eastAsia="zh-CN" w:bidi="ar"/>
                    </w:rPr>
                  </w:pPr>
                  <w:r>
                    <w:rPr>
                      <w:rFonts w:hint="eastAsia" w:ascii="宋体" w:hAnsi="宋体" w:eastAsia="宋体" w:cs="宋体"/>
                      <w:i w:val="0"/>
                      <w:iCs w:val="0"/>
                      <w:color w:val="00B050"/>
                      <w:kern w:val="0"/>
                      <w:sz w:val="21"/>
                      <w:szCs w:val="21"/>
                      <w:u w:val="none"/>
                      <w:lang w:val="en-US" w:eastAsia="zh-CN" w:bidi="ar"/>
                    </w:rPr>
                    <w:t>达标</w:t>
                  </w:r>
                </w:p>
              </w:tc>
            </w:tr>
          </w:tbl>
          <w:p w14:paraId="378D215B">
            <w:pPr>
              <w:pStyle w:val="49"/>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B050"/>
              </w:rPr>
            </w:pPr>
            <w:r>
              <w:rPr>
                <w:rFonts w:hint="default" w:ascii="Times New Roman" w:hAnsi="Times New Roman" w:cs="Times New Roman"/>
                <w:color w:val="00B050"/>
              </w:rPr>
              <w:t>（2）非正常工况下污染物排放情况</w:t>
            </w:r>
          </w:p>
          <w:p w14:paraId="6157B2F6">
            <w:pPr>
              <w:pStyle w:val="49"/>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B050"/>
              </w:rPr>
            </w:pPr>
            <w:r>
              <w:rPr>
                <w:rFonts w:hint="default" w:ascii="Times New Roman" w:hAnsi="Times New Roman" w:cs="Times New Roman"/>
                <w:color w:val="00B050"/>
              </w:rPr>
              <w:t>本项目非正常工况主要是治理设施效率下降，造成污染物非正常排放，即当废气处理设施净化效率下降至0%时。</w:t>
            </w:r>
          </w:p>
          <w:p w14:paraId="0231CFF5">
            <w:pPr>
              <w:pStyle w:val="206"/>
              <w:keepNext w:val="0"/>
              <w:keepLines w:val="0"/>
              <w:pageBreakBefore w:val="0"/>
              <w:widowControl w:val="0"/>
              <w:kinsoku/>
              <w:wordWrap/>
              <w:overflowPunct/>
              <w:topLinePunct w:val="0"/>
              <w:autoSpaceDE/>
              <w:autoSpaceDN/>
              <w:bidi w:val="0"/>
              <w:adjustRightInd/>
              <w:snapToGrid/>
              <w:spacing w:line="360" w:lineRule="auto"/>
              <w:ind w:right="113" w:firstLine="480" w:firstLineChars="200"/>
              <w:jc w:val="both"/>
              <w:textAlignment w:val="auto"/>
              <w:rPr>
                <w:rFonts w:hint="default" w:ascii="Times New Roman" w:hAnsi="Times New Roman" w:cs="Times New Roman"/>
                <w:color w:val="00B050"/>
              </w:rPr>
            </w:pPr>
            <w:r>
              <w:rPr>
                <w:rFonts w:hint="default" w:ascii="Times New Roman" w:hAnsi="Times New Roman" w:cs="Times New Roman"/>
                <w:color w:val="00B050"/>
              </w:rPr>
              <w:t>本项目大气污染物非正常排放参数详见表4.2-</w:t>
            </w:r>
            <w:r>
              <w:rPr>
                <w:rFonts w:hint="default" w:ascii="Times New Roman" w:hAnsi="Times New Roman" w:cs="Times New Roman"/>
                <w:color w:val="00B050"/>
                <w:lang w:val="en-US" w:eastAsia="zh-CN"/>
              </w:rPr>
              <w:t>11</w:t>
            </w:r>
            <w:r>
              <w:rPr>
                <w:rFonts w:hint="default" w:ascii="Times New Roman" w:hAnsi="Times New Roman" w:cs="Times New Roman"/>
                <w:color w:val="00B050"/>
              </w:rPr>
              <w:t>。</w:t>
            </w:r>
          </w:p>
          <w:p w14:paraId="5F062179">
            <w:pPr>
              <w:pStyle w:val="49"/>
              <w:spacing w:line="240" w:lineRule="auto"/>
              <w:ind w:firstLine="0" w:firstLineChars="0"/>
              <w:jc w:val="center"/>
              <w:rPr>
                <w:rFonts w:hint="default" w:ascii="Times New Roman" w:hAnsi="Times New Roman" w:cs="Times New Roman"/>
                <w:b/>
                <w:bCs/>
                <w:color w:val="00B050"/>
                <w:szCs w:val="24"/>
              </w:rPr>
            </w:pPr>
            <w:r>
              <w:rPr>
                <w:rFonts w:hint="default" w:ascii="Times New Roman" w:hAnsi="Times New Roman" w:cs="Times New Roman"/>
                <w:b/>
                <w:bCs/>
                <w:color w:val="00B050"/>
                <w:szCs w:val="24"/>
              </w:rPr>
              <w:t>表4.2-</w:t>
            </w:r>
            <w:r>
              <w:rPr>
                <w:rFonts w:hint="default" w:ascii="Times New Roman" w:hAnsi="Times New Roman" w:cs="Times New Roman"/>
                <w:b/>
                <w:bCs/>
                <w:color w:val="00B050"/>
                <w:szCs w:val="24"/>
                <w:lang w:val="en-US" w:eastAsia="zh-CN"/>
              </w:rPr>
              <w:t>11</w:t>
            </w:r>
            <w:r>
              <w:rPr>
                <w:rFonts w:hint="default" w:ascii="Times New Roman" w:hAnsi="Times New Roman" w:cs="Times New Roman"/>
                <w:b/>
                <w:bCs/>
                <w:color w:val="00B050"/>
                <w:szCs w:val="24"/>
              </w:rPr>
              <w:t xml:space="preserve">  本项目污染源非正常排放量核算表</w:t>
            </w:r>
          </w:p>
          <w:tbl>
            <w:tblPr>
              <w:tblStyle w:val="35"/>
              <w:tblW w:w="8504"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
              <w:gridCol w:w="1307"/>
              <w:gridCol w:w="887"/>
              <w:gridCol w:w="1097"/>
              <w:gridCol w:w="1242"/>
              <w:gridCol w:w="887"/>
              <w:gridCol w:w="806"/>
              <w:gridCol w:w="1714"/>
            </w:tblGrid>
            <w:tr w14:paraId="1C536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564" w:type="dxa"/>
                  <w:shd w:val="clear" w:color="auto" w:fill="auto"/>
                  <w:noWrap w:val="0"/>
                  <w:vAlign w:val="center"/>
                </w:tcPr>
                <w:p w14:paraId="459F302B">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污染源</w:t>
                  </w:r>
                </w:p>
              </w:tc>
              <w:tc>
                <w:tcPr>
                  <w:tcW w:w="1307" w:type="dxa"/>
                  <w:shd w:val="clear" w:color="auto" w:fill="auto"/>
                  <w:noWrap w:val="0"/>
                  <w:vAlign w:val="center"/>
                </w:tcPr>
                <w:p w14:paraId="54CA3F8F">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非正常排放原因</w:t>
                  </w:r>
                </w:p>
              </w:tc>
              <w:tc>
                <w:tcPr>
                  <w:tcW w:w="887" w:type="dxa"/>
                  <w:shd w:val="clear" w:color="auto" w:fill="auto"/>
                  <w:noWrap w:val="0"/>
                  <w:vAlign w:val="center"/>
                </w:tcPr>
                <w:p w14:paraId="681D1806">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污染物</w:t>
                  </w:r>
                </w:p>
              </w:tc>
              <w:tc>
                <w:tcPr>
                  <w:tcW w:w="1097" w:type="dxa"/>
                  <w:shd w:val="clear" w:color="auto" w:fill="auto"/>
                  <w:noWrap w:val="0"/>
                  <w:vAlign w:val="center"/>
                </w:tcPr>
                <w:p w14:paraId="62E2915B">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非正常排放速率（</w:t>
                  </w:r>
                  <w:r>
                    <w:rPr>
                      <w:rFonts w:hint="default" w:ascii="Times New Roman" w:hAnsi="Times New Roman" w:eastAsia="宋体" w:cs="Times New Roman"/>
                      <w:i w:val="0"/>
                      <w:iCs w:val="0"/>
                      <w:color w:val="00B050"/>
                      <w:kern w:val="0"/>
                      <w:sz w:val="21"/>
                      <w:szCs w:val="21"/>
                      <w:u w:val="none"/>
                      <w:lang w:val="en-US" w:eastAsia="zh-CN" w:bidi="ar"/>
                    </w:rPr>
                    <w:t>kg/h</w:t>
                  </w:r>
                  <w:r>
                    <w:rPr>
                      <w:rFonts w:hint="eastAsia" w:ascii="宋体" w:hAnsi="宋体" w:eastAsia="宋体" w:cs="宋体"/>
                      <w:i w:val="0"/>
                      <w:iCs w:val="0"/>
                      <w:color w:val="00B050"/>
                      <w:kern w:val="0"/>
                      <w:sz w:val="21"/>
                      <w:szCs w:val="21"/>
                      <w:u w:val="none"/>
                      <w:lang w:val="en-US" w:eastAsia="zh-CN" w:bidi="ar"/>
                    </w:rPr>
                    <w:t>）</w:t>
                  </w:r>
                </w:p>
              </w:tc>
              <w:tc>
                <w:tcPr>
                  <w:tcW w:w="1242" w:type="dxa"/>
                  <w:shd w:val="clear" w:color="auto" w:fill="auto"/>
                  <w:noWrap w:val="0"/>
                  <w:vAlign w:val="center"/>
                </w:tcPr>
                <w:p w14:paraId="31712294">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非正常排放浓度（</w:t>
                  </w:r>
                  <w:r>
                    <w:rPr>
                      <w:rFonts w:hint="default" w:ascii="Times New Roman" w:hAnsi="Times New Roman" w:eastAsia="宋体" w:cs="Times New Roman"/>
                      <w:i w:val="0"/>
                      <w:iCs w:val="0"/>
                      <w:color w:val="00B050"/>
                      <w:kern w:val="0"/>
                      <w:sz w:val="21"/>
                      <w:szCs w:val="21"/>
                      <w:u w:val="none"/>
                      <w:lang w:val="en-US" w:eastAsia="zh-CN" w:bidi="ar"/>
                    </w:rPr>
                    <w:t>mg/m</w:t>
                  </w:r>
                  <w:r>
                    <w:rPr>
                      <w:rFonts w:hint="default" w:ascii="Times New Roman" w:hAnsi="Times New Roman" w:eastAsia="宋体" w:cs="Times New Roman"/>
                      <w:i w:val="0"/>
                      <w:iCs w:val="0"/>
                      <w:color w:val="00B050"/>
                      <w:kern w:val="0"/>
                      <w:sz w:val="21"/>
                      <w:szCs w:val="21"/>
                      <w:u w:val="none"/>
                      <w:vertAlign w:val="superscript"/>
                      <w:lang w:val="en-US" w:eastAsia="zh-CN" w:bidi="ar"/>
                    </w:rPr>
                    <w:t>3</w:t>
                  </w:r>
                  <w:r>
                    <w:rPr>
                      <w:rFonts w:hint="eastAsia" w:ascii="宋体" w:hAnsi="宋体" w:eastAsia="宋体" w:cs="宋体"/>
                      <w:i w:val="0"/>
                      <w:iCs w:val="0"/>
                      <w:color w:val="00B050"/>
                      <w:kern w:val="0"/>
                      <w:sz w:val="21"/>
                      <w:szCs w:val="21"/>
                      <w:u w:val="none"/>
                      <w:lang w:val="en-US" w:eastAsia="zh-CN" w:bidi="ar"/>
                    </w:rPr>
                    <w:t>）</w:t>
                  </w:r>
                </w:p>
              </w:tc>
              <w:tc>
                <w:tcPr>
                  <w:tcW w:w="887" w:type="dxa"/>
                  <w:shd w:val="clear" w:color="auto" w:fill="auto"/>
                  <w:noWrap w:val="0"/>
                  <w:vAlign w:val="center"/>
                </w:tcPr>
                <w:p w14:paraId="7D7B1A47">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单次持续时间</w:t>
                  </w:r>
                  <w:r>
                    <w:rPr>
                      <w:rFonts w:hint="default" w:ascii="Times New Roman" w:hAnsi="Times New Roman" w:eastAsia="宋体" w:cs="Times New Roman"/>
                      <w:i w:val="0"/>
                      <w:iCs w:val="0"/>
                      <w:color w:val="00B050"/>
                      <w:kern w:val="0"/>
                      <w:sz w:val="21"/>
                      <w:szCs w:val="21"/>
                      <w:u w:val="none"/>
                      <w:lang w:val="en-US" w:eastAsia="zh-CN" w:bidi="ar"/>
                    </w:rPr>
                    <w:t>(h)</w:t>
                  </w:r>
                </w:p>
              </w:tc>
              <w:tc>
                <w:tcPr>
                  <w:tcW w:w="806" w:type="dxa"/>
                  <w:shd w:val="clear" w:color="auto" w:fill="auto"/>
                  <w:noWrap w:val="0"/>
                  <w:vAlign w:val="center"/>
                </w:tcPr>
                <w:p w14:paraId="33FEAAAF">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年发生频次</w:t>
                  </w:r>
                </w:p>
              </w:tc>
              <w:tc>
                <w:tcPr>
                  <w:tcW w:w="1714" w:type="dxa"/>
                  <w:shd w:val="clear" w:color="auto" w:fill="auto"/>
                  <w:noWrap w:val="0"/>
                  <w:vAlign w:val="center"/>
                </w:tcPr>
                <w:p w14:paraId="4953D34C">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应对措施</w:t>
                  </w:r>
                </w:p>
              </w:tc>
            </w:tr>
            <w:tr w14:paraId="3A788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4" w:type="dxa"/>
                  <w:vMerge w:val="restart"/>
                  <w:shd w:val="clear" w:color="auto" w:fill="auto"/>
                  <w:noWrap w:val="0"/>
                  <w:vAlign w:val="center"/>
                </w:tcPr>
                <w:p w14:paraId="17D1E386">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DA001</w:t>
                  </w:r>
                </w:p>
              </w:tc>
              <w:tc>
                <w:tcPr>
                  <w:tcW w:w="1307" w:type="dxa"/>
                  <w:vMerge w:val="restart"/>
                  <w:shd w:val="clear" w:color="auto" w:fill="auto"/>
                  <w:noWrap w:val="0"/>
                  <w:vAlign w:val="center"/>
                </w:tcPr>
                <w:p w14:paraId="08FCF9BD">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废气治理设施发生故障</w:t>
                  </w:r>
                </w:p>
              </w:tc>
              <w:tc>
                <w:tcPr>
                  <w:tcW w:w="887" w:type="dxa"/>
                  <w:shd w:val="clear" w:color="auto" w:fill="auto"/>
                  <w:noWrap w:val="0"/>
                  <w:vAlign w:val="center"/>
                </w:tcPr>
                <w:p w14:paraId="4329BCCC">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非甲烷总烃</w:t>
                  </w:r>
                </w:p>
              </w:tc>
              <w:tc>
                <w:tcPr>
                  <w:tcW w:w="1097" w:type="dxa"/>
                  <w:shd w:val="clear" w:color="auto" w:fill="auto"/>
                  <w:noWrap w:val="0"/>
                  <w:vAlign w:val="center"/>
                </w:tcPr>
                <w:p w14:paraId="4DDE49D1">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highlight w:val="none"/>
                      <w:u w:val="none"/>
                      <w:lang w:val="en-US"/>
                    </w:rPr>
                  </w:pPr>
                  <w:r>
                    <w:rPr>
                      <w:rFonts w:hint="default" w:ascii="Times New Roman" w:hAnsi="Times New Roman" w:eastAsia="宋体" w:cs="Times New Roman"/>
                      <w:i w:val="0"/>
                      <w:iCs w:val="0"/>
                      <w:color w:val="00B050"/>
                      <w:kern w:val="0"/>
                      <w:sz w:val="21"/>
                      <w:szCs w:val="21"/>
                      <w:u w:val="none"/>
                      <w:lang w:val="en-US" w:eastAsia="zh-CN" w:bidi="ar"/>
                    </w:rPr>
                    <w:t>0.1929</w:t>
                  </w:r>
                </w:p>
              </w:tc>
              <w:tc>
                <w:tcPr>
                  <w:tcW w:w="1242" w:type="dxa"/>
                  <w:shd w:val="clear" w:color="auto" w:fill="auto"/>
                  <w:noWrap w:val="0"/>
                  <w:vAlign w:val="center"/>
                </w:tcPr>
                <w:p w14:paraId="73BC1DF7">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highlight w:val="none"/>
                      <w:u w:val="none"/>
                      <w:lang w:val="en-US"/>
                    </w:rPr>
                  </w:pPr>
                  <w:r>
                    <w:rPr>
                      <w:rFonts w:hint="default" w:ascii="Times New Roman" w:hAnsi="Times New Roman" w:eastAsia="宋体" w:cs="Times New Roman"/>
                      <w:i w:val="0"/>
                      <w:iCs w:val="0"/>
                      <w:color w:val="00B050"/>
                      <w:kern w:val="0"/>
                      <w:sz w:val="21"/>
                      <w:szCs w:val="21"/>
                      <w:u w:val="none"/>
                      <w:lang w:val="en-US" w:eastAsia="zh-CN" w:bidi="ar"/>
                    </w:rPr>
                    <w:t>8.1386</w:t>
                  </w:r>
                </w:p>
              </w:tc>
              <w:tc>
                <w:tcPr>
                  <w:tcW w:w="887" w:type="dxa"/>
                  <w:vMerge w:val="restart"/>
                  <w:shd w:val="clear" w:color="auto" w:fill="auto"/>
                  <w:noWrap w:val="0"/>
                  <w:vAlign w:val="center"/>
                </w:tcPr>
                <w:p w14:paraId="33566343">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highlight w:val="none"/>
                      <w:u w:val="none"/>
                    </w:rPr>
                  </w:pPr>
                  <w:r>
                    <w:rPr>
                      <w:rFonts w:hint="default" w:ascii="Times New Roman" w:hAnsi="Times New Roman" w:eastAsia="宋体" w:cs="Times New Roman"/>
                      <w:i w:val="0"/>
                      <w:iCs w:val="0"/>
                      <w:color w:val="00B050"/>
                      <w:kern w:val="0"/>
                      <w:sz w:val="21"/>
                      <w:szCs w:val="21"/>
                      <w:u w:val="none"/>
                      <w:lang w:val="en-US" w:eastAsia="zh-CN" w:bidi="ar"/>
                    </w:rPr>
                    <w:t>0.5</w:t>
                  </w:r>
                </w:p>
              </w:tc>
              <w:tc>
                <w:tcPr>
                  <w:tcW w:w="806" w:type="dxa"/>
                  <w:vMerge w:val="restart"/>
                  <w:shd w:val="clear" w:color="auto" w:fill="auto"/>
                  <w:noWrap w:val="0"/>
                  <w:vAlign w:val="center"/>
                </w:tcPr>
                <w:p w14:paraId="3FA729C4">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小概率</w:t>
                  </w:r>
                </w:p>
              </w:tc>
              <w:tc>
                <w:tcPr>
                  <w:tcW w:w="1714" w:type="dxa"/>
                  <w:vMerge w:val="restart"/>
                  <w:shd w:val="clear" w:color="auto" w:fill="auto"/>
                  <w:noWrap w:val="0"/>
                  <w:vAlign w:val="center"/>
                </w:tcPr>
                <w:p w14:paraId="22C53084">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立即停止生产，修复后恢复生产</w:t>
                  </w:r>
                </w:p>
              </w:tc>
            </w:tr>
            <w:tr w14:paraId="48ABA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4" w:type="dxa"/>
                  <w:vMerge w:val="continue"/>
                  <w:shd w:val="clear" w:color="auto" w:fill="auto"/>
                  <w:noWrap w:val="0"/>
                  <w:vAlign w:val="center"/>
                </w:tcPr>
                <w:p w14:paraId="28C970EF">
                  <w:pPr>
                    <w:jc w:val="center"/>
                    <w:rPr>
                      <w:rFonts w:hint="default" w:ascii="Times New Roman" w:hAnsi="Times New Roman" w:eastAsia="宋体" w:cs="Times New Roman"/>
                      <w:i w:val="0"/>
                      <w:iCs w:val="0"/>
                      <w:color w:val="00B050"/>
                      <w:sz w:val="21"/>
                      <w:szCs w:val="21"/>
                      <w:u w:val="none"/>
                    </w:rPr>
                  </w:pPr>
                </w:p>
              </w:tc>
              <w:tc>
                <w:tcPr>
                  <w:tcW w:w="1307" w:type="dxa"/>
                  <w:vMerge w:val="continue"/>
                  <w:shd w:val="clear" w:color="auto" w:fill="auto"/>
                  <w:noWrap w:val="0"/>
                  <w:vAlign w:val="center"/>
                </w:tcPr>
                <w:p w14:paraId="73B44222">
                  <w:pPr>
                    <w:jc w:val="center"/>
                    <w:rPr>
                      <w:rFonts w:hint="default" w:ascii="Times New Roman" w:hAnsi="Times New Roman" w:eastAsia="宋体" w:cs="Times New Roman"/>
                      <w:i w:val="0"/>
                      <w:iCs w:val="0"/>
                      <w:color w:val="00B050"/>
                      <w:sz w:val="21"/>
                      <w:szCs w:val="21"/>
                      <w:u w:val="none"/>
                    </w:rPr>
                  </w:pPr>
                </w:p>
              </w:tc>
              <w:tc>
                <w:tcPr>
                  <w:tcW w:w="887" w:type="dxa"/>
                  <w:shd w:val="clear" w:color="auto" w:fill="auto"/>
                  <w:noWrap w:val="0"/>
                  <w:vAlign w:val="center"/>
                </w:tcPr>
                <w:p w14:paraId="7F4F11C8">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三甲苯</w:t>
                  </w:r>
                </w:p>
              </w:tc>
              <w:tc>
                <w:tcPr>
                  <w:tcW w:w="1097" w:type="dxa"/>
                  <w:shd w:val="clear" w:color="auto" w:fill="auto"/>
                  <w:noWrap w:val="0"/>
                  <w:vAlign w:val="center"/>
                </w:tcPr>
                <w:p w14:paraId="4940CAA7">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highlight w:val="none"/>
                      <w:u w:val="none"/>
                      <w:lang w:val="en-US"/>
                    </w:rPr>
                  </w:pPr>
                  <w:r>
                    <w:rPr>
                      <w:rFonts w:hint="default" w:ascii="Times New Roman" w:hAnsi="Times New Roman" w:eastAsia="宋体" w:cs="Times New Roman"/>
                      <w:i w:val="0"/>
                      <w:iCs w:val="0"/>
                      <w:color w:val="00B050"/>
                      <w:kern w:val="0"/>
                      <w:sz w:val="21"/>
                      <w:szCs w:val="21"/>
                      <w:u w:val="none"/>
                      <w:lang w:val="en-US" w:eastAsia="zh-CN" w:bidi="ar"/>
                    </w:rPr>
                    <w:t>0.0015</w:t>
                  </w:r>
                </w:p>
              </w:tc>
              <w:tc>
                <w:tcPr>
                  <w:tcW w:w="1242" w:type="dxa"/>
                  <w:shd w:val="clear" w:color="auto" w:fill="auto"/>
                  <w:noWrap w:val="0"/>
                  <w:vAlign w:val="center"/>
                </w:tcPr>
                <w:p w14:paraId="47A871DD">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highlight w:val="none"/>
                      <w:u w:val="none"/>
                      <w:lang w:val="en-US"/>
                    </w:rPr>
                  </w:pPr>
                  <w:r>
                    <w:rPr>
                      <w:rFonts w:hint="default" w:ascii="Times New Roman" w:hAnsi="Times New Roman" w:eastAsia="宋体" w:cs="Times New Roman"/>
                      <w:i w:val="0"/>
                      <w:iCs w:val="0"/>
                      <w:color w:val="00B050"/>
                      <w:kern w:val="0"/>
                      <w:sz w:val="21"/>
                      <w:szCs w:val="21"/>
                      <w:u w:val="none"/>
                      <w:lang w:val="en-US" w:eastAsia="zh-CN" w:bidi="ar"/>
                    </w:rPr>
                    <w:t>0.0633</w:t>
                  </w:r>
                </w:p>
              </w:tc>
              <w:tc>
                <w:tcPr>
                  <w:tcW w:w="887" w:type="dxa"/>
                  <w:vMerge w:val="continue"/>
                  <w:shd w:val="clear" w:color="auto" w:fill="auto"/>
                  <w:noWrap w:val="0"/>
                  <w:vAlign w:val="center"/>
                </w:tcPr>
                <w:p w14:paraId="34869C1A">
                  <w:pPr>
                    <w:jc w:val="center"/>
                    <w:rPr>
                      <w:rFonts w:hint="default" w:ascii="Times New Roman" w:hAnsi="Times New Roman" w:eastAsia="宋体" w:cs="Times New Roman"/>
                      <w:i w:val="0"/>
                      <w:iCs w:val="0"/>
                      <w:color w:val="00B050"/>
                      <w:sz w:val="21"/>
                      <w:szCs w:val="21"/>
                      <w:highlight w:val="none"/>
                      <w:u w:val="none"/>
                    </w:rPr>
                  </w:pPr>
                </w:p>
              </w:tc>
              <w:tc>
                <w:tcPr>
                  <w:tcW w:w="806" w:type="dxa"/>
                  <w:vMerge w:val="continue"/>
                  <w:shd w:val="clear" w:color="auto" w:fill="auto"/>
                  <w:noWrap w:val="0"/>
                  <w:vAlign w:val="center"/>
                </w:tcPr>
                <w:p w14:paraId="52868217">
                  <w:pPr>
                    <w:jc w:val="center"/>
                    <w:rPr>
                      <w:rFonts w:hint="default" w:ascii="Times New Roman" w:hAnsi="Times New Roman" w:eastAsia="宋体" w:cs="Times New Roman"/>
                      <w:i w:val="0"/>
                      <w:iCs w:val="0"/>
                      <w:color w:val="00B050"/>
                      <w:sz w:val="21"/>
                      <w:szCs w:val="21"/>
                      <w:u w:val="none"/>
                    </w:rPr>
                  </w:pPr>
                </w:p>
              </w:tc>
              <w:tc>
                <w:tcPr>
                  <w:tcW w:w="1714" w:type="dxa"/>
                  <w:vMerge w:val="continue"/>
                  <w:shd w:val="clear" w:color="auto" w:fill="auto"/>
                  <w:noWrap w:val="0"/>
                  <w:vAlign w:val="center"/>
                </w:tcPr>
                <w:p w14:paraId="305BBB19">
                  <w:pPr>
                    <w:jc w:val="center"/>
                    <w:rPr>
                      <w:rFonts w:hint="default" w:ascii="Times New Roman" w:hAnsi="Times New Roman" w:eastAsia="宋体" w:cs="Times New Roman"/>
                      <w:i w:val="0"/>
                      <w:iCs w:val="0"/>
                      <w:color w:val="00B050"/>
                      <w:sz w:val="21"/>
                      <w:szCs w:val="21"/>
                      <w:u w:val="none"/>
                    </w:rPr>
                  </w:pPr>
                </w:p>
              </w:tc>
            </w:tr>
            <w:tr w14:paraId="6C8B1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64" w:type="dxa"/>
                  <w:shd w:val="clear" w:color="auto" w:fill="auto"/>
                  <w:noWrap w:val="0"/>
                  <w:vAlign w:val="center"/>
                </w:tcPr>
                <w:p w14:paraId="3C5754EE">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DA002</w:t>
                  </w:r>
                </w:p>
              </w:tc>
              <w:tc>
                <w:tcPr>
                  <w:tcW w:w="1307" w:type="dxa"/>
                  <w:shd w:val="clear" w:color="auto" w:fill="auto"/>
                  <w:noWrap w:val="0"/>
                  <w:vAlign w:val="center"/>
                </w:tcPr>
                <w:p w14:paraId="6DF836DD">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eastAsia" w:ascii="宋体" w:hAnsi="宋体" w:eastAsia="宋体" w:cs="宋体"/>
                      <w:i w:val="0"/>
                      <w:iCs w:val="0"/>
                      <w:color w:val="00B050"/>
                      <w:kern w:val="0"/>
                      <w:sz w:val="21"/>
                      <w:szCs w:val="21"/>
                      <w:u w:val="none"/>
                      <w:lang w:val="en-US" w:eastAsia="zh-CN" w:bidi="ar"/>
                    </w:rPr>
                    <w:t>废气治理设施发生故障</w:t>
                  </w:r>
                </w:p>
              </w:tc>
              <w:tc>
                <w:tcPr>
                  <w:tcW w:w="887" w:type="dxa"/>
                  <w:shd w:val="clear" w:color="auto" w:fill="auto"/>
                  <w:noWrap w:val="0"/>
                  <w:vAlign w:val="center"/>
                </w:tcPr>
                <w:p w14:paraId="11FC1F7D">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eastAsia" w:ascii="宋体" w:hAnsi="宋体" w:eastAsia="宋体" w:cs="宋体"/>
                      <w:i w:val="0"/>
                      <w:iCs w:val="0"/>
                      <w:color w:val="00B050"/>
                      <w:kern w:val="0"/>
                      <w:sz w:val="21"/>
                      <w:szCs w:val="21"/>
                      <w:u w:val="none"/>
                      <w:lang w:val="en-US" w:eastAsia="zh-CN" w:bidi="ar"/>
                    </w:rPr>
                    <w:t>非甲烷总烃</w:t>
                  </w:r>
                </w:p>
              </w:tc>
              <w:tc>
                <w:tcPr>
                  <w:tcW w:w="1097" w:type="dxa"/>
                  <w:shd w:val="clear" w:color="auto" w:fill="auto"/>
                  <w:noWrap w:val="0"/>
                  <w:vAlign w:val="center"/>
                </w:tcPr>
                <w:p w14:paraId="3F28C750">
                  <w:pPr>
                    <w:keepNext w:val="0"/>
                    <w:keepLines w:val="0"/>
                    <w:widowControl/>
                    <w:suppressLineNumbers w:val="0"/>
                    <w:jc w:val="center"/>
                    <w:textAlignment w:val="center"/>
                    <w:rPr>
                      <w:rFonts w:hint="default" w:ascii="Times New Roman" w:hAnsi="Times New Roman" w:eastAsia="宋体" w:cs="Times New Roman"/>
                      <w:i w:val="0"/>
                      <w:iCs w:val="0"/>
                      <w:color w:val="00B050"/>
                      <w:kern w:val="2"/>
                      <w:sz w:val="22"/>
                      <w:szCs w:val="22"/>
                      <w:u w:val="none"/>
                      <w:lang w:val="en-US" w:eastAsia="zh-CN" w:bidi="ar-SA"/>
                    </w:rPr>
                  </w:pPr>
                  <w:r>
                    <w:rPr>
                      <w:rFonts w:hint="default" w:ascii="Times New Roman" w:hAnsi="Times New Roman" w:eastAsia="宋体" w:cs="Times New Roman"/>
                      <w:i w:val="0"/>
                      <w:iCs w:val="0"/>
                      <w:color w:val="00B050"/>
                      <w:kern w:val="0"/>
                      <w:sz w:val="21"/>
                      <w:szCs w:val="21"/>
                      <w:u w:val="none"/>
                      <w:lang w:val="en-US" w:eastAsia="zh-CN" w:bidi="ar"/>
                    </w:rPr>
                    <w:t>0.</w:t>
                  </w:r>
                  <w:r>
                    <w:rPr>
                      <w:rFonts w:hint="eastAsia" w:cs="Times New Roman"/>
                      <w:i w:val="0"/>
                      <w:iCs w:val="0"/>
                      <w:color w:val="00B050"/>
                      <w:kern w:val="0"/>
                      <w:sz w:val="21"/>
                      <w:szCs w:val="21"/>
                      <w:u w:val="none"/>
                      <w:lang w:val="en-US" w:eastAsia="zh-CN" w:bidi="ar"/>
                    </w:rPr>
                    <w:t>5441</w:t>
                  </w:r>
                </w:p>
              </w:tc>
              <w:tc>
                <w:tcPr>
                  <w:tcW w:w="1242" w:type="dxa"/>
                  <w:shd w:val="clear" w:color="auto" w:fill="auto"/>
                  <w:noWrap w:val="0"/>
                  <w:vAlign w:val="center"/>
                </w:tcPr>
                <w:p w14:paraId="77BB038F">
                  <w:pPr>
                    <w:keepNext w:val="0"/>
                    <w:keepLines w:val="0"/>
                    <w:widowControl/>
                    <w:suppressLineNumbers w:val="0"/>
                    <w:jc w:val="center"/>
                    <w:textAlignment w:val="center"/>
                    <w:rPr>
                      <w:rFonts w:hint="default" w:cs="Times New Roman"/>
                      <w:i w:val="0"/>
                      <w:iCs w:val="0"/>
                      <w:color w:val="00B050"/>
                      <w:kern w:val="0"/>
                      <w:sz w:val="21"/>
                      <w:szCs w:val="21"/>
                      <w:highlight w:val="none"/>
                      <w:u w:val="none"/>
                      <w:lang w:val="en-US" w:eastAsia="zh-CN" w:bidi="ar"/>
                    </w:rPr>
                  </w:pPr>
                  <w:r>
                    <w:rPr>
                      <w:rFonts w:hint="eastAsia" w:cs="Times New Roman"/>
                      <w:i w:val="0"/>
                      <w:iCs w:val="0"/>
                      <w:color w:val="00B050"/>
                      <w:kern w:val="0"/>
                      <w:sz w:val="21"/>
                      <w:szCs w:val="21"/>
                      <w:u w:val="none"/>
                      <w:lang w:val="en-US" w:eastAsia="zh-CN" w:bidi="ar"/>
                    </w:rPr>
                    <w:t>14.7045</w:t>
                  </w:r>
                </w:p>
              </w:tc>
              <w:tc>
                <w:tcPr>
                  <w:tcW w:w="887" w:type="dxa"/>
                  <w:shd w:val="clear" w:color="auto" w:fill="auto"/>
                  <w:noWrap w:val="0"/>
                  <w:vAlign w:val="center"/>
                </w:tcPr>
                <w:p w14:paraId="34019D3B">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highlight w:val="none"/>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0.5</w:t>
                  </w:r>
                </w:p>
              </w:tc>
              <w:tc>
                <w:tcPr>
                  <w:tcW w:w="806" w:type="dxa"/>
                  <w:shd w:val="clear" w:color="auto" w:fill="auto"/>
                  <w:noWrap w:val="0"/>
                  <w:vAlign w:val="center"/>
                </w:tcPr>
                <w:p w14:paraId="4B7B9A0B">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eastAsia" w:ascii="宋体" w:hAnsi="宋体" w:eastAsia="宋体" w:cs="宋体"/>
                      <w:i w:val="0"/>
                      <w:iCs w:val="0"/>
                      <w:color w:val="00B050"/>
                      <w:kern w:val="0"/>
                      <w:sz w:val="21"/>
                      <w:szCs w:val="21"/>
                      <w:u w:val="none"/>
                      <w:lang w:val="en-US" w:eastAsia="zh-CN" w:bidi="ar"/>
                    </w:rPr>
                    <w:t>小概率</w:t>
                  </w:r>
                </w:p>
              </w:tc>
              <w:tc>
                <w:tcPr>
                  <w:tcW w:w="1714" w:type="dxa"/>
                  <w:shd w:val="clear" w:color="auto" w:fill="auto"/>
                  <w:noWrap w:val="0"/>
                  <w:vAlign w:val="center"/>
                </w:tcPr>
                <w:p w14:paraId="1127B0DE">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eastAsia" w:ascii="宋体" w:hAnsi="宋体" w:eastAsia="宋体" w:cs="宋体"/>
                      <w:i w:val="0"/>
                      <w:iCs w:val="0"/>
                      <w:color w:val="00B050"/>
                      <w:kern w:val="0"/>
                      <w:sz w:val="21"/>
                      <w:szCs w:val="21"/>
                      <w:u w:val="none"/>
                      <w:lang w:val="en-US" w:eastAsia="zh-CN" w:bidi="ar"/>
                    </w:rPr>
                    <w:t>立即停止生产，修复后恢复生产</w:t>
                  </w:r>
                </w:p>
              </w:tc>
            </w:tr>
          </w:tbl>
          <w:p w14:paraId="6F776A41">
            <w:pPr>
              <w:pStyle w:val="49"/>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auto"/>
              </w:rPr>
            </w:pPr>
            <w:r>
              <w:rPr>
                <w:rFonts w:hint="default" w:ascii="Times New Roman" w:hAnsi="Times New Roman" w:cs="Times New Roman"/>
                <w:color w:val="auto"/>
              </w:rPr>
              <w:t>由上表可知，本项目正常工况下污染物排放浓度较低，对周边环境影响小，发生非正常排放</w:t>
            </w:r>
            <w:r>
              <w:rPr>
                <w:rFonts w:hint="eastAsia" w:ascii="Times New Roman" w:hAnsi="Times New Roman" w:cs="Times New Roman"/>
                <w:color w:val="auto"/>
                <w:lang w:val="en-US" w:eastAsia="zh-CN"/>
              </w:rPr>
              <w:t>时</w:t>
            </w:r>
            <w:r>
              <w:rPr>
                <w:rFonts w:hint="default" w:ascii="Times New Roman" w:hAnsi="Times New Roman" w:cs="Times New Roman"/>
                <w:color w:val="auto"/>
              </w:rPr>
              <w:t>，污染物排放浓度虽然会达标，但排放浓度增加。因此，建设单位应加强管理，定期对废气处理设施</w:t>
            </w:r>
            <w:r>
              <w:rPr>
                <w:rFonts w:hint="eastAsia" w:ascii="Times New Roman" w:hAnsi="Times New Roman" w:cs="Times New Roman"/>
                <w:color w:val="auto"/>
                <w:lang w:val="en-US" w:eastAsia="zh-CN"/>
              </w:rPr>
              <w:t>进行</w:t>
            </w:r>
            <w:r>
              <w:rPr>
                <w:rFonts w:hint="default" w:ascii="Times New Roman" w:hAnsi="Times New Roman" w:cs="Times New Roman"/>
                <w:color w:val="auto"/>
              </w:rPr>
              <w:t>维护保养，防止非正常排放情况发生。</w:t>
            </w:r>
          </w:p>
          <w:p w14:paraId="4D444D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（3）环境保护措施及环境影响</w:t>
            </w:r>
          </w:p>
          <w:p w14:paraId="6306E2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FF"/>
                <w:sz w:val="24"/>
                <w:lang w:eastAsia="zh-CN"/>
              </w:rPr>
            </w:pPr>
            <w:r>
              <w:rPr>
                <w:rFonts w:hint="default" w:ascii="Times New Roman" w:hAnsi="Times New Roman" w:cs="Times New Roman"/>
                <w:color w:val="0000FF"/>
                <w:sz w:val="24"/>
              </w:rPr>
              <w:t>本项目</w:t>
            </w:r>
            <w:r>
              <w:rPr>
                <w:rFonts w:hint="eastAsia" w:cs="Times New Roman"/>
                <w:color w:val="0000FF"/>
                <w:sz w:val="24"/>
                <w:lang w:val="en-US" w:eastAsia="zh-CN"/>
              </w:rPr>
              <w:t>1号厂房</w:t>
            </w:r>
            <w:r>
              <w:rPr>
                <w:rFonts w:hint="default" w:ascii="Times New Roman" w:hAnsi="Times New Roman" w:cs="Times New Roman"/>
                <w:color w:val="0000FF"/>
                <w:sz w:val="24"/>
              </w:rPr>
              <w:t>注塑废气</w:t>
            </w:r>
            <w:r>
              <w:rPr>
                <w:rFonts w:hint="eastAsia" w:cs="Times New Roman"/>
                <w:color w:val="0000FF"/>
                <w:sz w:val="24"/>
                <w:lang w:val="en-US" w:eastAsia="zh-CN"/>
              </w:rPr>
              <w:t>和移印废气</w:t>
            </w:r>
            <w:r>
              <w:rPr>
                <w:rFonts w:hint="default" w:ascii="Times New Roman" w:hAnsi="Times New Roman" w:cs="Times New Roman"/>
                <w:color w:val="0000FF"/>
                <w:sz w:val="24"/>
              </w:rPr>
              <w:t>收集后进入“两级活性炭”装置处理后，通过1根</w:t>
            </w:r>
            <w:r>
              <w:rPr>
                <w:rFonts w:hint="eastAsia" w:cs="Times New Roman"/>
                <w:color w:val="0000FF"/>
                <w:sz w:val="24"/>
                <w:lang w:val="en-US" w:eastAsia="zh-CN"/>
              </w:rPr>
              <w:t>32m</w:t>
            </w:r>
            <w:r>
              <w:rPr>
                <w:rFonts w:hint="default" w:ascii="Times New Roman" w:hAnsi="Times New Roman" w:cs="Times New Roman"/>
                <w:color w:val="0000FF"/>
                <w:sz w:val="24"/>
              </w:rPr>
              <w:t>高排气筒</w:t>
            </w:r>
            <w:r>
              <w:rPr>
                <w:rFonts w:hint="eastAsia" w:cs="Times New Roman"/>
                <w:color w:val="0000FF"/>
                <w:sz w:val="24"/>
                <w:lang w:eastAsia="zh-CN"/>
              </w:rPr>
              <w:t>（</w:t>
            </w:r>
            <w:r>
              <w:rPr>
                <w:rFonts w:hint="eastAsia" w:cs="Times New Roman"/>
                <w:color w:val="0000FF"/>
                <w:sz w:val="24"/>
                <w:lang w:val="en-US" w:eastAsia="zh-CN"/>
              </w:rPr>
              <w:t>DA001</w:t>
            </w:r>
            <w:r>
              <w:rPr>
                <w:rFonts w:hint="eastAsia" w:cs="Times New Roman"/>
                <w:color w:val="0000FF"/>
                <w:sz w:val="24"/>
                <w:lang w:eastAsia="zh-CN"/>
              </w:rPr>
              <w:t>）</w:t>
            </w:r>
            <w:r>
              <w:rPr>
                <w:rFonts w:hint="default" w:ascii="Times New Roman" w:hAnsi="Times New Roman" w:cs="Times New Roman"/>
                <w:color w:val="0000FF"/>
                <w:sz w:val="24"/>
              </w:rPr>
              <w:t>排放，非甲烷总烃排放浓度满足《四川省固定污染源大气挥发性有机物排放标准》（DB51/2377-2017）要求</w:t>
            </w:r>
            <w:r>
              <w:rPr>
                <w:rFonts w:hint="default" w:ascii="Times New Roman" w:hAnsi="Times New Roman" w:cs="Times New Roman"/>
                <w:color w:val="0000FF"/>
                <w:sz w:val="24"/>
                <w:lang w:eastAsia="zh-CN"/>
              </w:rPr>
              <w:t>，其他污染因子执行《合成树脂工业污染物排放标准》（GB 31572-2015）及“修改单”。</w:t>
            </w:r>
          </w:p>
          <w:p w14:paraId="506EE8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FF"/>
                <w:sz w:val="24"/>
                <w:lang w:val="en-US" w:eastAsia="zh-CN"/>
              </w:rPr>
            </w:pPr>
            <w:r>
              <w:rPr>
                <w:rFonts w:hint="eastAsia" w:cs="Times New Roman"/>
                <w:color w:val="0000FF"/>
                <w:sz w:val="24"/>
                <w:lang w:val="en-US" w:eastAsia="zh-CN"/>
              </w:rPr>
              <w:t>2号厂房</w:t>
            </w:r>
            <w:r>
              <w:rPr>
                <w:rFonts w:hint="default" w:ascii="Times New Roman" w:hAnsi="Times New Roman" w:cs="Times New Roman"/>
                <w:color w:val="0000FF"/>
                <w:sz w:val="24"/>
              </w:rPr>
              <w:t>注塑废气收集后进入“两级活性炭”装置处理后，通过1根</w:t>
            </w:r>
            <w:r>
              <w:rPr>
                <w:rFonts w:hint="eastAsia" w:cs="Times New Roman"/>
                <w:color w:val="0000FF"/>
                <w:sz w:val="24"/>
                <w:lang w:val="en-US" w:eastAsia="zh-CN"/>
              </w:rPr>
              <w:t>32m</w:t>
            </w:r>
            <w:r>
              <w:rPr>
                <w:rFonts w:hint="default" w:ascii="Times New Roman" w:hAnsi="Times New Roman" w:cs="Times New Roman"/>
                <w:color w:val="0000FF"/>
                <w:sz w:val="24"/>
              </w:rPr>
              <w:t>高排气筒</w:t>
            </w:r>
            <w:r>
              <w:rPr>
                <w:rFonts w:hint="eastAsia" w:cs="Times New Roman"/>
                <w:color w:val="0000FF"/>
                <w:sz w:val="24"/>
                <w:lang w:eastAsia="zh-CN"/>
              </w:rPr>
              <w:t>（</w:t>
            </w:r>
            <w:r>
              <w:rPr>
                <w:rFonts w:hint="eastAsia" w:cs="Times New Roman"/>
                <w:color w:val="0000FF"/>
                <w:sz w:val="24"/>
                <w:lang w:val="en-US" w:eastAsia="zh-CN"/>
              </w:rPr>
              <w:t>DA002</w:t>
            </w:r>
            <w:r>
              <w:rPr>
                <w:rFonts w:hint="eastAsia" w:cs="Times New Roman"/>
                <w:color w:val="0000FF"/>
                <w:sz w:val="24"/>
                <w:lang w:eastAsia="zh-CN"/>
              </w:rPr>
              <w:t>）</w:t>
            </w:r>
            <w:r>
              <w:rPr>
                <w:rFonts w:hint="default" w:ascii="Times New Roman" w:hAnsi="Times New Roman" w:cs="Times New Roman"/>
                <w:color w:val="0000FF"/>
                <w:sz w:val="24"/>
              </w:rPr>
              <w:t>排放，</w:t>
            </w:r>
            <w:r>
              <w:rPr>
                <w:rFonts w:hint="eastAsia" w:ascii="Times New Roman" w:hAnsi="Times New Roman" w:cs="Times New Roman"/>
                <w:color w:val="0000FF"/>
                <w:sz w:val="24"/>
                <w:lang w:val="en-US" w:eastAsia="zh-CN"/>
              </w:rPr>
              <w:t>污染物</w:t>
            </w:r>
            <w:r>
              <w:rPr>
                <w:rFonts w:hint="default" w:ascii="Times New Roman" w:hAnsi="Times New Roman" w:cs="Times New Roman"/>
                <w:color w:val="0000FF"/>
                <w:sz w:val="24"/>
              </w:rPr>
              <w:t>排放浓度</w:t>
            </w:r>
            <w:r>
              <w:rPr>
                <w:rFonts w:hint="default" w:ascii="Times New Roman" w:hAnsi="Times New Roman" w:cs="Times New Roman"/>
                <w:color w:val="0000FF"/>
                <w:sz w:val="24"/>
                <w:lang w:eastAsia="zh-CN"/>
              </w:rPr>
              <w:t>执行《合成树脂工业污染物排放标准》（GB 31572-2015）及“修改单”。</w:t>
            </w:r>
          </w:p>
          <w:p w14:paraId="7CD5EF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本项目严格按照评价提出的环保措施实施后，废气可实现达标排放，不会对区域环境空气质量产生明显影响，环境影响程度可接受。</w:t>
            </w:r>
          </w:p>
          <w:p w14:paraId="148EF313">
            <w:pPr>
              <w:pStyle w:val="49"/>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color w:val="auto"/>
              </w:rPr>
            </w:pPr>
            <w:r>
              <w:rPr>
                <w:rFonts w:hint="default" w:ascii="Times New Roman" w:hAnsi="Times New Roman" w:cs="Times New Roman"/>
                <w:b/>
                <w:color w:val="auto"/>
              </w:rPr>
              <w:t>4.2.1.5</w:t>
            </w:r>
            <w:r>
              <w:rPr>
                <w:rFonts w:hint="default" w:ascii="Times New Roman" w:hAnsi="Times New Roman" w:cs="Times New Roman"/>
                <w:b/>
                <w:color w:val="auto"/>
                <w:kern w:val="0"/>
              </w:rPr>
              <w:t>废气污染防治措施可行性分析</w:t>
            </w:r>
          </w:p>
          <w:p w14:paraId="3CA6044F">
            <w:pPr>
              <w:pStyle w:val="49"/>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auto"/>
                <w:kern w:val="0"/>
              </w:rPr>
            </w:pPr>
            <w:r>
              <w:rPr>
                <w:rFonts w:hint="default" w:ascii="Times New Roman" w:hAnsi="Times New Roman" w:cs="Times New Roman"/>
                <w:color w:val="auto"/>
                <w:kern w:val="0"/>
              </w:rPr>
              <w:t>（1）排气筒高度可行性分析</w:t>
            </w:r>
          </w:p>
          <w:p w14:paraId="6C2F8EA5">
            <w:pPr>
              <w:pStyle w:val="49"/>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00FF"/>
                <w:kern w:val="0"/>
              </w:rPr>
            </w:pPr>
            <w:r>
              <w:rPr>
                <w:rFonts w:hint="default" w:ascii="Times New Roman" w:hAnsi="Times New Roman" w:cs="Times New Roman"/>
                <w:color w:val="0000FF"/>
                <w:szCs w:val="24"/>
              </w:rPr>
              <w:t>根据《合成树脂工业污染物排放标准》（GB 31572-2015）“5.4其他污染控制要求”5.4.2排气筒高度应按照环境影响评价要求确定，至少不低于15m</w:t>
            </w:r>
            <w:r>
              <w:rPr>
                <w:rFonts w:hint="default" w:ascii="Times New Roman" w:hAnsi="Times New Roman" w:cs="Times New Roman"/>
                <w:color w:val="0000FF"/>
                <w:kern w:val="0"/>
              </w:rPr>
              <w:t>。本项目注塑废气排气筒</w:t>
            </w:r>
            <w:r>
              <w:rPr>
                <w:rFonts w:hint="eastAsia" w:cs="Times New Roman"/>
                <w:color w:val="0000FF"/>
                <w:kern w:val="0"/>
                <w:lang w:val="en-US" w:eastAsia="zh-CN"/>
              </w:rPr>
              <w:t>设置在楼顶，本项目厂房楼高29.7m，活性炭吸附处理装置与厂房部分重叠，排气筒高度约2m。因此本项目排气筒高度约32m</w:t>
            </w:r>
            <w:r>
              <w:rPr>
                <w:rFonts w:hint="default" w:ascii="Times New Roman" w:hAnsi="Times New Roman" w:cs="Times New Roman"/>
                <w:color w:val="0000FF"/>
                <w:kern w:val="0"/>
              </w:rPr>
              <w:t>，高度设置合理，满足要求。</w:t>
            </w:r>
          </w:p>
          <w:p w14:paraId="15605E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rPr>
            </w:pPr>
            <w:r>
              <w:rPr>
                <w:rFonts w:hint="default" w:ascii="Times New Roman" w:hAnsi="Times New Roman" w:cs="Times New Roman"/>
                <w:b w:val="0"/>
                <w:bCs w:val="0"/>
                <w:color w:val="auto"/>
                <w:sz w:val="24"/>
              </w:rPr>
              <w:t>（2）污染防治措施可行性分析</w:t>
            </w:r>
          </w:p>
          <w:p w14:paraId="736B0E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本项目主要对树脂进行注塑生产</w:t>
            </w:r>
            <w:r>
              <w:rPr>
                <w:rFonts w:hint="default" w:ascii="Times New Roman" w:hAnsi="Times New Roman" w:cs="Times New Roman"/>
                <w:color w:val="auto"/>
                <w:sz w:val="24"/>
                <w:lang w:val="en-US" w:eastAsia="zh-CN"/>
              </w:rPr>
              <w:t>手机充电器塑胶外壳和</w:t>
            </w:r>
            <w:r>
              <w:rPr>
                <w:rFonts w:hint="eastAsia" w:ascii="Times New Roman" w:hAnsi="Times New Roman" w:cs="Times New Roman"/>
                <w:color w:val="auto"/>
                <w:sz w:val="24"/>
                <w:lang w:val="en-US" w:eastAsia="zh-CN"/>
              </w:rPr>
              <w:t>路由器产品</w:t>
            </w:r>
            <w:r>
              <w:rPr>
                <w:rFonts w:hint="default" w:ascii="Times New Roman" w:hAnsi="Times New Roman" w:cs="Times New Roman"/>
                <w:color w:val="auto"/>
                <w:sz w:val="24"/>
              </w:rPr>
              <w:t>。因此，本次评价污染防治措施</w:t>
            </w:r>
            <w:r>
              <w:rPr>
                <w:rFonts w:hint="default" w:ascii="Times New Roman" w:hAnsi="Times New Roman" w:cs="Times New Roman"/>
                <w:color w:val="auto"/>
                <w:sz w:val="24"/>
                <w:lang w:val="en-US" w:eastAsia="zh-CN"/>
              </w:rPr>
              <w:t>根据</w:t>
            </w:r>
            <w:r>
              <w:rPr>
                <w:rFonts w:hint="default" w:ascii="Times New Roman" w:hAnsi="Times New Roman" w:cs="Times New Roman"/>
                <w:color w:val="auto"/>
                <w:sz w:val="24"/>
              </w:rPr>
              <w:t>《排污许可证申请与核发技术规范 橡胶和塑料制品工业》（HJ1122-2020）“表A.2 塑料制品工业排污单位废气污染防治可行技术参考表”</w:t>
            </w:r>
            <w:r>
              <w:rPr>
                <w:rFonts w:hint="default" w:ascii="Times New Roman" w:hAnsi="Times New Roman" w:cs="Times New Roman"/>
                <w:color w:val="auto"/>
                <w:sz w:val="24"/>
                <w:lang w:val="en-US" w:eastAsia="zh-CN"/>
              </w:rPr>
              <w:t>和</w:t>
            </w:r>
            <w:r>
              <w:rPr>
                <w:rFonts w:hint="default" w:ascii="Times New Roman" w:hAnsi="Times New Roman" w:cs="Times New Roman"/>
                <w:color w:val="auto"/>
                <w:sz w:val="24"/>
              </w:rPr>
              <w:t>《排污许可证申请与核发技术规范 印刷工业》（HJ1066-2019）进行分析。</w:t>
            </w:r>
          </w:p>
          <w:p w14:paraId="7F7536E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本项目废气治理设施可行性分析详见表4.2-</w:t>
            </w:r>
            <w:r>
              <w:rPr>
                <w:rFonts w:hint="default" w:ascii="Times New Roman" w:hAnsi="Times New Roman" w:cs="Times New Roman"/>
                <w:color w:val="auto"/>
                <w:sz w:val="24"/>
                <w:lang w:val="en-US" w:eastAsia="zh-CN"/>
              </w:rPr>
              <w:t>12</w:t>
            </w:r>
            <w:r>
              <w:rPr>
                <w:rFonts w:hint="default" w:ascii="Times New Roman" w:hAnsi="Times New Roman" w:cs="Times New Roman"/>
                <w:color w:val="auto"/>
                <w:sz w:val="24"/>
              </w:rPr>
              <w:t>。</w:t>
            </w:r>
          </w:p>
          <w:p w14:paraId="4CE351F5">
            <w:pPr>
              <w:pStyle w:val="49"/>
              <w:spacing w:line="240" w:lineRule="auto"/>
              <w:ind w:firstLine="0" w:firstLineChars="0"/>
              <w:jc w:val="center"/>
              <w:rPr>
                <w:rFonts w:hint="default" w:ascii="Times New Roman" w:hAnsi="Times New Roman" w:cs="Times New Roman"/>
                <w:b/>
                <w:bCs/>
                <w:color w:val="auto"/>
                <w:szCs w:val="24"/>
              </w:rPr>
            </w:pPr>
            <w:r>
              <w:rPr>
                <w:rFonts w:hint="default" w:ascii="Times New Roman" w:hAnsi="Times New Roman" w:cs="Times New Roman"/>
                <w:b/>
                <w:bCs/>
                <w:color w:val="auto"/>
                <w:szCs w:val="24"/>
              </w:rPr>
              <w:t>表4.2-</w:t>
            </w:r>
            <w:r>
              <w:rPr>
                <w:rFonts w:hint="default" w:ascii="Times New Roman" w:hAnsi="Times New Roman" w:cs="Times New Roman"/>
                <w:b/>
                <w:bCs/>
                <w:color w:val="auto"/>
                <w:szCs w:val="24"/>
                <w:lang w:val="en-US" w:eastAsia="zh-CN"/>
              </w:rPr>
              <w:t>12</w:t>
            </w:r>
            <w:r>
              <w:rPr>
                <w:rFonts w:hint="default" w:ascii="Times New Roman" w:hAnsi="Times New Roman" w:cs="Times New Roman"/>
                <w:b/>
                <w:bCs/>
                <w:color w:val="auto"/>
                <w:szCs w:val="24"/>
              </w:rPr>
              <w:t xml:space="preserve">  废气治理设施可行性分析表</w:t>
            </w:r>
          </w:p>
          <w:tbl>
            <w:tblPr>
              <w:tblStyle w:val="35"/>
              <w:tblW w:w="87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1279"/>
              <w:gridCol w:w="1913"/>
              <w:gridCol w:w="4510"/>
            </w:tblGrid>
            <w:tr w14:paraId="07DE5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5" w:type="dxa"/>
                  <w:noWrap w:val="0"/>
                  <w:vAlign w:val="center"/>
                </w:tcPr>
                <w:p w14:paraId="69EAEE2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产污环节</w:t>
                  </w:r>
                </w:p>
              </w:tc>
              <w:tc>
                <w:tcPr>
                  <w:tcW w:w="1279" w:type="dxa"/>
                  <w:noWrap w:val="0"/>
                  <w:vAlign w:val="center"/>
                </w:tcPr>
                <w:p w14:paraId="5532BC9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污染物种类</w:t>
                  </w:r>
                </w:p>
              </w:tc>
              <w:tc>
                <w:tcPr>
                  <w:tcW w:w="1913" w:type="dxa"/>
                  <w:noWrap w:val="0"/>
                  <w:vAlign w:val="center"/>
                </w:tcPr>
                <w:p w14:paraId="42B720E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过程控制技术</w:t>
                  </w:r>
                </w:p>
              </w:tc>
              <w:tc>
                <w:tcPr>
                  <w:tcW w:w="4510" w:type="dxa"/>
                  <w:noWrap w:val="0"/>
                  <w:vAlign w:val="center"/>
                </w:tcPr>
                <w:p w14:paraId="171D870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可行技术</w:t>
                  </w:r>
                </w:p>
              </w:tc>
            </w:tr>
            <w:tr w14:paraId="6CC12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5" w:type="dxa"/>
                  <w:noWrap w:val="0"/>
                  <w:vAlign w:val="center"/>
                </w:tcPr>
                <w:p w14:paraId="32F983D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破碎</w:t>
                  </w:r>
                </w:p>
              </w:tc>
              <w:tc>
                <w:tcPr>
                  <w:tcW w:w="1279" w:type="dxa"/>
                  <w:noWrap w:val="0"/>
                  <w:vAlign w:val="center"/>
                </w:tcPr>
                <w:p w14:paraId="534073B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bCs/>
                      <w:color w:val="auto"/>
                      <w:szCs w:val="21"/>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1913" w:type="dxa"/>
                  <w:noWrap w:val="0"/>
                  <w:vAlign w:val="center"/>
                </w:tcPr>
                <w:p w14:paraId="2DD226E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容积替代</w:t>
                  </w:r>
                </w:p>
              </w:tc>
              <w:tc>
                <w:tcPr>
                  <w:tcW w:w="4510" w:type="dxa"/>
                  <w:noWrap w:val="0"/>
                  <w:vAlign w:val="center"/>
                </w:tcPr>
                <w:p w14:paraId="090B8CB4">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袋式除尘；滤筒/滤芯除尘</w:t>
                  </w:r>
                </w:p>
              </w:tc>
            </w:tr>
            <w:tr w14:paraId="15DD9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5" w:type="dxa"/>
                  <w:noWrap w:val="0"/>
                  <w:vAlign w:val="center"/>
                </w:tcPr>
                <w:p w14:paraId="13AF2F6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注塑</w:t>
                  </w:r>
                </w:p>
              </w:tc>
              <w:tc>
                <w:tcPr>
                  <w:tcW w:w="1279" w:type="dxa"/>
                  <w:noWrap w:val="0"/>
                  <w:vAlign w:val="center"/>
                </w:tcPr>
                <w:p w14:paraId="6085F9F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bCs/>
                      <w:color w:val="auto"/>
                      <w:szCs w:val="21"/>
                    </w:rPr>
                  </w:pPr>
                  <w:r>
                    <w:rPr>
                      <w:rFonts w:hint="default" w:ascii="Times New Roman" w:hAnsi="Times New Roman" w:eastAsia="宋体" w:cs="Times New Roman"/>
                      <w:i w:val="0"/>
                      <w:iCs w:val="0"/>
                      <w:color w:val="auto"/>
                      <w:kern w:val="0"/>
                      <w:sz w:val="21"/>
                      <w:szCs w:val="21"/>
                      <w:u w:val="none"/>
                      <w:lang w:val="en-US" w:eastAsia="zh-CN" w:bidi="ar"/>
                    </w:rPr>
                    <w:t>非甲烷总烃</w:t>
                  </w:r>
                </w:p>
              </w:tc>
              <w:tc>
                <w:tcPr>
                  <w:tcW w:w="1913" w:type="dxa"/>
                  <w:noWrap w:val="0"/>
                  <w:vAlign w:val="center"/>
                </w:tcPr>
                <w:p w14:paraId="3998C6E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密闭过程密闭场所</w:t>
                  </w:r>
                </w:p>
              </w:tc>
              <w:tc>
                <w:tcPr>
                  <w:tcW w:w="4510" w:type="dxa"/>
                  <w:noWrap w:val="0"/>
                  <w:vAlign w:val="center"/>
                </w:tcPr>
                <w:p w14:paraId="479655FA">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喷淋；吸附；吸附浓缩+热力燃烧/催化燃烧</w:t>
                  </w:r>
                </w:p>
              </w:tc>
            </w:tr>
            <w:tr w14:paraId="0EC8B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75" w:type="dxa"/>
                  <w:noWrap w:val="0"/>
                  <w:vAlign w:val="center"/>
                </w:tcPr>
                <w:p w14:paraId="449FB68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印刷</w:t>
                  </w:r>
                </w:p>
              </w:tc>
              <w:tc>
                <w:tcPr>
                  <w:tcW w:w="1279" w:type="dxa"/>
                  <w:noWrap w:val="0"/>
                  <w:vAlign w:val="center"/>
                </w:tcPr>
                <w:p w14:paraId="6999556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非甲烷总烃</w:t>
                  </w:r>
                </w:p>
              </w:tc>
              <w:tc>
                <w:tcPr>
                  <w:tcW w:w="1913" w:type="dxa"/>
                  <w:noWrap w:val="0"/>
                  <w:vAlign w:val="center"/>
                </w:tcPr>
                <w:p w14:paraId="548D5E3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密闭过程密闭场所</w:t>
                  </w:r>
                </w:p>
              </w:tc>
              <w:tc>
                <w:tcPr>
                  <w:tcW w:w="4510" w:type="dxa"/>
                  <w:noWrap w:val="0"/>
                  <w:vAlign w:val="center"/>
                </w:tcPr>
                <w:p w14:paraId="035711CC">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集气设施或密闭车间、活性炭吸附、浓缩+热力（催化）氧化技术、直接热力（催化）氧化技术、其他</w:t>
                  </w:r>
                </w:p>
              </w:tc>
            </w:tr>
          </w:tbl>
          <w:p w14:paraId="44642D0D">
            <w:pPr>
              <w:pStyle w:val="49"/>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b/>
                <w:bCs/>
                <w:color w:val="auto"/>
                <w:szCs w:val="24"/>
              </w:rPr>
            </w:pPr>
            <w:r>
              <w:rPr>
                <w:rFonts w:hint="default" w:ascii="Times New Roman" w:hAnsi="Times New Roman" w:cs="Times New Roman"/>
                <w:color w:val="auto"/>
                <w:szCs w:val="22"/>
              </w:rPr>
              <w:t>本项目</w:t>
            </w:r>
            <w:r>
              <w:rPr>
                <w:rFonts w:hint="default" w:ascii="Times New Roman" w:hAnsi="Times New Roman" w:cs="Times New Roman"/>
                <w:color w:val="auto"/>
                <w:szCs w:val="22"/>
                <w:lang w:val="en-US" w:eastAsia="zh-CN"/>
              </w:rPr>
              <w:t>由于</w:t>
            </w:r>
            <w:r>
              <w:rPr>
                <w:rFonts w:hint="default" w:ascii="Times New Roman" w:hAnsi="Times New Roman" w:cs="Times New Roman"/>
                <w:color w:val="auto"/>
                <w:szCs w:val="22"/>
              </w:rPr>
              <w:t>集中破碎粉尘</w:t>
            </w:r>
            <w:r>
              <w:rPr>
                <w:rFonts w:hint="default" w:ascii="Times New Roman" w:hAnsi="Times New Roman" w:cs="Times New Roman"/>
                <w:color w:val="auto"/>
                <w:szCs w:val="22"/>
                <w:lang w:val="en-US" w:eastAsia="zh-CN"/>
              </w:rPr>
              <w:t>产生</w:t>
            </w:r>
            <w:r>
              <w:rPr>
                <w:rFonts w:hint="eastAsia" w:ascii="Times New Roman" w:hAnsi="Times New Roman" w:cs="Times New Roman"/>
                <w:color w:val="auto"/>
                <w:szCs w:val="22"/>
                <w:lang w:val="en-US" w:eastAsia="zh-CN"/>
              </w:rPr>
              <w:t>的</w:t>
            </w:r>
            <w:r>
              <w:rPr>
                <w:rFonts w:hint="default" w:ascii="Times New Roman" w:hAnsi="Times New Roman" w:cs="Times New Roman"/>
                <w:color w:val="auto"/>
                <w:szCs w:val="22"/>
                <w:lang w:val="en-US" w:eastAsia="zh-CN"/>
              </w:rPr>
              <w:t>颗粒物量极少，因此车间无组织排放</w:t>
            </w:r>
            <w:r>
              <w:rPr>
                <w:rFonts w:hint="default" w:ascii="Times New Roman" w:hAnsi="Times New Roman" w:cs="Times New Roman"/>
                <w:color w:val="auto"/>
                <w:szCs w:val="22"/>
                <w:lang w:eastAsia="zh-CN"/>
              </w:rPr>
              <w:t>；</w:t>
            </w:r>
            <w:r>
              <w:rPr>
                <w:rFonts w:hint="default" w:ascii="Times New Roman" w:hAnsi="Times New Roman" w:cs="Times New Roman"/>
                <w:color w:val="auto"/>
                <w:szCs w:val="22"/>
              </w:rPr>
              <w:t>注塑废气</w:t>
            </w:r>
            <w:r>
              <w:rPr>
                <w:rFonts w:hint="default" w:ascii="Times New Roman" w:hAnsi="Times New Roman" w:cs="Times New Roman"/>
                <w:color w:val="auto"/>
                <w:szCs w:val="22"/>
                <w:lang w:val="en-US" w:eastAsia="zh-CN"/>
              </w:rPr>
              <w:t>和印刷废气</w:t>
            </w:r>
            <w:r>
              <w:rPr>
                <w:rFonts w:hint="default" w:ascii="Times New Roman" w:hAnsi="Times New Roman" w:cs="Times New Roman"/>
                <w:color w:val="auto"/>
                <w:szCs w:val="22"/>
              </w:rPr>
              <w:t>采取“两级活性炭”处理装置处理，符合</w:t>
            </w:r>
            <w:r>
              <w:rPr>
                <w:rFonts w:hint="default" w:ascii="Times New Roman" w:hAnsi="Times New Roman" w:cs="Times New Roman"/>
                <w:color w:val="auto"/>
              </w:rPr>
              <w:t>《排污许可证申请与核发技术规范 橡胶和塑料制品工业》（HJ1122-2020）</w:t>
            </w:r>
            <w:r>
              <w:rPr>
                <w:rFonts w:hint="default" w:ascii="Times New Roman" w:hAnsi="Times New Roman" w:cs="Times New Roman"/>
                <w:color w:val="auto"/>
                <w:sz w:val="24"/>
                <w:lang w:val="en-US" w:eastAsia="zh-CN"/>
              </w:rPr>
              <w:t>和</w:t>
            </w:r>
            <w:r>
              <w:rPr>
                <w:rFonts w:hint="default" w:ascii="Times New Roman" w:hAnsi="Times New Roman" w:cs="Times New Roman"/>
                <w:color w:val="auto"/>
                <w:sz w:val="24"/>
              </w:rPr>
              <w:t>《排污许可证申请与核发技术规范 印刷工业》（HJ1066-2019）</w:t>
            </w:r>
            <w:r>
              <w:rPr>
                <w:rFonts w:hint="default" w:ascii="Times New Roman" w:hAnsi="Times New Roman" w:cs="Times New Roman"/>
                <w:color w:val="auto"/>
              </w:rPr>
              <w:t>规范要求。</w:t>
            </w:r>
          </w:p>
          <w:p w14:paraId="7DD4284B">
            <w:pPr>
              <w:pStyle w:val="49"/>
              <w:keepNext w:val="0"/>
              <w:keepLines w:val="0"/>
              <w:pageBreakBefore w:val="0"/>
              <w:widowControl w:val="0"/>
              <w:kinsoku/>
              <w:wordWrap/>
              <w:overflowPunct/>
              <w:topLinePunct w:val="0"/>
              <w:autoSpaceDE/>
              <w:autoSpaceDN/>
              <w:bidi w:val="0"/>
              <w:adjustRightInd/>
              <w:snapToGrid/>
              <w:ind w:firstLine="482"/>
              <w:textAlignment w:val="auto"/>
              <w:rPr>
                <w:rFonts w:hint="default" w:ascii="Times New Roman" w:hAnsi="Times New Roman" w:cs="Times New Roman"/>
                <w:b/>
                <w:bCs/>
                <w:color w:val="auto"/>
                <w:kern w:val="0"/>
              </w:rPr>
            </w:pPr>
            <w:r>
              <w:rPr>
                <w:rFonts w:hint="default" w:ascii="Times New Roman" w:hAnsi="Times New Roman" w:cs="Times New Roman"/>
                <w:b/>
                <w:bCs/>
                <w:color w:val="auto"/>
                <w:kern w:val="0"/>
              </w:rPr>
              <w:t>一、废气有组织措施</w:t>
            </w:r>
          </w:p>
          <w:p w14:paraId="0EA1BCA5">
            <w:pPr>
              <w:pStyle w:val="49"/>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auto"/>
                <w:kern w:val="0"/>
              </w:rPr>
            </w:pPr>
            <w:r>
              <w:rPr>
                <w:rFonts w:hint="default" w:ascii="Times New Roman" w:hAnsi="Times New Roman" w:cs="Times New Roman"/>
                <w:color w:val="auto"/>
                <w:kern w:val="0"/>
              </w:rPr>
              <w:t>本项目注塑废气</w:t>
            </w:r>
            <w:r>
              <w:rPr>
                <w:rFonts w:hint="eastAsia" w:cs="Times New Roman"/>
                <w:color w:val="auto"/>
                <w:kern w:val="0"/>
                <w:lang w:val="en-US" w:eastAsia="zh-CN"/>
              </w:rPr>
              <w:t>和印刷废气</w:t>
            </w:r>
            <w:r>
              <w:rPr>
                <w:rFonts w:hint="default" w:ascii="Times New Roman" w:hAnsi="Times New Roman" w:cs="Times New Roman"/>
                <w:color w:val="auto"/>
                <w:kern w:val="0"/>
              </w:rPr>
              <w:t>新建废气收集管网（支管），采取“两级活性炭”处理工艺，注塑废气经处理达标后通过</w:t>
            </w:r>
            <w:r>
              <w:rPr>
                <w:rFonts w:hint="eastAsia" w:cs="Times New Roman"/>
                <w:color w:val="auto"/>
                <w:kern w:val="0"/>
                <w:lang w:val="en-US" w:eastAsia="zh-CN"/>
              </w:rPr>
              <w:t>32m</w:t>
            </w:r>
            <w:r>
              <w:rPr>
                <w:rFonts w:hint="default" w:ascii="Times New Roman" w:hAnsi="Times New Roman" w:cs="Times New Roman"/>
                <w:color w:val="auto"/>
                <w:kern w:val="0"/>
              </w:rPr>
              <w:t>排气筒排放。该注塑废气排气筒排放浓度符合污染物排放标准，采取“两级活性炭”处理工艺</w:t>
            </w:r>
            <w:r>
              <w:rPr>
                <w:rFonts w:hint="default" w:ascii="Times New Roman" w:hAnsi="Times New Roman" w:cs="Times New Roman"/>
                <w:color w:val="auto"/>
                <w:szCs w:val="22"/>
              </w:rPr>
              <w:t>符合</w:t>
            </w:r>
            <w:r>
              <w:rPr>
                <w:rFonts w:hint="default" w:ascii="Times New Roman" w:hAnsi="Times New Roman" w:cs="Times New Roman"/>
                <w:color w:val="auto"/>
              </w:rPr>
              <w:t>《排污许可证申请与核发技术规范 橡胶和塑料制品工业》（HJ1122-2020）</w:t>
            </w:r>
            <w:r>
              <w:rPr>
                <w:rFonts w:hint="default" w:ascii="Times New Roman" w:hAnsi="Times New Roman" w:cs="Times New Roman"/>
                <w:color w:val="auto"/>
                <w:lang w:val="en-US" w:eastAsia="zh-CN"/>
              </w:rPr>
              <w:t>和《排污许可证申请与核发技术规范 印刷工业》（HJ1066-2019）</w:t>
            </w:r>
            <w:r>
              <w:rPr>
                <w:rFonts w:hint="default" w:ascii="Times New Roman" w:hAnsi="Times New Roman" w:cs="Times New Roman"/>
                <w:color w:val="auto"/>
              </w:rPr>
              <w:t>规范要求。</w:t>
            </w:r>
          </w:p>
          <w:p w14:paraId="4E3D1B0D">
            <w:pPr>
              <w:pStyle w:val="49"/>
              <w:keepNext w:val="0"/>
              <w:keepLines w:val="0"/>
              <w:pageBreakBefore w:val="0"/>
              <w:widowControl w:val="0"/>
              <w:kinsoku/>
              <w:wordWrap/>
              <w:overflowPunct/>
              <w:topLinePunct w:val="0"/>
              <w:autoSpaceDE/>
              <w:autoSpaceDN/>
              <w:bidi w:val="0"/>
              <w:adjustRightInd/>
              <w:snapToGrid/>
              <w:ind w:firstLine="482"/>
              <w:textAlignment w:val="auto"/>
              <w:rPr>
                <w:rFonts w:hint="default" w:ascii="Times New Roman" w:hAnsi="Times New Roman" w:cs="Times New Roman"/>
                <w:b/>
                <w:bCs/>
                <w:color w:val="00B050"/>
                <w:szCs w:val="24"/>
              </w:rPr>
            </w:pPr>
            <w:r>
              <w:rPr>
                <w:rFonts w:hint="default" w:ascii="Times New Roman" w:hAnsi="Times New Roman" w:cs="Times New Roman"/>
                <w:b/>
                <w:bCs/>
                <w:color w:val="00B050"/>
                <w:szCs w:val="24"/>
              </w:rPr>
              <w:t>二、废气无组织</w:t>
            </w:r>
          </w:p>
          <w:p w14:paraId="78E95AEF">
            <w:pPr>
              <w:pStyle w:val="49"/>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B050"/>
                <w:szCs w:val="24"/>
              </w:rPr>
            </w:pPr>
            <w:r>
              <w:rPr>
                <w:rFonts w:hint="eastAsia" w:cs="Times New Roman"/>
                <w:color w:val="00B050"/>
                <w:szCs w:val="24"/>
                <w:lang w:val="en-US" w:eastAsia="zh-CN"/>
              </w:rPr>
              <w:t>加料</w:t>
            </w:r>
            <w:r>
              <w:rPr>
                <w:rFonts w:hint="default" w:ascii="Times New Roman" w:hAnsi="Times New Roman" w:cs="Times New Roman"/>
                <w:color w:val="00B050"/>
                <w:szCs w:val="24"/>
              </w:rPr>
              <w:t>废气：原料加入料筒会产生少量颗粒物</w:t>
            </w:r>
            <w:r>
              <w:rPr>
                <w:rFonts w:hint="eastAsia" w:cs="Times New Roman"/>
                <w:color w:val="00B050"/>
                <w:szCs w:val="24"/>
                <w:lang w:eastAsia="zh-CN"/>
              </w:rPr>
              <w:t>，</w:t>
            </w:r>
            <w:r>
              <w:rPr>
                <w:rFonts w:hint="default" w:ascii="Times New Roman" w:hAnsi="Times New Roman" w:cs="Times New Roman"/>
                <w:bCs/>
                <w:color w:val="00B050"/>
              </w:rPr>
              <w:t>车间内无组织排放。</w:t>
            </w:r>
          </w:p>
          <w:p w14:paraId="48A0461C">
            <w:pPr>
              <w:pStyle w:val="206"/>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B050"/>
              </w:rPr>
            </w:pPr>
            <w:r>
              <w:rPr>
                <w:rFonts w:hint="default" w:ascii="Times New Roman" w:hAnsi="Times New Roman" w:cs="Times New Roman"/>
                <w:color w:val="00B050"/>
              </w:rPr>
              <w:t>破碎粉尘：破碎过程中有少量粉尘产生。破碎</w:t>
            </w:r>
            <w:r>
              <w:rPr>
                <w:rFonts w:hint="eastAsia" w:cs="Times New Roman"/>
                <w:color w:val="00B050"/>
                <w:lang w:val="en-US" w:eastAsia="zh-CN"/>
              </w:rPr>
              <w:t>工序主要对边角料、不合格品、废塑料进行破碎。</w:t>
            </w:r>
            <w:r>
              <w:rPr>
                <w:rFonts w:hint="default" w:ascii="Times New Roman" w:hAnsi="Times New Roman" w:cs="Times New Roman"/>
                <w:color w:val="00B050"/>
                <w:szCs w:val="24"/>
              </w:rPr>
              <w:t>参照《第二次全国污染源普查工业污染源-</w:t>
            </w:r>
            <w:r>
              <w:rPr>
                <w:rFonts w:hint="default" w:ascii="Times New Roman" w:hAnsi="Times New Roman" w:cs="Times New Roman"/>
                <w:color w:val="00B050"/>
                <w:highlight w:val="none"/>
              </w:rPr>
              <w:t>4220非金属废料和碎屑加工处理行业手册</w:t>
            </w:r>
            <w:r>
              <w:rPr>
                <w:rFonts w:hint="default" w:ascii="Times New Roman" w:hAnsi="Times New Roman" w:cs="Times New Roman"/>
                <w:color w:val="00B050"/>
                <w:szCs w:val="24"/>
              </w:rPr>
              <w:t>》，破碎颗粒物产污系数为</w:t>
            </w:r>
            <w:r>
              <w:rPr>
                <w:rFonts w:hint="default" w:ascii="Times New Roman" w:hAnsi="Times New Roman" w:cs="Times New Roman"/>
                <w:color w:val="00B050"/>
                <w:szCs w:val="24"/>
                <w:lang w:val="en-US" w:eastAsia="zh-CN"/>
              </w:rPr>
              <w:t>425</w:t>
            </w:r>
            <w:r>
              <w:rPr>
                <w:rFonts w:hint="default" w:ascii="Times New Roman" w:hAnsi="Times New Roman" w:cs="Times New Roman"/>
                <w:color w:val="00B050"/>
                <w:szCs w:val="24"/>
              </w:rPr>
              <w:t>g/t产品。</w:t>
            </w:r>
            <w:r>
              <w:rPr>
                <w:rFonts w:hint="default" w:ascii="Times New Roman" w:hAnsi="Times New Roman" w:cs="Times New Roman"/>
                <w:color w:val="00B050"/>
                <w:spacing w:val="-3"/>
                <w:szCs w:val="24"/>
              </w:rPr>
              <w:t>根据建设单位提供资料，项目不合格产品及废塑料</w:t>
            </w:r>
            <w:r>
              <w:rPr>
                <w:rFonts w:hint="default" w:ascii="Times New Roman" w:hAnsi="Times New Roman" w:cs="Times New Roman"/>
                <w:color w:val="00B050"/>
                <w:spacing w:val="-3"/>
                <w:szCs w:val="24"/>
                <w:lang w:val="en-US" w:eastAsia="zh-CN"/>
              </w:rPr>
              <w:t>约</w:t>
            </w:r>
            <w:r>
              <w:rPr>
                <w:rFonts w:hint="eastAsia" w:cs="Times New Roman"/>
                <w:color w:val="00B050"/>
                <w:spacing w:val="-3"/>
                <w:szCs w:val="24"/>
                <w:lang w:val="en-US" w:eastAsia="zh-CN"/>
              </w:rPr>
              <w:t>占产品总量的7%</w:t>
            </w:r>
            <w:r>
              <w:rPr>
                <w:rFonts w:hint="default" w:ascii="Times New Roman" w:hAnsi="Times New Roman" w:cs="Times New Roman"/>
                <w:color w:val="00B050"/>
                <w:spacing w:val="-3"/>
                <w:szCs w:val="24"/>
              </w:rPr>
              <w:t>。</w:t>
            </w:r>
            <w:r>
              <w:rPr>
                <w:rFonts w:hint="default" w:ascii="Times New Roman" w:hAnsi="Times New Roman" w:cs="Times New Roman"/>
                <w:color w:val="00B050"/>
              </w:rPr>
              <w:t>经核算，项目集中破碎工序颗粒物产生量约</w:t>
            </w:r>
            <w:r>
              <w:rPr>
                <w:rFonts w:hint="eastAsia" w:cs="Times New Roman"/>
                <w:color w:val="00B050"/>
                <w:lang w:eastAsia="zh-CN"/>
              </w:rPr>
              <w:t>0.0238</w:t>
            </w:r>
            <w:r>
              <w:rPr>
                <w:rFonts w:hint="default" w:ascii="Times New Roman" w:hAnsi="Times New Roman" w:cs="Times New Roman"/>
                <w:color w:val="00B050"/>
              </w:rPr>
              <w:t>t/a</w:t>
            </w:r>
            <w:r>
              <w:rPr>
                <w:rFonts w:hint="default" w:ascii="Times New Roman" w:hAnsi="Times New Roman" w:cs="Times New Roman"/>
                <w:color w:val="00B050"/>
                <w:lang w:eastAsia="zh-CN"/>
              </w:rPr>
              <w:t>，</w:t>
            </w:r>
            <w:r>
              <w:rPr>
                <w:rFonts w:hint="default" w:ascii="Times New Roman" w:hAnsi="Times New Roman" w:cs="Times New Roman"/>
                <w:color w:val="00B050"/>
                <w:lang w:val="en-US" w:eastAsia="zh-CN"/>
              </w:rPr>
              <w:t>产</w:t>
            </w:r>
            <w:r>
              <w:rPr>
                <w:rFonts w:hint="eastAsia" w:ascii="Times New Roman" w:hAnsi="Times New Roman" w:cs="Times New Roman"/>
                <w:color w:val="00B050"/>
                <w:lang w:val="en-US" w:eastAsia="zh-CN"/>
              </w:rPr>
              <w:t>生</w:t>
            </w:r>
            <w:r>
              <w:rPr>
                <w:rFonts w:hint="default" w:ascii="Times New Roman" w:hAnsi="Times New Roman" w:cs="Times New Roman"/>
                <w:color w:val="00B050"/>
                <w:lang w:val="en-US" w:eastAsia="zh-CN"/>
              </w:rPr>
              <w:t>量极少，集中</w:t>
            </w:r>
            <w:r>
              <w:rPr>
                <w:rFonts w:hint="default" w:ascii="Times New Roman" w:hAnsi="Times New Roman" w:cs="Times New Roman"/>
                <w:color w:val="00B050"/>
              </w:rPr>
              <w:t>破碎粉尘车间内无组织排放。</w:t>
            </w:r>
          </w:p>
          <w:p w14:paraId="5A4CAA4D">
            <w:pPr>
              <w:pStyle w:val="49"/>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bCs/>
                <w:color w:val="00B050"/>
              </w:rPr>
            </w:pPr>
            <w:r>
              <w:rPr>
                <w:rFonts w:hint="default" w:ascii="Times New Roman" w:hAnsi="Times New Roman" w:cs="Times New Roman"/>
                <w:bCs/>
                <w:color w:val="00B050"/>
              </w:rPr>
              <w:t>模具保养废气</w:t>
            </w:r>
            <w:r>
              <w:rPr>
                <w:rFonts w:hint="default" w:ascii="Times New Roman" w:hAnsi="Times New Roman" w:cs="Times New Roman"/>
                <w:color w:val="00B050"/>
                <w:szCs w:val="24"/>
              </w:rPr>
              <w:t>：</w:t>
            </w:r>
            <w:r>
              <w:rPr>
                <w:rFonts w:hint="default" w:ascii="Times New Roman" w:hAnsi="Times New Roman" w:cs="Times New Roman"/>
                <w:bCs/>
                <w:color w:val="00B050"/>
              </w:rPr>
              <w:t>本项目模具保养废气非甲烷总烃产生量极少，在车间内无组织排放。</w:t>
            </w:r>
          </w:p>
          <w:p w14:paraId="1DAAA837">
            <w:pPr>
              <w:pStyle w:val="49"/>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bCs/>
                <w:color w:val="00B050"/>
                <w:lang w:eastAsia="zh-CN"/>
              </w:rPr>
            </w:pPr>
            <w:r>
              <w:rPr>
                <w:rFonts w:hint="default" w:ascii="Times New Roman" w:hAnsi="Times New Roman" w:cs="Times New Roman"/>
                <w:bCs/>
                <w:color w:val="00B050"/>
              </w:rPr>
              <w:t>模具加工烟尘</w:t>
            </w:r>
            <w:r>
              <w:rPr>
                <w:rFonts w:hint="eastAsia" w:cs="Times New Roman"/>
                <w:bCs/>
                <w:color w:val="00B050"/>
                <w:lang w:eastAsia="zh-CN"/>
              </w:rPr>
              <w:t>：模具加工过程中会采取磨床加工等操作，会产生少量加工烟尘，车间无组织排放。</w:t>
            </w:r>
          </w:p>
          <w:p w14:paraId="229CA158">
            <w:pPr>
              <w:pStyle w:val="49"/>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00B050"/>
                <w:szCs w:val="24"/>
              </w:rPr>
            </w:pPr>
            <w:r>
              <w:rPr>
                <w:rFonts w:hint="default" w:ascii="Times New Roman" w:hAnsi="Times New Roman" w:cs="Times New Roman"/>
                <w:color w:val="00B050"/>
                <w:szCs w:val="24"/>
              </w:rPr>
              <w:t>综上，本项目</w:t>
            </w:r>
            <w:r>
              <w:rPr>
                <w:rFonts w:hint="default" w:ascii="Times New Roman" w:hAnsi="Times New Roman" w:cs="Times New Roman"/>
                <w:color w:val="00B050"/>
                <w:kern w:val="0"/>
              </w:rPr>
              <w:t>废气治理措施符合</w:t>
            </w:r>
            <w:r>
              <w:rPr>
                <w:rFonts w:hint="default" w:ascii="Times New Roman" w:hAnsi="Times New Roman" w:cs="Times New Roman"/>
                <w:color w:val="00B050"/>
              </w:rPr>
              <w:t>《排污许可证申请与核发技术规范 橡胶和塑料制品工业》（HJ1122-2020）和《排污许可证申请与核发技术规范 印刷工业》（HJ1066-2019）</w:t>
            </w:r>
            <w:r>
              <w:rPr>
                <w:rFonts w:hint="default" w:ascii="Times New Roman" w:hAnsi="Times New Roman" w:cs="Times New Roman"/>
                <w:color w:val="00B050"/>
                <w:szCs w:val="24"/>
              </w:rPr>
              <w:t>要求。</w:t>
            </w:r>
          </w:p>
          <w:p w14:paraId="616B404A">
            <w:pPr>
              <w:pStyle w:val="49"/>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color w:val="00B050"/>
              </w:rPr>
            </w:pPr>
            <w:r>
              <w:rPr>
                <w:rFonts w:hint="default" w:ascii="Times New Roman" w:hAnsi="Times New Roman" w:cs="Times New Roman"/>
                <w:b/>
                <w:color w:val="00B050"/>
              </w:rPr>
              <w:t>4.2.1.6废气污染物排放量</w:t>
            </w:r>
          </w:p>
          <w:p w14:paraId="4F694452">
            <w:pPr>
              <w:pStyle w:val="49"/>
              <w:spacing w:line="240" w:lineRule="auto"/>
              <w:ind w:firstLine="0" w:firstLineChars="0"/>
              <w:jc w:val="center"/>
              <w:rPr>
                <w:rFonts w:hint="default" w:ascii="Times New Roman" w:hAnsi="Times New Roman" w:cs="Times New Roman"/>
                <w:b/>
                <w:bCs/>
                <w:color w:val="00B050"/>
                <w:szCs w:val="24"/>
              </w:rPr>
            </w:pPr>
            <w:r>
              <w:rPr>
                <w:rFonts w:hint="default" w:ascii="Times New Roman" w:hAnsi="Times New Roman" w:cs="Times New Roman"/>
                <w:b/>
                <w:bCs/>
                <w:color w:val="00B050"/>
                <w:szCs w:val="24"/>
              </w:rPr>
              <w:t>表4.2-</w:t>
            </w:r>
            <w:r>
              <w:rPr>
                <w:rFonts w:hint="default" w:ascii="Times New Roman" w:hAnsi="Times New Roman" w:cs="Times New Roman"/>
                <w:b/>
                <w:bCs/>
                <w:color w:val="00B050"/>
                <w:szCs w:val="24"/>
                <w:lang w:val="en-US" w:eastAsia="zh-CN"/>
              </w:rPr>
              <w:t>13</w:t>
            </w:r>
            <w:r>
              <w:rPr>
                <w:rFonts w:hint="default" w:ascii="Times New Roman" w:hAnsi="Times New Roman" w:cs="Times New Roman"/>
                <w:b/>
                <w:bCs/>
                <w:color w:val="00B050"/>
                <w:szCs w:val="24"/>
              </w:rPr>
              <w:t xml:space="preserve">  本项目大气污染物有组织排放量核算表</w:t>
            </w:r>
          </w:p>
          <w:tbl>
            <w:tblPr>
              <w:tblStyle w:val="3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1417"/>
              <w:gridCol w:w="1417"/>
              <w:gridCol w:w="1417"/>
              <w:gridCol w:w="1418"/>
              <w:gridCol w:w="1418"/>
            </w:tblGrid>
            <w:tr w14:paraId="45F18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417" w:type="dxa"/>
                  <w:noWrap w:val="0"/>
                  <w:vAlign w:val="center"/>
                </w:tcPr>
                <w:p w14:paraId="0652969F">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序号</w:t>
                  </w:r>
                </w:p>
              </w:tc>
              <w:tc>
                <w:tcPr>
                  <w:tcW w:w="1417" w:type="dxa"/>
                  <w:noWrap w:val="0"/>
                  <w:vAlign w:val="center"/>
                </w:tcPr>
                <w:p w14:paraId="37DCBD32">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排放口编号</w:t>
                  </w:r>
                </w:p>
              </w:tc>
              <w:tc>
                <w:tcPr>
                  <w:tcW w:w="1417" w:type="dxa"/>
                  <w:noWrap w:val="0"/>
                  <w:vAlign w:val="center"/>
                </w:tcPr>
                <w:p w14:paraId="60788671">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污染物</w:t>
                  </w:r>
                </w:p>
              </w:tc>
              <w:tc>
                <w:tcPr>
                  <w:tcW w:w="1417" w:type="dxa"/>
                  <w:noWrap w:val="0"/>
                  <w:vAlign w:val="center"/>
                </w:tcPr>
                <w:p w14:paraId="0137305A">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核算排放浓度</w:t>
                  </w:r>
                  <w:r>
                    <w:rPr>
                      <w:rFonts w:hint="default" w:ascii="Times New Roman" w:hAnsi="Times New Roman" w:eastAsia="宋体" w:cs="Times New Roman"/>
                      <w:i w:val="0"/>
                      <w:iCs w:val="0"/>
                      <w:color w:val="00B050"/>
                      <w:kern w:val="0"/>
                      <w:sz w:val="21"/>
                      <w:szCs w:val="21"/>
                      <w:u w:val="none"/>
                      <w:lang w:val="en-US" w:eastAsia="zh-CN" w:bidi="ar"/>
                    </w:rPr>
                    <w:t>/</w:t>
                  </w:r>
                  <w:r>
                    <w:rPr>
                      <w:rFonts w:hint="eastAsia" w:ascii="宋体" w:hAnsi="宋体" w:eastAsia="宋体" w:cs="宋体"/>
                      <w:i w:val="0"/>
                      <w:iCs w:val="0"/>
                      <w:color w:val="00B050"/>
                      <w:kern w:val="0"/>
                      <w:sz w:val="21"/>
                      <w:szCs w:val="21"/>
                      <w:u w:val="none"/>
                      <w:lang w:val="en-US" w:eastAsia="zh-CN" w:bidi="ar"/>
                    </w:rPr>
                    <w:t>（</w:t>
                  </w:r>
                  <w:r>
                    <w:rPr>
                      <w:rFonts w:hint="default" w:ascii="Times New Roman" w:hAnsi="Times New Roman" w:eastAsia="宋体" w:cs="Times New Roman"/>
                      <w:i w:val="0"/>
                      <w:iCs w:val="0"/>
                      <w:color w:val="00B050"/>
                      <w:kern w:val="0"/>
                      <w:sz w:val="21"/>
                      <w:szCs w:val="21"/>
                      <w:u w:val="none"/>
                      <w:lang w:val="en-US" w:eastAsia="zh-CN" w:bidi="ar"/>
                    </w:rPr>
                    <w:t>mg/m</w:t>
                  </w:r>
                  <w:r>
                    <w:rPr>
                      <w:rFonts w:hint="default" w:ascii="Times New Roman" w:hAnsi="Times New Roman" w:eastAsia="宋体" w:cs="Times New Roman"/>
                      <w:i w:val="0"/>
                      <w:iCs w:val="0"/>
                      <w:color w:val="00B050"/>
                      <w:kern w:val="0"/>
                      <w:sz w:val="21"/>
                      <w:szCs w:val="21"/>
                      <w:u w:val="none"/>
                      <w:vertAlign w:val="superscript"/>
                      <w:lang w:val="en-US" w:eastAsia="zh-CN" w:bidi="ar"/>
                    </w:rPr>
                    <w:t>3</w:t>
                  </w:r>
                  <w:r>
                    <w:rPr>
                      <w:rFonts w:hint="eastAsia" w:ascii="宋体" w:hAnsi="宋体" w:eastAsia="宋体" w:cs="宋体"/>
                      <w:i w:val="0"/>
                      <w:iCs w:val="0"/>
                      <w:color w:val="00B050"/>
                      <w:kern w:val="0"/>
                      <w:sz w:val="21"/>
                      <w:szCs w:val="21"/>
                      <w:u w:val="none"/>
                      <w:lang w:val="en-US" w:eastAsia="zh-CN" w:bidi="ar"/>
                    </w:rPr>
                    <w:t>）</w:t>
                  </w:r>
                </w:p>
              </w:tc>
              <w:tc>
                <w:tcPr>
                  <w:tcW w:w="1418" w:type="dxa"/>
                  <w:noWrap w:val="0"/>
                  <w:vAlign w:val="center"/>
                </w:tcPr>
                <w:p w14:paraId="46E8BCAF">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核算排放速率</w:t>
                  </w:r>
                  <w:r>
                    <w:rPr>
                      <w:rFonts w:hint="default" w:ascii="Times New Roman" w:hAnsi="Times New Roman" w:eastAsia="宋体" w:cs="Times New Roman"/>
                      <w:i w:val="0"/>
                      <w:iCs w:val="0"/>
                      <w:color w:val="00B050"/>
                      <w:kern w:val="0"/>
                      <w:sz w:val="21"/>
                      <w:szCs w:val="21"/>
                      <w:u w:val="none"/>
                      <w:lang w:val="en-US" w:eastAsia="zh-CN" w:bidi="ar"/>
                    </w:rPr>
                    <w:t>/</w:t>
                  </w:r>
                  <w:r>
                    <w:rPr>
                      <w:rFonts w:hint="eastAsia" w:ascii="宋体" w:hAnsi="宋体" w:eastAsia="宋体" w:cs="宋体"/>
                      <w:i w:val="0"/>
                      <w:iCs w:val="0"/>
                      <w:color w:val="00B050"/>
                      <w:kern w:val="0"/>
                      <w:sz w:val="21"/>
                      <w:szCs w:val="21"/>
                      <w:u w:val="none"/>
                      <w:lang w:val="en-US" w:eastAsia="zh-CN" w:bidi="ar"/>
                    </w:rPr>
                    <w:t>（</w:t>
                  </w:r>
                  <w:r>
                    <w:rPr>
                      <w:rFonts w:hint="default" w:ascii="Times New Roman" w:hAnsi="Times New Roman" w:eastAsia="宋体" w:cs="Times New Roman"/>
                      <w:i w:val="0"/>
                      <w:iCs w:val="0"/>
                      <w:color w:val="00B050"/>
                      <w:kern w:val="0"/>
                      <w:sz w:val="21"/>
                      <w:szCs w:val="21"/>
                      <w:u w:val="none"/>
                      <w:lang w:val="en-US" w:eastAsia="zh-CN" w:bidi="ar"/>
                    </w:rPr>
                    <w:t>kg/h</w:t>
                  </w:r>
                  <w:r>
                    <w:rPr>
                      <w:rFonts w:hint="eastAsia" w:ascii="宋体" w:hAnsi="宋体" w:eastAsia="宋体" w:cs="宋体"/>
                      <w:i w:val="0"/>
                      <w:iCs w:val="0"/>
                      <w:color w:val="00B050"/>
                      <w:kern w:val="0"/>
                      <w:sz w:val="21"/>
                      <w:szCs w:val="21"/>
                      <w:u w:val="none"/>
                      <w:lang w:val="en-US" w:eastAsia="zh-CN" w:bidi="ar"/>
                    </w:rPr>
                    <w:t>）</w:t>
                  </w:r>
                </w:p>
              </w:tc>
              <w:tc>
                <w:tcPr>
                  <w:tcW w:w="1418" w:type="dxa"/>
                  <w:noWrap w:val="0"/>
                  <w:vAlign w:val="center"/>
                </w:tcPr>
                <w:p w14:paraId="765AB15F">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核算年排放量</w:t>
                  </w:r>
                  <w:r>
                    <w:rPr>
                      <w:rFonts w:hint="default" w:ascii="Times New Roman" w:hAnsi="Times New Roman" w:eastAsia="宋体" w:cs="Times New Roman"/>
                      <w:i w:val="0"/>
                      <w:iCs w:val="0"/>
                      <w:color w:val="00B050"/>
                      <w:kern w:val="0"/>
                      <w:sz w:val="21"/>
                      <w:szCs w:val="21"/>
                      <w:u w:val="none"/>
                      <w:lang w:val="en-US" w:eastAsia="zh-CN" w:bidi="ar"/>
                    </w:rPr>
                    <w:t>/</w:t>
                  </w:r>
                  <w:r>
                    <w:rPr>
                      <w:rFonts w:hint="eastAsia" w:ascii="宋体" w:hAnsi="宋体" w:eastAsia="宋体" w:cs="宋体"/>
                      <w:i w:val="0"/>
                      <w:iCs w:val="0"/>
                      <w:color w:val="00B050"/>
                      <w:kern w:val="0"/>
                      <w:sz w:val="21"/>
                      <w:szCs w:val="21"/>
                      <w:u w:val="none"/>
                      <w:lang w:val="en-US" w:eastAsia="zh-CN" w:bidi="ar"/>
                    </w:rPr>
                    <w:t>（</w:t>
                  </w:r>
                  <w:r>
                    <w:rPr>
                      <w:rFonts w:hint="default" w:ascii="Times New Roman" w:hAnsi="Times New Roman" w:eastAsia="宋体" w:cs="Times New Roman"/>
                      <w:i w:val="0"/>
                      <w:iCs w:val="0"/>
                      <w:color w:val="00B050"/>
                      <w:kern w:val="0"/>
                      <w:sz w:val="21"/>
                      <w:szCs w:val="21"/>
                      <w:u w:val="none"/>
                      <w:lang w:val="en-US" w:eastAsia="zh-CN" w:bidi="ar"/>
                    </w:rPr>
                    <w:t>t/a</w:t>
                  </w:r>
                  <w:r>
                    <w:rPr>
                      <w:rFonts w:hint="eastAsia" w:ascii="宋体" w:hAnsi="宋体" w:eastAsia="宋体" w:cs="宋体"/>
                      <w:i w:val="0"/>
                      <w:iCs w:val="0"/>
                      <w:color w:val="00B050"/>
                      <w:kern w:val="0"/>
                      <w:sz w:val="21"/>
                      <w:szCs w:val="21"/>
                      <w:u w:val="none"/>
                      <w:lang w:val="en-US" w:eastAsia="zh-CN" w:bidi="ar"/>
                    </w:rPr>
                    <w:t>）</w:t>
                  </w:r>
                </w:p>
              </w:tc>
            </w:tr>
            <w:tr w14:paraId="3308C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504" w:type="dxa"/>
                  <w:gridSpan w:val="6"/>
                  <w:noWrap w:val="0"/>
                  <w:vAlign w:val="center"/>
                </w:tcPr>
                <w:p w14:paraId="203F2B79">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一般排放口</w:t>
                  </w:r>
                </w:p>
              </w:tc>
            </w:tr>
            <w:tr w14:paraId="1186A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17" w:type="dxa"/>
                  <w:vMerge w:val="restart"/>
                  <w:noWrap w:val="0"/>
                  <w:vAlign w:val="center"/>
                </w:tcPr>
                <w:p w14:paraId="685F91F3">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1</w:t>
                  </w:r>
                </w:p>
              </w:tc>
              <w:tc>
                <w:tcPr>
                  <w:tcW w:w="1417" w:type="dxa"/>
                  <w:vMerge w:val="restart"/>
                  <w:noWrap w:val="0"/>
                  <w:vAlign w:val="center"/>
                </w:tcPr>
                <w:p w14:paraId="51E93491">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DA001</w:t>
                  </w:r>
                </w:p>
              </w:tc>
              <w:tc>
                <w:tcPr>
                  <w:tcW w:w="1417" w:type="dxa"/>
                  <w:noWrap w:val="0"/>
                  <w:vAlign w:val="center"/>
                </w:tcPr>
                <w:p w14:paraId="41BE40F9">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非甲烷总烃</w:t>
                  </w:r>
                </w:p>
              </w:tc>
              <w:tc>
                <w:tcPr>
                  <w:tcW w:w="1417" w:type="dxa"/>
                  <w:noWrap w:val="0"/>
                  <w:vAlign w:val="center"/>
                </w:tcPr>
                <w:p w14:paraId="3679569D">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highlight w:val="yellow"/>
                      <w:u w:val="none"/>
                    </w:rPr>
                  </w:pPr>
                  <w:r>
                    <w:rPr>
                      <w:rFonts w:hint="default" w:ascii="Times New Roman" w:hAnsi="Times New Roman" w:eastAsia="宋体" w:cs="Times New Roman"/>
                      <w:i w:val="0"/>
                      <w:iCs w:val="0"/>
                      <w:color w:val="00B050"/>
                      <w:kern w:val="0"/>
                      <w:sz w:val="21"/>
                      <w:szCs w:val="21"/>
                      <w:u w:val="none"/>
                      <w:lang w:val="en-US" w:eastAsia="zh-CN" w:bidi="ar"/>
                    </w:rPr>
                    <w:t>2.0347</w:t>
                  </w:r>
                </w:p>
              </w:tc>
              <w:tc>
                <w:tcPr>
                  <w:tcW w:w="1418" w:type="dxa"/>
                  <w:noWrap w:val="0"/>
                  <w:vAlign w:val="center"/>
                </w:tcPr>
                <w:p w14:paraId="3B92D563">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highlight w:val="yellow"/>
                      <w:u w:val="none"/>
                    </w:rPr>
                  </w:pPr>
                  <w:r>
                    <w:rPr>
                      <w:rFonts w:hint="default" w:ascii="Times New Roman" w:hAnsi="Times New Roman" w:eastAsia="宋体" w:cs="Times New Roman"/>
                      <w:i w:val="0"/>
                      <w:iCs w:val="0"/>
                      <w:color w:val="00B050"/>
                      <w:kern w:val="0"/>
                      <w:sz w:val="21"/>
                      <w:szCs w:val="21"/>
                      <w:u w:val="none"/>
                      <w:lang w:val="en-US" w:eastAsia="zh-CN" w:bidi="ar"/>
                    </w:rPr>
                    <w:t>0.0482</w:t>
                  </w:r>
                </w:p>
              </w:tc>
              <w:tc>
                <w:tcPr>
                  <w:tcW w:w="1418" w:type="dxa"/>
                  <w:noWrap w:val="0"/>
                  <w:vAlign w:val="center"/>
                </w:tcPr>
                <w:p w14:paraId="402BEBCF">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highlight w:val="yellow"/>
                      <w:u w:val="none"/>
                    </w:rPr>
                  </w:pPr>
                  <w:r>
                    <w:rPr>
                      <w:rFonts w:hint="default" w:ascii="Times New Roman" w:hAnsi="Times New Roman" w:eastAsia="宋体" w:cs="Times New Roman"/>
                      <w:i w:val="0"/>
                      <w:iCs w:val="0"/>
                      <w:color w:val="00B050"/>
                      <w:kern w:val="0"/>
                      <w:sz w:val="21"/>
                      <w:szCs w:val="21"/>
                      <w:u w:val="none"/>
                      <w:lang w:val="en-US" w:eastAsia="zh-CN" w:bidi="ar"/>
                    </w:rPr>
                    <w:t>0.1157</w:t>
                  </w:r>
                </w:p>
              </w:tc>
            </w:tr>
            <w:tr w14:paraId="58261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17" w:type="dxa"/>
                  <w:vMerge w:val="continue"/>
                  <w:noWrap w:val="0"/>
                  <w:vAlign w:val="center"/>
                </w:tcPr>
                <w:p w14:paraId="4B343106">
                  <w:pPr>
                    <w:jc w:val="center"/>
                    <w:rPr>
                      <w:rFonts w:hint="default" w:ascii="Times New Roman" w:hAnsi="Times New Roman" w:eastAsia="宋体" w:cs="Times New Roman"/>
                      <w:i w:val="0"/>
                      <w:iCs w:val="0"/>
                      <w:color w:val="00B050"/>
                      <w:sz w:val="21"/>
                      <w:szCs w:val="21"/>
                      <w:u w:val="none"/>
                    </w:rPr>
                  </w:pPr>
                </w:p>
              </w:tc>
              <w:tc>
                <w:tcPr>
                  <w:tcW w:w="1417" w:type="dxa"/>
                  <w:vMerge w:val="continue"/>
                  <w:noWrap w:val="0"/>
                  <w:vAlign w:val="center"/>
                </w:tcPr>
                <w:p w14:paraId="6A363B8A">
                  <w:pPr>
                    <w:jc w:val="center"/>
                    <w:rPr>
                      <w:rFonts w:hint="default" w:ascii="Times New Roman" w:hAnsi="Times New Roman" w:eastAsia="宋体" w:cs="Times New Roman"/>
                      <w:i w:val="0"/>
                      <w:iCs w:val="0"/>
                      <w:color w:val="00B050"/>
                      <w:sz w:val="21"/>
                      <w:szCs w:val="21"/>
                      <w:u w:val="none"/>
                    </w:rPr>
                  </w:pPr>
                </w:p>
              </w:tc>
              <w:tc>
                <w:tcPr>
                  <w:tcW w:w="1417" w:type="dxa"/>
                  <w:noWrap w:val="0"/>
                  <w:vAlign w:val="center"/>
                </w:tcPr>
                <w:p w14:paraId="639502CF">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三甲苯</w:t>
                  </w:r>
                </w:p>
              </w:tc>
              <w:tc>
                <w:tcPr>
                  <w:tcW w:w="1417" w:type="dxa"/>
                  <w:noWrap w:val="0"/>
                  <w:vAlign w:val="center"/>
                </w:tcPr>
                <w:p w14:paraId="0DFAA397">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highlight w:val="yellow"/>
                      <w:u w:val="none"/>
                    </w:rPr>
                  </w:pPr>
                  <w:r>
                    <w:rPr>
                      <w:rFonts w:hint="default" w:ascii="Times New Roman" w:hAnsi="Times New Roman" w:eastAsia="宋体" w:cs="Times New Roman"/>
                      <w:i w:val="0"/>
                      <w:iCs w:val="0"/>
                      <w:color w:val="00B050"/>
                      <w:kern w:val="0"/>
                      <w:sz w:val="21"/>
                      <w:szCs w:val="21"/>
                      <w:u w:val="none"/>
                      <w:lang w:val="en-US" w:eastAsia="zh-CN" w:bidi="ar"/>
                    </w:rPr>
                    <w:t>0.0158</w:t>
                  </w:r>
                </w:p>
              </w:tc>
              <w:tc>
                <w:tcPr>
                  <w:tcW w:w="1418" w:type="dxa"/>
                  <w:noWrap w:val="0"/>
                  <w:vAlign w:val="center"/>
                </w:tcPr>
                <w:p w14:paraId="34780B4E">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highlight w:val="yellow"/>
                      <w:u w:val="none"/>
                    </w:rPr>
                  </w:pPr>
                  <w:r>
                    <w:rPr>
                      <w:rFonts w:hint="default" w:ascii="Times New Roman" w:hAnsi="Times New Roman" w:eastAsia="宋体" w:cs="Times New Roman"/>
                      <w:i w:val="0"/>
                      <w:iCs w:val="0"/>
                      <w:color w:val="00B050"/>
                      <w:kern w:val="0"/>
                      <w:sz w:val="21"/>
                      <w:szCs w:val="21"/>
                      <w:u w:val="none"/>
                      <w:lang w:val="en-US" w:eastAsia="zh-CN" w:bidi="ar"/>
                    </w:rPr>
                    <w:t>0.0004</w:t>
                  </w:r>
                </w:p>
              </w:tc>
              <w:tc>
                <w:tcPr>
                  <w:tcW w:w="1418" w:type="dxa"/>
                  <w:noWrap w:val="0"/>
                  <w:vAlign w:val="center"/>
                </w:tcPr>
                <w:p w14:paraId="5067C1A9">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highlight w:val="yellow"/>
                      <w:u w:val="none"/>
                    </w:rPr>
                  </w:pPr>
                  <w:r>
                    <w:rPr>
                      <w:rFonts w:hint="default" w:ascii="Times New Roman" w:hAnsi="Times New Roman" w:eastAsia="宋体" w:cs="Times New Roman"/>
                      <w:i w:val="0"/>
                      <w:iCs w:val="0"/>
                      <w:color w:val="00B050"/>
                      <w:kern w:val="0"/>
                      <w:sz w:val="21"/>
                      <w:szCs w:val="21"/>
                      <w:u w:val="none"/>
                      <w:lang w:val="en-US" w:eastAsia="zh-CN" w:bidi="ar"/>
                    </w:rPr>
                    <w:t>0.0009</w:t>
                  </w:r>
                </w:p>
              </w:tc>
            </w:tr>
            <w:tr w14:paraId="5BEBF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17" w:type="dxa"/>
                  <w:vMerge w:val="continue"/>
                  <w:noWrap w:val="0"/>
                  <w:vAlign w:val="center"/>
                </w:tcPr>
                <w:p w14:paraId="77247E68">
                  <w:pPr>
                    <w:jc w:val="center"/>
                    <w:rPr>
                      <w:rFonts w:hint="default" w:ascii="Times New Roman" w:hAnsi="Times New Roman" w:eastAsia="宋体" w:cs="Times New Roman"/>
                      <w:i w:val="0"/>
                      <w:iCs w:val="0"/>
                      <w:color w:val="00B050"/>
                      <w:sz w:val="21"/>
                      <w:szCs w:val="21"/>
                      <w:u w:val="none"/>
                    </w:rPr>
                  </w:pPr>
                </w:p>
              </w:tc>
              <w:tc>
                <w:tcPr>
                  <w:tcW w:w="1417" w:type="dxa"/>
                  <w:vMerge w:val="continue"/>
                  <w:noWrap w:val="0"/>
                  <w:vAlign w:val="center"/>
                </w:tcPr>
                <w:p w14:paraId="4149D96A">
                  <w:pPr>
                    <w:jc w:val="center"/>
                    <w:rPr>
                      <w:rFonts w:hint="default" w:ascii="Times New Roman" w:hAnsi="Times New Roman" w:eastAsia="宋体" w:cs="Times New Roman"/>
                      <w:i w:val="0"/>
                      <w:iCs w:val="0"/>
                      <w:color w:val="00B050"/>
                      <w:sz w:val="21"/>
                      <w:szCs w:val="21"/>
                      <w:u w:val="none"/>
                    </w:rPr>
                  </w:pPr>
                </w:p>
              </w:tc>
              <w:tc>
                <w:tcPr>
                  <w:tcW w:w="1417" w:type="dxa"/>
                  <w:noWrap w:val="0"/>
                  <w:vAlign w:val="center"/>
                </w:tcPr>
                <w:p w14:paraId="138DB688">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颗粒物</w:t>
                  </w:r>
                </w:p>
              </w:tc>
              <w:tc>
                <w:tcPr>
                  <w:tcW w:w="1417" w:type="dxa"/>
                  <w:noWrap w:val="0"/>
                  <w:vAlign w:val="center"/>
                </w:tcPr>
                <w:p w14:paraId="5043ACD1">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highlight w:val="yellow"/>
                      <w:u w:val="none"/>
                    </w:rPr>
                  </w:pPr>
                  <w:r>
                    <w:rPr>
                      <w:rFonts w:hint="default" w:ascii="Times New Roman" w:hAnsi="Times New Roman" w:eastAsia="宋体" w:cs="Times New Roman"/>
                      <w:i w:val="0"/>
                      <w:iCs w:val="0"/>
                      <w:color w:val="00B050"/>
                      <w:kern w:val="0"/>
                      <w:sz w:val="21"/>
                      <w:szCs w:val="21"/>
                      <w:u w:val="none"/>
                      <w:lang w:val="en-US" w:eastAsia="zh-CN" w:bidi="ar"/>
                    </w:rPr>
                    <w:t>/</w:t>
                  </w:r>
                </w:p>
              </w:tc>
              <w:tc>
                <w:tcPr>
                  <w:tcW w:w="1418" w:type="dxa"/>
                  <w:noWrap w:val="0"/>
                  <w:vAlign w:val="center"/>
                </w:tcPr>
                <w:p w14:paraId="7CF6B319">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highlight w:val="yellow"/>
                      <w:u w:val="none"/>
                    </w:rPr>
                  </w:pPr>
                  <w:r>
                    <w:rPr>
                      <w:rFonts w:hint="default" w:ascii="Times New Roman" w:hAnsi="Times New Roman" w:eastAsia="宋体" w:cs="Times New Roman"/>
                      <w:i w:val="0"/>
                      <w:iCs w:val="0"/>
                      <w:color w:val="00B050"/>
                      <w:kern w:val="0"/>
                      <w:sz w:val="21"/>
                      <w:szCs w:val="21"/>
                      <w:u w:val="none"/>
                      <w:lang w:val="en-US" w:eastAsia="zh-CN" w:bidi="ar"/>
                    </w:rPr>
                    <w:t>/</w:t>
                  </w:r>
                </w:p>
              </w:tc>
              <w:tc>
                <w:tcPr>
                  <w:tcW w:w="1418" w:type="dxa"/>
                  <w:noWrap w:val="0"/>
                  <w:vAlign w:val="center"/>
                </w:tcPr>
                <w:p w14:paraId="5C7B26B7">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highlight w:val="yellow"/>
                      <w:u w:val="none"/>
                    </w:rPr>
                  </w:pPr>
                  <w:r>
                    <w:rPr>
                      <w:rFonts w:hint="default" w:ascii="Times New Roman" w:hAnsi="Times New Roman" w:eastAsia="宋体" w:cs="Times New Roman"/>
                      <w:i w:val="0"/>
                      <w:iCs w:val="0"/>
                      <w:color w:val="00B050"/>
                      <w:kern w:val="0"/>
                      <w:sz w:val="21"/>
                      <w:szCs w:val="21"/>
                      <w:u w:val="none"/>
                      <w:lang w:val="en-US" w:eastAsia="zh-CN" w:bidi="ar"/>
                    </w:rPr>
                    <w:t>/</w:t>
                  </w:r>
                </w:p>
              </w:tc>
            </w:tr>
            <w:tr w14:paraId="070DC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17" w:type="dxa"/>
                  <w:vMerge w:val="restart"/>
                  <w:noWrap w:val="0"/>
                  <w:vAlign w:val="center"/>
                </w:tcPr>
                <w:p w14:paraId="2B361365">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2</w:t>
                  </w:r>
                </w:p>
              </w:tc>
              <w:tc>
                <w:tcPr>
                  <w:tcW w:w="1417" w:type="dxa"/>
                  <w:vMerge w:val="restart"/>
                  <w:noWrap w:val="0"/>
                  <w:vAlign w:val="center"/>
                </w:tcPr>
                <w:p w14:paraId="4F9E97A5">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DA002</w:t>
                  </w:r>
                </w:p>
              </w:tc>
              <w:tc>
                <w:tcPr>
                  <w:tcW w:w="1417" w:type="dxa"/>
                  <w:noWrap w:val="0"/>
                  <w:vAlign w:val="center"/>
                </w:tcPr>
                <w:p w14:paraId="5BAD6319">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非甲烷总烃</w:t>
                  </w:r>
                </w:p>
              </w:tc>
              <w:tc>
                <w:tcPr>
                  <w:tcW w:w="1417" w:type="dxa"/>
                  <w:noWrap w:val="0"/>
                  <w:vAlign w:val="center"/>
                </w:tcPr>
                <w:p w14:paraId="57B70605">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highlight w:val="yellow"/>
                      <w:u w:val="none"/>
                      <w:lang w:val="en-US"/>
                    </w:rPr>
                  </w:pPr>
                  <w:r>
                    <w:rPr>
                      <w:rFonts w:hint="eastAsia" w:cs="Times New Roman"/>
                      <w:i w:val="0"/>
                      <w:iCs w:val="0"/>
                      <w:color w:val="00B050"/>
                      <w:kern w:val="0"/>
                      <w:sz w:val="21"/>
                      <w:szCs w:val="21"/>
                      <w:u w:val="none"/>
                      <w:lang w:val="en-US" w:eastAsia="zh-CN" w:bidi="ar"/>
                    </w:rPr>
                    <w:t>3.6761</w:t>
                  </w:r>
                </w:p>
              </w:tc>
              <w:tc>
                <w:tcPr>
                  <w:tcW w:w="1418" w:type="dxa"/>
                  <w:noWrap w:val="0"/>
                  <w:vAlign w:val="center"/>
                </w:tcPr>
                <w:p w14:paraId="4D0A83A8">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highlight w:val="yellow"/>
                      <w:u w:val="none"/>
                      <w:lang w:val="en-US"/>
                    </w:rPr>
                  </w:pPr>
                  <w:r>
                    <w:rPr>
                      <w:rFonts w:hint="default" w:ascii="Times New Roman" w:hAnsi="Times New Roman" w:eastAsia="宋体" w:cs="Times New Roman"/>
                      <w:i w:val="0"/>
                      <w:iCs w:val="0"/>
                      <w:color w:val="00B050"/>
                      <w:kern w:val="0"/>
                      <w:sz w:val="21"/>
                      <w:szCs w:val="21"/>
                      <w:u w:val="none"/>
                      <w:lang w:val="en-US" w:eastAsia="zh-CN" w:bidi="ar"/>
                    </w:rPr>
                    <w:t>0.</w:t>
                  </w:r>
                  <w:r>
                    <w:rPr>
                      <w:rFonts w:hint="eastAsia" w:cs="Times New Roman"/>
                      <w:i w:val="0"/>
                      <w:iCs w:val="0"/>
                      <w:color w:val="00B050"/>
                      <w:kern w:val="0"/>
                      <w:sz w:val="21"/>
                      <w:szCs w:val="21"/>
                      <w:u w:val="none"/>
                      <w:lang w:val="en-US" w:eastAsia="zh-CN" w:bidi="ar"/>
                    </w:rPr>
                    <w:t>136</w:t>
                  </w:r>
                </w:p>
              </w:tc>
              <w:tc>
                <w:tcPr>
                  <w:tcW w:w="1418" w:type="dxa"/>
                  <w:noWrap w:val="0"/>
                  <w:vAlign w:val="center"/>
                </w:tcPr>
                <w:p w14:paraId="6A6E071F">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highlight w:val="yellow"/>
                      <w:u w:val="none"/>
                      <w:lang w:val="en-US"/>
                    </w:rPr>
                  </w:pPr>
                  <w:r>
                    <w:rPr>
                      <w:rFonts w:hint="default" w:ascii="Times New Roman" w:hAnsi="Times New Roman" w:eastAsia="宋体" w:cs="Times New Roman"/>
                      <w:i w:val="0"/>
                      <w:iCs w:val="0"/>
                      <w:color w:val="00B050"/>
                      <w:kern w:val="0"/>
                      <w:sz w:val="21"/>
                      <w:szCs w:val="21"/>
                      <w:u w:val="none"/>
                      <w:lang w:val="en-US" w:eastAsia="zh-CN" w:bidi="ar"/>
                    </w:rPr>
                    <w:t>0.3</w:t>
                  </w:r>
                  <w:r>
                    <w:rPr>
                      <w:rFonts w:hint="eastAsia" w:cs="Times New Roman"/>
                      <w:i w:val="0"/>
                      <w:iCs w:val="0"/>
                      <w:color w:val="00B050"/>
                      <w:kern w:val="0"/>
                      <w:sz w:val="21"/>
                      <w:szCs w:val="21"/>
                      <w:u w:val="none"/>
                      <w:lang w:val="en-US" w:eastAsia="zh-CN" w:bidi="ar"/>
                    </w:rPr>
                    <w:t>265</w:t>
                  </w:r>
                </w:p>
              </w:tc>
            </w:tr>
            <w:tr w14:paraId="7AC9E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417" w:type="dxa"/>
                  <w:vMerge w:val="continue"/>
                  <w:noWrap w:val="0"/>
                  <w:vAlign w:val="center"/>
                </w:tcPr>
                <w:p w14:paraId="1CD7231E">
                  <w:pPr>
                    <w:jc w:val="center"/>
                    <w:rPr>
                      <w:rFonts w:hint="default" w:ascii="Times New Roman" w:hAnsi="Times New Roman" w:eastAsia="宋体" w:cs="Times New Roman"/>
                      <w:i w:val="0"/>
                      <w:iCs w:val="0"/>
                      <w:color w:val="00B050"/>
                      <w:sz w:val="21"/>
                      <w:szCs w:val="21"/>
                      <w:u w:val="none"/>
                    </w:rPr>
                  </w:pPr>
                </w:p>
              </w:tc>
              <w:tc>
                <w:tcPr>
                  <w:tcW w:w="1417" w:type="dxa"/>
                  <w:vMerge w:val="continue"/>
                  <w:noWrap w:val="0"/>
                  <w:vAlign w:val="center"/>
                </w:tcPr>
                <w:p w14:paraId="563B67F2">
                  <w:pPr>
                    <w:jc w:val="center"/>
                    <w:rPr>
                      <w:color w:val="00B050"/>
                      <w:sz w:val="21"/>
                      <w:szCs w:val="21"/>
                    </w:rPr>
                  </w:pPr>
                </w:p>
              </w:tc>
              <w:tc>
                <w:tcPr>
                  <w:tcW w:w="1417" w:type="dxa"/>
                  <w:noWrap w:val="0"/>
                  <w:vAlign w:val="center"/>
                </w:tcPr>
                <w:p w14:paraId="19CA2A82">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highlight w:val="yellow"/>
                      <w:u w:val="none"/>
                    </w:rPr>
                  </w:pPr>
                  <w:r>
                    <w:rPr>
                      <w:rFonts w:hint="eastAsia" w:ascii="宋体" w:hAnsi="宋体" w:eastAsia="宋体" w:cs="宋体"/>
                      <w:i w:val="0"/>
                      <w:iCs w:val="0"/>
                      <w:color w:val="00B050"/>
                      <w:kern w:val="0"/>
                      <w:sz w:val="21"/>
                      <w:szCs w:val="21"/>
                      <w:u w:val="none"/>
                      <w:lang w:val="en-US" w:eastAsia="zh-CN" w:bidi="ar"/>
                    </w:rPr>
                    <w:t>颗粒物</w:t>
                  </w:r>
                </w:p>
              </w:tc>
              <w:tc>
                <w:tcPr>
                  <w:tcW w:w="1417" w:type="dxa"/>
                  <w:noWrap w:val="0"/>
                  <w:vAlign w:val="center"/>
                </w:tcPr>
                <w:p w14:paraId="4A4CF5EA">
                  <w:pPr>
                    <w:keepNext w:val="0"/>
                    <w:keepLines w:val="0"/>
                    <w:widowControl/>
                    <w:suppressLineNumbers w:val="0"/>
                    <w:jc w:val="center"/>
                    <w:textAlignment w:val="center"/>
                    <w:rPr>
                      <w:color w:val="00B050"/>
                      <w:sz w:val="21"/>
                      <w:szCs w:val="21"/>
                    </w:rPr>
                  </w:pPr>
                  <w:r>
                    <w:rPr>
                      <w:rFonts w:hint="default" w:ascii="Times New Roman" w:hAnsi="Times New Roman" w:eastAsia="宋体" w:cs="Times New Roman"/>
                      <w:i w:val="0"/>
                      <w:iCs w:val="0"/>
                      <w:color w:val="00B050"/>
                      <w:kern w:val="0"/>
                      <w:sz w:val="21"/>
                      <w:szCs w:val="21"/>
                      <w:u w:val="none"/>
                      <w:lang w:val="en-US" w:eastAsia="zh-CN" w:bidi="ar"/>
                    </w:rPr>
                    <w:t>/</w:t>
                  </w:r>
                </w:p>
              </w:tc>
              <w:tc>
                <w:tcPr>
                  <w:tcW w:w="1418" w:type="dxa"/>
                  <w:noWrap w:val="0"/>
                  <w:vAlign w:val="center"/>
                </w:tcPr>
                <w:p w14:paraId="13C53D55">
                  <w:pPr>
                    <w:keepNext w:val="0"/>
                    <w:keepLines w:val="0"/>
                    <w:widowControl/>
                    <w:suppressLineNumbers w:val="0"/>
                    <w:jc w:val="center"/>
                    <w:textAlignment w:val="center"/>
                    <w:rPr>
                      <w:color w:val="00B050"/>
                      <w:sz w:val="21"/>
                      <w:szCs w:val="21"/>
                    </w:rPr>
                  </w:pPr>
                  <w:r>
                    <w:rPr>
                      <w:rFonts w:hint="default" w:ascii="Times New Roman" w:hAnsi="Times New Roman" w:eastAsia="宋体" w:cs="Times New Roman"/>
                      <w:i w:val="0"/>
                      <w:iCs w:val="0"/>
                      <w:color w:val="00B050"/>
                      <w:kern w:val="0"/>
                      <w:sz w:val="21"/>
                      <w:szCs w:val="21"/>
                      <w:u w:val="none"/>
                      <w:lang w:val="en-US" w:eastAsia="zh-CN" w:bidi="ar"/>
                    </w:rPr>
                    <w:t>/</w:t>
                  </w:r>
                </w:p>
              </w:tc>
              <w:tc>
                <w:tcPr>
                  <w:tcW w:w="1418" w:type="dxa"/>
                  <w:noWrap w:val="0"/>
                  <w:vAlign w:val="center"/>
                </w:tcPr>
                <w:p w14:paraId="3497F111">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highlight w:val="yellow"/>
                      <w:u w:val="none"/>
                      <w:lang w:val="en-US"/>
                    </w:rPr>
                  </w:pPr>
                  <w:r>
                    <w:rPr>
                      <w:rFonts w:hint="default" w:ascii="Times New Roman" w:hAnsi="Times New Roman" w:eastAsia="宋体" w:cs="Times New Roman"/>
                      <w:i w:val="0"/>
                      <w:iCs w:val="0"/>
                      <w:color w:val="00B050"/>
                      <w:kern w:val="0"/>
                      <w:sz w:val="21"/>
                      <w:szCs w:val="21"/>
                      <w:u w:val="none"/>
                      <w:lang w:val="en-US" w:eastAsia="zh-CN" w:bidi="ar"/>
                    </w:rPr>
                    <w:t>/</w:t>
                  </w:r>
                </w:p>
              </w:tc>
            </w:tr>
            <w:tr w14:paraId="6B236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834" w:type="dxa"/>
                  <w:gridSpan w:val="2"/>
                  <w:vMerge w:val="restart"/>
                  <w:noWrap w:val="0"/>
                  <w:vAlign w:val="center"/>
                </w:tcPr>
                <w:p w14:paraId="2FFFB7C3">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一般排放口合计</w:t>
                  </w:r>
                </w:p>
              </w:tc>
              <w:tc>
                <w:tcPr>
                  <w:tcW w:w="4252" w:type="dxa"/>
                  <w:gridSpan w:val="3"/>
                  <w:noWrap w:val="0"/>
                  <w:vAlign w:val="center"/>
                </w:tcPr>
                <w:p w14:paraId="6B33E37E">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highlight w:val="yellow"/>
                      <w:u w:val="none"/>
                    </w:rPr>
                  </w:pPr>
                  <w:r>
                    <w:rPr>
                      <w:rFonts w:hint="eastAsia" w:ascii="宋体" w:hAnsi="宋体" w:eastAsia="宋体" w:cs="宋体"/>
                      <w:i w:val="0"/>
                      <w:iCs w:val="0"/>
                      <w:color w:val="00B050"/>
                      <w:kern w:val="0"/>
                      <w:sz w:val="21"/>
                      <w:szCs w:val="21"/>
                      <w:u w:val="none"/>
                      <w:lang w:val="en-US" w:eastAsia="zh-CN" w:bidi="ar"/>
                    </w:rPr>
                    <w:t>非甲烷总烃</w:t>
                  </w:r>
                </w:p>
              </w:tc>
              <w:tc>
                <w:tcPr>
                  <w:tcW w:w="1418" w:type="dxa"/>
                  <w:noWrap w:val="0"/>
                  <w:vAlign w:val="center"/>
                </w:tcPr>
                <w:p w14:paraId="27DCBC23">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highlight w:val="yellow"/>
                      <w:u w:val="none"/>
                    </w:rPr>
                  </w:pPr>
                  <w:r>
                    <w:rPr>
                      <w:rFonts w:hint="default" w:ascii="Times New Roman" w:hAnsi="Times New Roman" w:eastAsia="宋体" w:cs="Times New Roman"/>
                      <w:i w:val="0"/>
                      <w:iCs w:val="0"/>
                      <w:color w:val="00B050"/>
                      <w:kern w:val="0"/>
                      <w:sz w:val="21"/>
                      <w:szCs w:val="21"/>
                      <w:u w:val="none"/>
                      <w:lang w:val="en-US" w:eastAsia="zh-CN" w:bidi="ar"/>
                    </w:rPr>
                    <w:t>0.4422</w:t>
                  </w:r>
                </w:p>
              </w:tc>
            </w:tr>
            <w:tr w14:paraId="4B6B4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834" w:type="dxa"/>
                  <w:gridSpan w:val="2"/>
                  <w:vMerge w:val="continue"/>
                  <w:noWrap w:val="0"/>
                  <w:vAlign w:val="center"/>
                </w:tcPr>
                <w:p w14:paraId="779A236C">
                  <w:pPr>
                    <w:jc w:val="center"/>
                    <w:rPr>
                      <w:rFonts w:hint="default" w:ascii="Times New Roman" w:hAnsi="Times New Roman" w:eastAsia="宋体" w:cs="Times New Roman"/>
                      <w:i w:val="0"/>
                      <w:iCs w:val="0"/>
                      <w:color w:val="00B050"/>
                      <w:sz w:val="21"/>
                      <w:szCs w:val="21"/>
                      <w:highlight w:val="yellow"/>
                      <w:u w:val="none"/>
                    </w:rPr>
                  </w:pPr>
                </w:p>
              </w:tc>
              <w:tc>
                <w:tcPr>
                  <w:tcW w:w="4252" w:type="dxa"/>
                  <w:gridSpan w:val="3"/>
                  <w:noWrap w:val="0"/>
                  <w:vAlign w:val="center"/>
                </w:tcPr>
                <w:p w14:paraId="27F56CFF">
                  <w:pPr>
                    <w:keepNext w:val="0"/>
                    <w:keepLines w:val="0"/>
                    <w:widowControl/>
                    <w:suppressLineNumbers w:val="0"/>
                    <w:jc w:val="center"/>
                    <w:textAlignment w:val="center"/>
                    <w:rPr>
                      <w:color w:val="00B050"/>
                      <w:sz w:val="21"/>
                      <w:szCs w:val="21"/>
                    </w:rPr>
                  </w:pPr>
                  <w:r>
                    <w:rPr>
                      <w:rFonts w:hint="eastAsia" w:ascii="宋体" w:hAnsi="宋体" w:eastAsia="宋体" w:cs="宋体"/>
                      <w:i w:val="0"/>
                      <w:iCs w:val="0"/>
                      <w:color w:val="00B050"/>
                      <w:kern w:val="0"/>
                      <w:sz w:val="21"/>
                      <w:szCs w:val="21"/>
                      <w:u w:val="none"/>
                      <w:lang w:val="en-US" w:eastAsia="zh-CN" w:bidi="ar"/>
                    </w:rPr>
                    <w:t>三甲苯</w:t>
                  </w:r>
                </w:p>
              </w:tc>
              <w:tc>
                <w:tcPr>
                  <w:tcW w:w="1418" w:type="dxa"/>
                  <w:noWrap w:val="0"/>
                  <w:vAlign w:val="center"/>
                </w:tcPr>
                <w:p w14:paraId="65584E9B">
                  <w:pPr>
                    <w:keepNext w:val="0"/>
                    <w:keepLines w:val="0"/>
                    <w:widowControl/>
                    <w:suppressLineNumbers w:val="0"/>
                    <w:jc w:val="center"/>
                    <w:textAlignment w:val="center"/>
                    <w:rPr>
                      <w:color w:val="00B050"/>
                      <w:sz w:val="21"/>
                      <w:szCs w:val="21"/>
                    </w:rPr>
                  </w:pPr>
                  <w:r>
                    <w:rPr>
                      <w:rFonts w:hint="default" w:ascii="Times New Roman" w:hAnsi="Times New Roman" w:eastAsia="宋体" w:cs="Times New Roman"/>
                      <w:i w:val="0"/>
                      <w:iCs w:val="0"/>
                      <w:color w:val="00B050"/>
                      <w:kern w:val="0"/>
                      <w:sz w:val="21"/>
                      <w:szCs w:val="21"/>
                      <w:u w:val="none"/>
                      <w:lang w:val="en-US" w:eastAsia="zh-CN" w:bidi="ar"/>
                    </w:rPr>
                    <w:t>0.0009</w:t>
                  </w:r>
                </w:p>
              </w:tc>
            </w:tr>
            <w:tr w14:paraId="68D86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834" w:type="dxa"/>
                  <w:gridSpan w:val="2"/>
                  <w:vMerge w:val="continue"/>
                  <w:noWrap w:val="0"/>
                  <w:vAlign w:val="center"/>
                </w:tcPr>
                <w:p w14:paraId="54E9A189">
                  <w:pPr>
                    <w:jc w:val="center"/>
                    <w:rPr>
                      <w:rFonts w:hint="default" w:ascii="Times New Roman" w:hAnsi="Times New Roman" w:eastAsia="宋体" w:cs="Times New Roman"/>
                      <w:i w:val="0"/>
                      <w:iCs w:val="0"/>
                      <w:color w:val="00B050"/>
                      <w:sz w:val="21"/>
                      <w:szCs w:val="21"/>
                      <w:u w:val="none"/>
                    </w:rPr>
                  </w:pPr>
                </w:p>
              </w:tc>
              <w:tc>
                <w:tcPr>
                  <w:tcW w:w="4252" w:type="dxa"/>
                  <w:gridSpan w:val="3"/>
                  <w:noWrap w:val="0"/>
                  <w:vAlign w:val="center"/>
                </w:tcPr>
                <w:p w14:paraId="575FCA11">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highlight w:val="yellow"/>
                      <w:u w:val="none"/>
                    </w:rPr>
                  </w:pPr>
                  <w:r>
                    <w:rPr>
                      <w:rFonts w:hint="eastAsia" w:ascii="宋体" w:hAnsi="宋体" w:eastAsia="宋体" w:cs="宋体"/>
                      <w:i w:val="0"/>
                      <w:iCs w:val="0"/>
                      <w:color w:val="00B050"/>
                      <w:kern w:val="0"/>
                      <w:sz w:val="21"/>
                      <w:szCs w:val="21"/>
                      <w:u w:val="none"/>
                      <w:lang w:val="en-US" w:eastAsia="zh-CN" w:bidi="ar"/>
                    </w:rPr>
                    <w:t>颗粒物</w:t>
                  </w:r>
                </w:p>
              </w:tc>
              <w:tc>
                <w:tcPr>
                  <w:tcW w:w="1418" w:type="dxa"/>
                  <w:noWrap w:val="0"/>
                  <w:vAlign w:val="center"/>
                </w:tcPr>
                <w:p w14:paraId="5095819E">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highlight w:val="yellow"/>
                      <w:u w:val="none"/>
                    </w:rPr>
                  </w:pPr>
                  <w:r>
                    <w:rPr>
                      <w:rFonts w:hint="default" w:ascii="Times New Roman" w:hAnsi="Times New Roman" w:eastAsia="宋体" w:cs="Times New Roman"/>
                      <w:i w:val="0"/>
                      <w:iCs w:val="0"/>
                      <w:color w:val="00B050"/>
                      <w:kern w:val="0"/>
                      <w:sz w:val="21"/>
                      <w:szCs w:val="21"/>
                      <w:u w:val="none"/>
                      <w:lang w:val="en-US" w:eastAsia="zh-CN" w:bidi="ar"/>
                    </w:rPr>
                    <w:t>/</w:t>
                  </w:r>
                </w:p>
              </w:tc>
            </w:tr>
            <w:tr w14:paraId="5A8BC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504" w:type="dxa"/>
                  <w:gridSpan w:val="6"/>
                  <w:noWrap w:val="0"/>
                  <w:vAlign w:val="center"/>
                </w:tcPr>
                <w:p w14:paraId="33A9052D">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highlight w:val="yellow"/>
                      <w:u w:val="none"/>
                    </w:rPr>
                  </w:pPr>
                  <w:r>
                    <w:rPr>
                      <w:rFonts w:hint="eastAsia" w:ascii="宋体" w:hAnsi="宋体" w:eastAsia="宋体" w:cs="宋体"/>
                      <w:i w:val="0"/>
                      <w:iCs w:val="0"/>
                      <w:color w:val="00B050"/>
                      <w:kern w:val="0"/>
                      <w:sz w:val="21"/>
                      <w:szCs w:val="21"/>
                      <w:u w:val="none"/>
                      <w:lang w:val="en-US" w:eastAsia="zh-CN" w:bidi="ar"/>
                    </w:rPr>
                    <w:t>有组织排放总计</w:t>
                  </w:r>
                </w:p>
              </w:tc>
            </w:tr>
            <w:tr w14:paraId="5EF72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834" w:type="dxa"/>
                  <w:gridSpan w:val="2"/>
                  <w:vMerge w:val="restart"/>
                  <w:noWrap w:val="0"/>
                  <w:vAlign w:val="center"/>
                </w:tcPr>
                <w:p w14:paraId="191BE6DE">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有组织排放总计</w:t>
                  </w:r>
                </w:p>
              </w:tc>
              <w:tc>
                <w:tcPr>
                  <w:tcW w:w="4252" w:type="dxa"/>
                  <w:gridSpan w:val="3"/>
                  <w:noWrap w:val="0"/>
                  <w:vAlign w:val="center"/>
                </w:tcPr>
                <w:p w14:paraId="2435D687">
                  <w:pPr>
                    <w:keepNext w:val="0"/>
                    <w:keepLines w:val="0"/>
                    <w:widowControl/>
                    <w:suppressLineNumbers w:val="0"/>
                    <w:jc w:val="center"/>
                    <w:textAlignment w:val="center"/>
                    <w:rPr>
                      <w:rFonts w:hint="eastAsia" w:ascii="宋体" w:hAnsi="宋体" w:eastAsia="宋体" w:cs="宋体"/>
                      <w:i w:val="0"/>
                      <w:iCs w:val="0"/>
                      <w:color w:val="00B050"/>
                      <w:kern w:val="0"/>
                      <w:sz w:val="21"/>
                      <w:szCs w:val="21"/>
                      <w:u w:val="none"/>
                      <w:lang w:val="en-US" w:eastAsia="zh-CN" w:bidi="ar"/>
                    </w:rPr>
                  </w:pPr>
                  <w:r>
                    <w:rPr>
                      <w:rFonts w:hint="eastAsia" w:ascii="宋体" w:hAnsi="宋体" w:eastAsia="宋体" w:cs="宋体"/>
                      <w:i w:val="0"/>
                      <w:iCs w:val="0"/>
                      <w:color w:val="00B050"/>
                      <w:kern w:val="0"/>
                      <w:sz w:val="21"/>
                      <w:szCs w:val="21"/>
                      <w:u w:val="none"/>
                      <w:lang w:val="en-US" w:eastAsia="zh-CN" w:bidi="ar"/>
                    </w:rPr>
                    <w:t>非甲烷总烃</w:t>
                  </w:r>
                </w:p>
              </w:tc>
              <w:tc>
                <w:tcPr>
                  <w:tcW w:w="1418" w:type="dxa"/>
                  <w:noWrap w:val="0"/>
                  <w:vAlign w:val="center"/>
                </w:tcPr>
                <w:p w14:paraId="201FBF0B">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0.4422</w:t>
                  </w:r>
                </w:p>
              </w:tc>
            </w:tr>
            <w:tr w14:paraId="44D0D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834" w:type="dxa"/>
                  <w:gridSpan w:val="2"/>
                  <w:vMerge w:val="continue"/>
                  <w:noWrap w:val="0"/>
                  <w:vAlign w:val="center"/>
                </w:tcPr>
                <w:p w14:paraId="51E49038">
                  <w:pPr>
                    <w:jc w:val="center"/>
                    <w:rPr>
                      <w:rFonts w:hint="default" w:ascii="Times New Roman" w:hAnsi="Times New Roman" w:eastAsia="宋体" w:cs="Times New Roman"/>
                      <w:i w:val="0"/>
                      <w:iCs w:val="0"/>
                      <w:color w:val="00B050"/>
                      <w:sz w:val="21"/>
                      <w:szCs w:val="21"/>
                      <w:u w:val="none"/>
                    </w:rPr>
                  </w:pPr>
                </w:p>
              </w:tc>
              <w:tc>
                <w:tcPr>
                  <w:tcW w:w="4252" w:type="dxa"/>
                  <w:gridSpan w:val="3"/>
                  <w:noWrap w:val="0"/>
                  <w:vAlign w:val="center"/>
                </w:tcPr>
                <w:p w14:paraId="15303852">
                  <w:pPr>
                    <w:keepNext w:val="0"/>
                    <w:keepLines w:val="0"/>
                    <w:widowControl/>
                    <w:suppressLineNumbers w:val="0"/>
                    <w:jc w:val="center"/>
                    <w:textAlignment w:val="center"/>
                    <w:rPr>
                      <w:rFonts w:hint="eastAsia" w:ascii="宋体" w:hAnsi="宋体" w:eastAsia="宋体" w:cs="宋体"/>
                      <w:i w:val="0"/>
                      <w:iCs w:val="0"/>
                      <w:color w:val="00B050"/>
                      <w:kern w:val="0"/>
                      <w:sz w:val="21"/>
                      <w:szCs w:val="21"/>
                      <w:u w:val="none"/>
                      <w:lang w:val="en-US" w:eastAsia="zh-CN" w:bidi="ar"/>
                    </w:rPr>
                  </w:pPr>
                  <w:r>
                    <w:rPr>
                      <w:rFonts w:hint="eastAsia" w:ascii="宋体" w:hAnsi="宋体" w:eastAsia="宋体" w:cs="宋体"/>
                      <w:i w:val="0"/>
                      <w:iCs w:val="0"/>
                      <w:color w:val="00B050"/>
                      <w:kern w:val="0"/>
                      <w:sz w:val="21"/>
                      <w:szCs w:val="21"/>
                      <w:u w:val="none"/>
                      <w:lang w:val="en-US" w:eastAsia="zh-CN" w:bidi="ar"/>
                    </w:rPr>
                    <w:t>三甲苯</w:t>
                  </w:r>
                </w:p>
              </w:tc>
              <w:tc>
                <w:tcPr>
                  <w:tcW w:w="1418" w:type="dxa"/>
                  <w:noWrap w:val="0"/>
                  <w:vAlign w:val="center"/>
                </w:tcPr>
                <w:p w14:paraId="45E6D27B">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0.0009</w:t>
                  </w:r>
                </w:p>
              </w:tc>
            </w:tr>
            <w:tr w14:paraId="7ABDD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834" w:type="dxa"/>
                  <w:gridSpan w:val="2"/>
                  <w:vMerge w:val="continue"/>
                  <w:noWrap w:val="0"/>
                  <w:vAlign w:val="center"/>
                </w:tcPr>
                <w:p w14:paraId="150ABD8A">
                  <w:pPr>
                    <w:jc w:val="center"/>
                    <w:rPr>
                      <w:rFonts w:hint="default" w:ascii="Times New Roman" w:hAnsi="Times New Roman" w:eastAsia="宋体" w:cs="Times New Roman"/>
                      <w:i w:val="0"/>
                      <w:iCs w:val="0"/>
                      <w:color w:val="00B050"/>
                      <w:sz w:val="21"/>
                      <w:szCs w:val="21"/>
                      <w:u w:val="none"/>
                    </w:rPr>
                  </w:pPr>
                </w:p>
              </w:tc>
              <w:tc>
                <w:tcPr>
                  <w:tcW w:w="4252" w:type="dxa"/>
                  <w:gridSpan w:val="3"/>
                  <w:noWrap w:val="0"/>
                  <w:vAlign w:val="center"/>
                </w:tcPr>
                <w:p w14:paraId="258A3F30">
                  <w:pPr>
                    <w:keepNext w:val="0"/>
                    <w:keepLines w:val="0"/>
                    <w:widowControl/>
                    <w:suppressLineNumbers w:val="0"/>
                    <w:jc w:val="center"/>
                    <w:textAlignment w:val="center"/>
                    <w:rPr>
                      <w:rFonts w:hint="eastAsia" w:ascii="宋体" w:hAnsi="宋体" w:eastAsia="宋体" w:cs="宋体"/>
                      <w:i w:val="0"/>
                      <w:iCs w:val="0"/>
                      <w:color w:val="00B050"/>
                      <w:kern w:val="0"/>
                      <w:sz w:val="21"/>
                      <w:szCs w:val="21"/>
                      <w:u w:val="none"/>
                      <w:lang w:val="en-US" w:eastAsia="zh-CN" w:bidi="ar"/>
                    </w:rPr>
                  </w:pPr>
                  <w:r>
                    <w:rPr>
                      <w:rFonts w:hint="eastAsia" w:ascii="宋体" w:hAnsi="宋体" w:eastAsia="宋体" w:cs="宋体"/>
                      <w:i w:val="0"/>
                      <w:iCs w:val="0"/>
                      <w:color w:val="00B050"/>
                      <w:kern w:val="0"/>
                      <w:sz w:val="21"/>
                      <w:szCs w:val="21"/>
                      <w:u w:val="none"/>
                      <w:lang w:val="en-US" w:eastAsia="zh-CN" w:bidi="ar"/>
                    </w:rPr>
                    <w:t>颗粒物</w:t>
                  </w:r>
                </w:p>
              </w:tc>
              <w:tc>
                <w:tcPr>
                  <w:tcW w:w="1418" w:type="dxa"/>
                  <w:noWrap w:val="0"/>
                  <w:vAlign w:val="center"/>
                </w:tcPr>
                <w:p w14:paraId="14903969">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w:t>
                  </w:r>
                </w:p>
              </w:tc>
            </w:tr>
          </w:tbl>
          <w:p w14:paraId="78EC6982">
            <w:pPr>
              <w:pStyle w:val="49"/>
              <w:spacing w:line="240" w:lineRule="auto"/>
              <w:ind w:firstLine="0" w:firstLineChars="0"/>
              <w:jc w:val="center"/>
              <w:rPr>
                <w:rFonts w:hint="default" w:ascii="Times New Roman" w:hAnsi="Times New Roman" w:cs="Times New Roman"/>
                <w:b/>
                <w:bCs/>
                <w:color w:val="00B050"/>
                <w:szCs w:val="24"/>
              </w:rPr>
            </w:pPr>
            <w:r>
              <w:rPr>
                <w:rFonts w:hint="default" w:ascii="Times New Roman" w:hAnsi="Times New Roman" w:cs="Times New Roman"/>
                <w:b/>
                <w:bCs/>
                <w:color w:val="00B050"/>
                <w:szCs w:val="24"/>
              </w:rPr>
              <w:t>表4.2-</w:t>
            </w:r>
            <w:r>
              <w:rPr>
                <w:rFonts w:hint="default" w:ascii="Times New Roman" w:hAnsi="Times New Roman" w:cs="Times New Roman"/>
                <w:b/>
                <w:bCs/>
                <w:color w:val="00B050"/>
                <w:szCs w:val="24"/>
                <w:lang w:val="en-US" w:eastAsia="zh-CN"/>
              </w:rPr>
              <w:t>14</w:t>
            </w:r>
            <w:r>
              <w:rPr>
                <w:rFonts w:hint="default" w:ascii="Times New Roman" w:hAnsi="Times New Roman" w:cs="Times New Roman"/>
                <w:b/>
                <w:bCs/>
                <w:color w:val="00B050"/>
                <w:szCs w:val="24"/>
              </w:rPr>
              <w:t xml:space="preserve">  本项目大气污染物无组织排放量核算表</w:t>
            </w:r>
          </w:p>
          <w:tbl>
            <w:tblPr>
              <w:tblStyle w:val="3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859"/>
              <w:gridCol w:w="1316"/>
              <w:gridCol w:w="901"/>
              <w:gridCol w:w="2852"/>
              <w:gridCol w:w="1065"/>
              <w:gridCol w:w="867"/>
            </w:tblGrid>
            <w:tr w14:paraId="23EC8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44" w:type="dxa"/>
                  <w:vMerge w:val="restart"/>
                  <w:noWrap w:val="0"/>
                  <w:vAlign w:val="center"/>
                </w:tcPr>
                <w:p w14:paraId="08328F11">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排放口编号</w:t>
                  </w:r>
                </w:p>
              </w:tc>
              <w:tc>
                <w:tcPr>
                  <w:tcW w:w="859" w:type="dxa"/>
                  <w:vMerge w:val="restart"/>
                  <w:noWrap w:val="0"/>
                  <w:vAlign w:val="center"/>
                </w:tcPr>
                <w:p w14:paraId="48581B50">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产污环节</w:t>
                  </w:r>
                </w:p>
              </w:tc>
              <w:tc>
                <w:tcPr>
                  <w:tcW w:w="1316" w:type="dxa"/>
                  <w:vMerge w:val="restart"/>
                  <w:noWrap w:val="0"/>
                  <w:vAlign w:val="center"/>
                </w:tcPr>
                <w:p w14:paraId="4D207D63">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污染物</w:t>
                  </w:r>
                </w:p>
              </w:tc>
              <w:tc>
                <w:tcPr>
                  <w:tcW w:w="901" w:type="dxa"/>
                  <w:vMerge w:val="restart"/>
                  <w:noWrap w:val="0"/>
                  <w:vAlign w:val="center"/>
                </w:tcPr>
                <w:p w14:paraId="0C7D7B01">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主要污染防治措施</w:t>
                  </w:r>
                </w:p>
              </w:tc>
              <w:tc>
                <w:tcPr>
                  <w:tcW w:w="3917" w:type="dxa"/>
                  <w:gridSpan w:val="2"/>
                  <w:noWrap w:val="0"/>
                  <w:vAlign w:val="center"/>
                </w:tcPr>
                <w:p w14:paraId="00555428">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国家或地方污染物排放标准</w:t>
                  </w:r>
                </w:p>
              </w:tc>
              <w:tc>
                <w:tcPr>
                  <w:tcW w:w="867" w:type="dxa"/>
                  <w:vMerge w:val="restart"/>
                  <w:noWrap w:val="0"/>
                  <w:vAlign w:val="center"/>
                </w:tcPr>
                <w:p w14:paraId="6659B810">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排放量（</w:t>
                  </w:r>
                  <w:r>
                    <w:rPr>
                      <w:rFonts w:hint="default" w:ascii="Times New Roman" w:hAnsi="Times New Roman" w:eastAsia="宋体" w:cs="Times New Roman"/>
                      <w:i w:val="0"/>
                      <w:iCs w:val="0"/>
                      <w:color w:val="00B050"/>
                      <w:kern w:val="0"/>
                      <w:sz w:val="21"/>
                      <w:szCs w:val="21"/>
                      <w:u w:val="none"/>
                      <w:lang w:val="en-US" w:eastAsia="zh-CN" w:bidi="ar"/>
                    </w:rPr>
                    <w:t>t/a</w:t>
                  </w:r>
                  <w:r>
                    <w:rPr>
                      <w:rFonts w:hint="eastAsia" w:ascii="宋体" w:hAnsi="宋体" w:eastAsia="宋体" w:cs="宋体"/>
                      <w:i w:val="0"/>
                      <w:iCs w:val="0"/>
                      <w:color w:val="00B050"/>
                      <w:kern w:val="0"/>
                      <w:sz w:val="21"/>
                      <w:szCs w:val="21"/>
                      <w:u w:val="none"/>
                      <w:lang w:val="en-US" w:eastAsia="zh-CN" w:bidi="ar"/>
                    </w:rPr>
                    <w:t>）</w:t>
                  </w:r>
                </w:p>
              </w:tc>
            </w:tr>
            <w:tr w14:paraId="0A529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4" w:type="dxa"/>
                  <w:vMerge w:val="continue"/>
                  <w:noWrap w:val="0"/>
                  <w:vAlign w:val="center"/>
                </w:tcPr>
                <w:p w14:paraId="12AE4901">
                  <w:pPr>
                    <w:jc w:val="center"/>
                    <w:rPr>
                      <w:rFonts w:hint="default" w:ascii="Times New Roman" w:hAnsi="Times New Roman" w:eastAsia="宋体" w:cs="Times New Roman"/>
                      <w:i w:val="0"/>
                      <w:iCs w:val="0"/>
                      <w:color w:val="00B050"/>
                      <w:sz w:val="21"/>
                      <w:szCs w:val="21"/>
                      <w:u w:val="none"/>
                    </w:rPr>
                  </w:pPr>
                </w:p>
              </w:tc>
              <w:tc>
                <w:tcPr>
                  <w:tcW w:w="859" w:type="dxa"/>
                  <w:vMerge w:val="continue"/>
                  <w:noWrap w:val="0"/>
                  <w:vAlign w:val="center"/>
                </w:tcPr>
                <w:p w14:paraId="6979CE94">
                  <w:pPr>
                    <w:jc w:val="center"/>
                    <w:rPr>
                      <w:rFonts w:hint="default" w:ascii="Times New Roman" w:hAnsi="Times New Roman" w:eastAsia="宋体" w:cs="Times New Roman"/>
                      <w:i w:val="0"/>
                      <w:iCs w:val="0"/>
                      <w:color w:val="00B050"/>
                      <w:sz w:val="21"/>
                      <w:szCs w:val="21"/>
                      <w:u w:val="none"/>
                    </w:rPr>
                  </w:pPr>
                </w:p>
              </w:tc>
              <w:tc>
                <w:tcPr>
                  <w:tcW w:w="1316" w:type="dxa"/>
                  <w:vMerge w:val="continue"/>
                  <w:noWrap w:val="0"/>
                  <w:vAlign w:val="center"/>
                </w:tcPr>
                <w:p w14:paraId="6A51A71B">
                  <w:pPr>
                    <w:jc w:val="center"/>
                    <w:rPr>
                      <w:rFonts w:hint="default" w:ascii="Times New Roman" w:hAnsi="Times New Roman" w:eastAsia="宋体" w:cs="Times New Roman"/>
                      <w:i w:val="0"/>
                      <w:iCs w:val="0"/>
                      <w:color w:val="00B050"/>
                      <w:sz w:val="21"/>
                      <w:szCs w:val="21"/>
                      <w:u w:val="none"/>
                    </w:rPr>
                  </w:pPr>
                </w:p>
              </w:tc>
              <w:tc>
                <w:tcPr>
                  <w:tcW w:w="901" w:type="dxa"/>
                  <w:vMerge w:val="continue"/>
                  <w:noWrap w:val="0"/>
                  <w:vAlign w:val="center"/>
                </w:tcPr>
                <w:p w14:paraId="4ED98B5F">
                  <w:pPr>
                    <w:jc w:val="center"/>
                    <w:rPr>
                      <w:rFonts w:hint="default" w:ascii="Times New Roman" w:hAnsi="Times New Roman" w:eastAsia="宋体" w:cs="Times New Roman"/>
                      <w:i w:val="0"/>
                      <w:iCs w:val="0"/>
                      <w:color w:val="00B050"/>
                      <w:sz w:val="21"/>
                      <w:szCs w:val="21"/>
                      <w:u w:val="none"/>
                    </w:rPr>
                  </w:pPr>
                </w:p>
              </w:tc>
              <w:tc>
                <w:tcPr>
                  <w:tcW w:w="2852" w:type="dxa"/>
                  <w:noWrap w:val="0"/>
                  <w:vAlign w:val="center"/>
                </w:tcPr>
                <w:p w14:paraId="0BA918D5">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标准名称</w:t>
                  </w:r>
                </w:p>
              </w:tc>
              <w:tc>
                <w:tcPr>
                  <w:tcW w:w="1065" w:type="dxa"/>
                  <w:noWrap w:val="0"/>
                  <w:vAlign w:val="center"/>
                </w:tcPr>
                <w:p w14:paraId="50D6D663">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限值（</w:t>
                  </w:r>
                  <w:r>
                    <w:rPr>
                      <w:rFonts w:hint="default" w:ascii="Times New Roman" w:hAnsi="Times New Roman" w:eastAsia="宋体" w:cs="Times New Roman"/>
                      <w:i w:val="0"/>
                      <w:iCs w:val="0"/>
                      <w:color w:val="00B050"/>
                      <w:kern w:val="0"/>
                      <w:sz w:val="21"/>
                      <w:szCs w:val="21"/>
                      <w:u w:val="none"/>
                      <w:lang w:val="en-US" w:eastAsia="zh-CN" w:bidi="ar"/>
                    </w:rPr>
                    <w:t>mg/m</w:t>
                  </w:r>
                  <w:r>
                    <w:rPr>
                      <w:rFonts w:hint="default" w:ascii="Times New Roman" w:hAnsi="Times New Roman" w:eastAsia="宋体" w:cs="Times New Roman"/>
                      <w:i w:val="0"/>
                      <w:iCs w:val="0"/>
                      <w:color w:val="00B050"/>
                      <w:kern w:val="0"/>
                      <w:sz w:val="21"/>
                      <w:szCs w:val="21"/>
                      <w:u w:val="none"/>
                      <w:vertAlign w:val="superscript"/>
                      <w:lang w:val="en-US" w:eastAsia="zh-CN" w:bidi="ar"/>
                    </w:rPr>
                    <w:t>3</w:t>
                  </w:r>
                  <w:r>
                    <w:rPr>
                      <w:rFonts w:hint="eastAsia" w:ascii="宋体" w:hAnsi="宋体" w:eastAsia="宋体" w:cs="宋体"/>
                      <w:i w:val="0"/>
                      <w:iCs w:val="0"/>
                      <w:color w:val="00B050"/>
                      <w:kern w:val="0"/>
                      <w:sz w:val="21"/>
                      <w:szCs w:val="21"/>
                      <w:u w:val="none"/>
                      <w:lang w:val="en-US" w:eastAsia="zh-CN" w:bidi="ar"/>
                    </w:rPr>
                    <w:t>）</w:t>
                  </w:r>
                </w:p>
              </w:tc>
              <w:tc>
                <w:tcPr>
                  <w:tcW w:w="867" w:type="dxa"/>
                  <w:vMerge w:val="continue"/>
                  <w:noWrap w:val="0"/>
                  <w:vAlign w:val="center"/>
                </w:tcPr>
                <w:p w14:paraId="241F98B6">
                  <w:pPr>
                    <w:jc w:val="center"/>
                    <w:rPr>
                      <w:rFonts w:hint="default" w:ascii="Times New Roman" w:hAnsi="Times New Roman" w:eastAsia="宋体" w:cs="Times New Roman"/>
                      <w:i w:val="0"/>
                      <w:iCs w:val="0"/>
                      <w:color w:val="00B050"/>
                      <w:sz w:val="21"/>
                      <w:szCs w:val="21"/>
                      <w:u w:val="none"/>
                    </w:rPr>
                  </w:pPr>
                </w:p>
              </w:tc>
            </w:tr>
            <w:tr w14:paraId="4E9B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4" w:type="dxa"/>
                  <w:vMerge w:val="restart"/>
                  <w:noWrap w:val="0"/>
                  <w:vAlign w:val="center"/>
                </w:tcPr>
                <w:p w14:paraId="6B727650">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厂界</w:t>
                  </w:r>
                </w:p>
              </w:tc>
              <w:tc>
                <w:tcPr>
                  <w:tcW w:w="859" w:type="dxa"/>
                  <w:vMerge w:val="restart"/>
                  <w:noWrap w:val="0"/>
                  <w:vAlign w:val="center"/>
                </w:tcPr>
                <w:p w14:paraId="2283821A">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注塑废气</w:t>
                  </w:r>
                </w:p>
              </w:tc>
              <w:tc>
                <w:tcPr>
                  <w:tcW w:w="1316" w:type="dxa"/>
                  <w:noWrap w:val="0"/>
                  <w:vAlign w:val="center"/>
                </w:tcPr>
                <w:p w14:paraId="3612B247">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非甲烷总烃</w:t>
                  </w:r>
                </w:p>
              </w:tc>
              <w:tc>
                <w:tcPr>
                  <w:tcW w:w="901" w:type="dxa"/>
                  <w:vMerge w:val="restart"/>
                  <w:noWrap w:val="0"/>
                  <w:vAlign w:val="center"/>
                </w:tcPr>
                <w:p w14:paraId="04390ED0">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两级活性炭</w:t>
                  </w:r>
                </w:p>
              </w:tc>
              <w:tc>
                <w:tcPr>
                  <w:tcW w:w="2852" w:type="dxa"/>
                  <w:vMerge w:val="restart"/>
                  <w:noWrap w:val="0"/>
                  <w:vAlign w:val="center"/>
                </w:tcPr>
                <w:p w14:paraId="0958D65E">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《四川省固定污染源大气挥发性有机物排放标准》（</w:t>
                  </w:r>
                  <w:r>
                    <w:rPr>
                      <w:rFonts w:hint="default" w:ascii="Times New Roman" w:hAnsi="Times New Roman" w:eastAsia="宋体" w:cs="Times New Roman"/>
                      <w:i w:val="0"/>
                      <w:iCs w:val="0"/>
                      <w:color w:val="00B050"/>
                      <w:kern w:val="0"/>
                      <w:sz w:val="21"/>
                      <w:szCs w:val="21"/>
                      <w:u w:val="none"/>
                      <w:lang w:val="en-US" w:eastAsia="zh-CN" w:bidi="ar"/>
                    </w:rPr>
                    <w:t>DB51/2377-2017</w:t>
                  </w:r>
                  <w:r>
                    <w:rPr>
                      <w:rFonts w:hint="eastAsia" w:ascii="宋体" w:hAnsi="宋体" w:eastAsia="宋体" w:cs="宋体"/>
                      <w:i w:val="0"/>
                      <w:iCs w:val="0"/>
                      <w:color w:val="00B050"/>
                      <w:kern w:val="0"/>
                      <w:sz w:val="21"/>
                      <w:szCs w:val="21"/>
                      <w:u w:val="none"/>
                      <w:lang w:val="en-US" w:eastAsia="zh-CN" w:bidi="ar"/>
                    </w:rPr>
                    <w:t>）</w:t>
                  </w:r>
                </w:p>
              </w:tc>
              <w:tc>
                <w:tcPr>
                  <w:tcW w:w="1065" w:type="dxa"/>
                  <w:noWrap w:val="0"/>
                  <w:vAlign w:val="center"/>
                </w:tcPr>
                <w:p w14:paraId="5CB56D59">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2"/>
                      <w:szCs w:val="22"/>
                      <w:u w:val="none"/>
                      <w:lang w:val="en-US" w:eastAsia="zh-CN" w:bidi="ar"/>
                    </w:rPr>
                    <w:t>2</w:t>
                  </w:r>
                </w:p>
              </w:tc>
              <w:tc>
                <w:tcPr>
                  <w:tcW w:w="867" w:type="dxa"/>
                  <w:noWrap w:val="0"/>
                  <w:vAlign w:val="center"/>
                </w:tcPr>
                <w:p w14:paraId="113B3CAA">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highlight w:val="yellow"/>
                      <w:u w:val="none"/>
                      <w:lang w:val="en-US"/>
                    </w:rPr>
                  </w:pPr>
                  <w:r>
                    <w:rPr>
                      <w:rFonts w:hint="default" w:ascii="Times New Roman" w:hAnsi="Times New Roman" w:eastAsia="宋体" w:cs="Times New Roman"/>
                      <w:i w:val="0"/>
                      <w:iCs w:val="0"/>
                      <w:color w:val="00B050"/>
                      <w:kern w:val="0"/>
                      <w:sz w:val="21"/>
                      <w:szCs w:val="21"/>
                      <w:u w:val="none"/>
                      <w:lang w:val="en-US" w:eastAsia="zh-CN" w:bidi="ar"/>
                    </w:rPr>
                    <w:t>0.4</w:t>
                  </w:r>
                  <w:r>
                    <w:rPr>
                      <w:rFonts w:hint="eastAsia" w:cs="Times New Roman"/>
                      <w:i w:val="0"/>
                      <w:iCs w:val="0"/>
                      <w:color w:val="00B050"/>
                      <w:kern w:val="0"/>
                      <w:sz w:val="21"/>
                      <w:szCs w:val="21"/>
                      <w:u w:val="none"/>
                      <w:lang w:val="en-US" w:eastAsia="zh-CN" w:bidi="ar"/>
                    </w:rPr>
                    <w:t>018</w:t>
                  </w:r>
                </w:p>
              </w:tc>
            </w:tr>
            <w:tr w14:paraId="2E95D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4" w:type="dxa"/>
                  <w:vMerge w:val="continue"/>
                  <w:noWrap w:val="0"/>
                  <w:vAlign w:val="center"/>
                </w:tcPr>
                <w:p w14:paraId="47B3E119">
                  <w:pPr>
                    <w:jc w:val="center"/>
                    <w:rPr>
                      <w:rFonts w:hint="default" w:ascii="Times New Roman" w:hAnsi="Times New Roman" w:eastAsia="宋体" w:cs="Times New Roman"/>
                      <w:i w:val="0"/>
                      <w:iCs w:val="0"/>
                      <w:color w:val="00B050"/>
                      <w:sz w:val="21"/>
                      <w:szCs w:val="21"/>
                      <w:u w:val="none"/>
                    </w:rPr>
                  </w:pPr>
                </w:p>
              </w:tc>
              <w:tc>
                <w:tcPr>
                  <w:tcW w:w="859" w:type="dxa"/>
                  <w:vMerge w:val="continue"/>
                  <w:noWrap w:val="0"/>
                  <w:vAlign w:val="center"/>
                </w:tcPr>
                <w:p w14:paraId="133F895E">
                  <w:pPr>
                    <w:jc w:val="center"/>
                    <w:rPr>
                      <w:rFonts w:hint="default" w:ascii="Times New Roman" w:hAnsi="Times New Roman" w:eastAsia="宋体" w:cs="Times New Roman"/>
                      <w:i w:val="0"/>
                      <w:iCs w:val="0"/>
                      <w:color w:val="00B050"/>
                      <w:sz w:val="21"/>
                      <w:szCs w:val="21"/>
                      <w:u w:val="none"/>
                    </w:rPr>
                  </w:pPr>
                </w:p>
              </w:tc>
              <w:tc>
                <w:tcPr>
                  <w:tcW w:w="1316" w:type="dxa"/>
                  <w:noWrap w:val="0"/>
                  <w:vAlign w:val="center"/>
                </w:tcPr>
                <w:p w14:paraId="2B77A7F8">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三甲苯</w:t>
                  </w:r>
                </w:p>
              </w:tc>
              <w:tc>
                <w:tcPr>
                  <w:tcW w:w="901" w:type="dxa"/>
                  <w:vMerge w:val="continue"/>
                  <w:noWrap w:val="0"/>
                  <w:vAlign w:val="center"/>
                </w:tcPr>
                <w:p w14:paraId="0504BC5D">
                  <w:pPr>
                    <w:jc w:val="center"/>
                    <w:rPr>
                      <w:rFonts w:hint="default" w:ascii="Times New Roman" w:hAnsi="Times New Roman" w:eastAsia="宋体" w:cs="Times New Roman"/>
                      <w:i w:val="0"/>
                      <w:iCs w:val="0"/>
                      <w:color w:val="00B050"/>
                      <w:sz w:val="21"/>
                      <w:szCs w:val="21"/>
                      <w:u w:val="none"/>
                    </w:rPr>
                  </w:pPr>
                </w:p>
              </w:tc>
              <w:tc>
                <w:tcPr>
                  <w:tcW w:w="2852" w:type="dxa"/>
                  <w:vMerge w:val="continue"/>
                  <w:noWrap w:val="0"/>
                  <w:vAlign w:val="center"/>
                </w:tcPr>
                <w:p w14:paraId="1E489DE8">
                  <w:pPr>
                    <w:jc w:val="center"/>
                    <w:rPr>
                      <w:rFonts w:hint="default" w:ascii="Times New Roman" w:hAnsi="Times New Roman" w:eastAsia="宋体" w:cs="Times New Roman"/>
                      <w:i w:val="0"/>
                      <w:iCs w:val="0"/>
                      <w:color w:val="00B050"/>
                      <w:sz w:val="21"/>
                      <w:szCs w:val="21"/>
                      <w:u w:val="none"/>
                    </w:rPr>
                  </w:pPr>
                </w:p>
              </w:tc>
              <w:tc>
                <w:tcPr>
                  <w:tcW w:w="1065" w:type="dxa"/>
                  <w:noWrap w:val="0"/>
                  <w:vAlign w:val="center"/>
                </w:tcPr>
                <w:p w14:paraId="255CEF6D">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0.8</w:t>
                  </w:r>
                </w:p>
              </w:tc>
              <w:tc>
                <w:tcPr>
                  <w:tcW w:w="867" w:type="dxa"/>
                  <w:noWrap w:val="0"/>
                  <w:vAlign w:val="center"/>
                </w:tcPr>
                <w:p w14:paraId="0645D63A">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highlight w:val="yellow"/>
                      <w:u w:val="none"/>
                    </w:rPr>
                  </w:pPr>
                  <w:r>
                    <w:rPr>
                      <w:rFonts w:hint="default" w:ascii="Times New Roman" w:hAnsi="Times New Roman" w:eastAsia="宋体" w:cs="Times New Roman"/>
                      <w:i w:val="0"/>
                      <w:iCs w:val="0"/>
                      <w:color w:val="00B050"/>
                      <w:kern w:val="0"/>
                      <w:sz w:val="21"/>
                      <w:szCs w:val="21"/>
                      <w:u w:val="none"/>
                      <w:lang w:val="en-US" w:eastAsia="zh-CN" w:bidi="ar"/>
                    </w:rPr>
                    <w:t>0.009</w:t>
                  </w:r>
                </w:p>
              </w:tc>
            </w:tr>
            <w:tr w14:paraId="2B468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4" w:type="dxa"/>
                  <w:vMerge w:val="continue"/>
                  <w:noWrap w:val="0"/>
                  <w:vAlign w:val="center"/>
                </w:tcPr>
                <w:p w14:paraId="430445D1">
                  <w:pPr>
                    <w:jc w:val="center"/>
                    <w:rPr>
                      <w:rFonts w:hint="default" w:ascii="Times New Roman" w:hAnsi="Times New Roman" w:eastAsia="宋体" w:cs="Times New Roman"/>
                      <w:i w:val="0"/>
                      <w:iCs w:val="0"/>
                      <w:color w:val="00B050"/>
                      <w:sz w:val="21"/>
                      <w:szCs w:val="21"/>
                      <w:u w:val="none"/>
                    </w:rPr>
                  </w:pPr>
                </w:p>
              </w:tc>
              <w:tc>
                <w:tcPr>
                  <w:tcW w:w="859" w:type="dxa"/>
                  <w:vMerge w:val="continue"/>
                  <w:noWrap w:val="0"/>
                  <w:vAlign w:val="center"/>
                </w:tcPr>
                <w:p w14:paraId="3034F3F3">
                  <w:pPr>
                    <w:jc w:val="center"/>
                    <w:rPr>
                      <w:rFonts w:hint="default" w:ascii="Times New Roman" w:hAnsi="Times New Roman" w:eastAsia="宋体" w:cs="Times New Roman"/>
                      <w:i w:val="0"/>
                      <w:iCs w:val="0"/>
                      <w:color w:val="00B050"/>
                      <w:sz w:val="21"/>
                      <w:szCs w:val="21"/>
                      <w:u w:val="none"/>
                    </w:rPr>
                  </w:pPr>
                </w:p>
              </w:tc>
              <w:tc>
                <w:tcPr>
                  <w:tcW w:w="1316" w:type="dxa"/>
                  <w:noWrap w:val="0"/>
                  <w:vAlign w:val="center"/>
                </w:tcPr>
                <w:p w14:paraId="12A9E4B8">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颗粒物</w:t>
                  </w:r>
                </w:p>
              </w:tc>
              <w:tc>
                <w:tcPr>
                  <w:tcW w:w="901" w:type="dxa"/>
                  <w:vMerge w:val="continue"/>
                  <w:noWrap w:val="0"/>
                  <w:vAlign w:val="center"/>
                </w:tcPr>
                <w:p w14:paraId="4C22A83C">
                  <w:pPr>
                    <w:jc w:val="center"/>
                    <w:rPr>
                      <w:rFonts w:hint="default" w:ascii="Times New Roman" w:hAnsi="Times New Roman" w:eastAsia="宋体" w:cs="Times New Roman"/>
                      <w:i w:val="0"/>
                      <w:iCs w:val="0"/>
                      <w:color w:val="00B050"/>
                      <w:sz w:val="21"/>
                      <w:szCs w:val="21"/>
                      <w:u w:val="none"/>
                    </w:rPr>
                  </w:pPr>
                </w:p>
              </w:tc>
              <w:tc>
                <w:tcPr>
                  <w:tcW w:w="2852" w:type="dxa"/>
                  <w:noWrap w:val="0"/>
                  <w:vAlign w:val="center"/>
                </w:tcPr>
                <w:p w14:paraId="4E4AAD71">
                  <w:pPr>
                    <w:keepNext w:val="0"/>
                    <w:keepLines w:val="0"/>
                    <w:widowControl/>
                    <w:suppressLineNumbers w:val="0"/>
                    <w:jc w:val="both"/>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《合成树脂工业污染物排放标准》（</w:t>
                  </w:r>
                  <w:r>
                    <w:rPr>
                      <w:rFonts w:hint="default" w:ascii="Times New Roman" w:hAnsi="Times New Roman" w:eastAsia="宋体" w:cs="Times New Roman"/>
                      <w:i w:val="0"/>
                      <w:iCs w:val="0"/>
                      <w:color w:val="00B050"/>
                      <w:kern w:val="0"/>
                      <w:sz w:val="21"/>
                      <w:szCs w:val="21"/>
                      <w:u w:val="none"/>
                      <w:lang w:val="en-US" w:eastAsia="zh-CN" w:bidi="ar"/>
                    </w:rPr>
                    <w:t>GB31572-2015</w:t>
                  </w:r>
                  <w:r>
                    <w:rPr>
                      <w:rFonts w:hint="eastAsia" w:ascii="宋体" w:hAnsi="宋体" w:eastAsia="宋体" w:cs="宋体"/>
                      <w:i w:val="0"/>
                      <w:iCs w:val="0"/>
                      <w:color w:val="00B050"/>
                      <w:kern w:val="0"/>
                      <w:sz w:val="21"/>
                      <w:szCs w:val="21"/>
                      <w:u w:val="none"/>
                      <w:lang w:val="en-US" w:eastAsia="zh-CN" w:bidi="ar"/>
                    </w:rPr>
                    <w:t>）</w:t>
                  </w:r>
                </w:p>
              </w:tc>
              <w:tc>
                <w:tcPr>
                  <w:tcW w:w="1065" w:type="dxa"/>
                  <w:noWrap w:val="0"/>
                  <w:vAlign w:val="center"/>
                </w:tcPr>
                <w:p w14:paraId="2D4806AD">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1</w:t>
                  </w:r>
                </w:p>
              </w:tc>
              <w:tc>
                <w:tcPr>
                  <w:tcW w:w="867" w:type="dxa"/>
                  <w:noWrap w:val="0"/>
                  <w:vAlign w:val="center"/>
                </w:tcPr>
                <w:p w14:paraId="402B790B">
                  <w:pPr>
                    <w:keepNext w:val="0"/>
                    <w:keepLines w:val="0"/>
                    <w:widowControl/>
                    <w:suppressLineNumbers w:val="0"/>
                    <w:jc w:val="center"/>
                    <w:textAlignment w:val="center"/>
                    <w:rPr>
                      <w:rFonts w:hint="eastAsia" w:ascii="Times New Roman" w:hAnsi="Times New Roman" w:eastAsia="宋体" w:cs="Times New Roman"/>
                      <w:i w:val="0"/>
                      <w:iCs w:val="0"/>
                      <w:color w:val="00B050"/>
                      <w:sz w:val="21"/>
                      <w:szCs w:val="21"/>
                      <w:highlight w:val="yellow"/>
                      <w:u w:val="none"/>
                      <w:lang w:val="en-US" w:eastAsia="zh-CN"/>
                    </w:rPr>
                  </w:pPr>
                  <w:r>
                    <w:rPr>
                      <w:rFonts w:hint="default" w:ascii="Times New Roman" w:hAnsi="Times New Roman" w:eastAsia="宋体" w:cs="Times New Roman"/>
                      <w:i w:val="0"/>
                      <w:iCs w:val="0"/>
                      <w:color w:val="00B050"/>
                      <w:kern w:val="0"/>
                      <w:sz w:val="21"/>
                      <w:szCs w:val="21"/>
                      <w:u w:val="none"/>
                      <w:lang w:val="en-US" w:eastAsia="zh-CN" w:bidi="ar"/>
                    </w:rPr>
                    <w:t>/</w:t>
                  </w:r>
                </w:p>
              </w:tc>
            </w:tr>
            <w:tr w14:paraId="1D2E8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4" w:type="dxa"/>
                  <w:vMerge w:val="continue"/>
                  <w:noWrap w:val="0"/>
                  <w:vAlign w:val="center"/>
                </w:tcPr>
                <w:p w14:paraId="0320487D">
                  <w:pPr>
                    <w:jc w:val="center"/>
                    <w:rPr>
                      <w:rFonts w:hint="default" w:ascii="Times New Roman" w:hAnsi="Times New Roman" w:eastAsia="宋体" w:cs="Times New Roman"/>
                      <w:i w:val="0"/>
                      <w:iCs w:val="0"/>
                      <w:color w:val="00B050"/>
                      <w:sz w:val="21"/>
                      <w:szCs w:val="21"/>
                      <w:u w:val="none"/>
                    </w:rPr>
                  </w:pPr>
                </w:p>
              </w:tc>
              <w:tc>
                <w:tcPr>
                  <w:tcW w:w="859" w:type="dxa"/>
                  <w:noWrap w:val="0"/>
                  <w:vAlign w:val="center"/>
                </w:tcPr>
                <w:p w14:paraId="4319E86D">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模具保养废气</w:t>
                  </w:r>
                </w:p>
              </w:tc>
              <w:tc>
                <w:tcPr>
                  <w:tcW w:w="1316" w:type="dxa"/>
                  <w:noWrap w:val="0"/>
                  <w:vAlign w:val="center"/>
                </w:tcPr>
                <w:p w14:paraId="1DFFEC26">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非甲烷总烃</w:t>
                  </w:r>
                </w:p>
              </w:tc>
              <w:tc>
                <w:tcPr>
                  <w:tcW w:w="901" w:type="dxa"/>
                  <w:noWrap w:val="0"/>
                  <w:vAlign w:val="center"/>
                </w:tcPr>
                <w:p w14:paraId="5F40BCB3">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c>
                <w:tcPr>
                  <w:tcW w:w="2852" w:type="dxa"/>
                  <w:vMerge w:val="restart"/>
                  <w:noWrap w:val="0"/>
                  <w:vAlign w:val="center"/>
                </w:tcPr>
                <w:p w14:paraId="1F67A6C9">
                  <w:pPr>
                    <w:keepNext w:val="0"/>
                    <w:keepLines w:val="0"/>
                    <w:widowControl/>
                    <w:suppressLineNumbers w:val="0"/>
                    <w:jc w:val="both"/>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《四川省固定污染源大气挥发性有机物排放标准》（</w:t>
                  </w:r>
                  <w:r>
                    <w:rPr>
                      <w:rFonts w:hint="default" w:ascii="Times New Roman" w:hAnsi="Times New Roman" w:eastAsia="宋体" w:cs="Times New Roman"/>
                      <w:i w:val="0"/>
                      <w:iCs w:val="0"/>
                      <w:color w:val="00B050"/>
                      <w:kern w:val="0"/>
                      <w:sz w:val="21"/>
                      <w:szCs w:val="21"/>
                      <w:u w:val="none"/>
                      <w:lang w:val="en-US" w:eastAsia="zh-CN" w:bidi="ar"/>
                    </w:rPr>
                    <w:t>DB51/2377-2017</w:t>
                  </w:r>
                  <w:r>
                    <w:rPr>
                      <w:rFonts w:hint="eastAsia" w:ascii="宋体" w:hAnsi="宋体" w:eastAsia="宋体" w:cs="宋体"/>
                      <w:i w:val="0"/>
                      <w:iCs w:val="0"/>
                      <w:color w:val="00B050"/>
                      <w:kern w:val="0"/>
                      <w:sz w:val="21"/>
                      <w:szCs w:val="21"/>
                      <w:u w:val="none"/>
                      <w:lang w:val="en-US" w:eastAsia="zh-CN" w:bidi="ar"/>
                    </w:rPr>
                    <w:t>）</w:t>
                  </w:r>
                </w:p>
              </w:tc>
              <w:tc>
                <w:tcPr>
                  <w:tcW w:w="1065" w:type="dxa"/>
                  <w:noWrap w:val="0"/>
                  <w:vAlign w:val="center"/>
                </w:tcPr>
                <w:p w14:paraId="49F54F2D">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2</w:t>
                  </w:r>
                </w:p>
              </w:tc>
              <w:tc>
                <w:tcPr>
                  <w:tcW w:w="867" w:type="dxa"/>
                  <w:noWrap w:val="0"/>
                  <w:vAlign w:val="center"/>
                </w:tcPr>
                <w:p w14:paraId="0C6851EF">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highlight w:val="yellow"/>
                      <w:u w:val="none"/>
                      <w:lang w:val="en-US"/>
                    </w:rPr>
                  </w:pPr>
                  <w:r>
                    <w:rPr>
                      <w:rFonts w:hint="default" w:ascii="Times New Roman" w:hAnsi="Times New Roman" w:eastAsia="宋体" w:cs="Times New Roman"/>
                      <w:i w:val="0"/>
                      <w:iCs w:val="0"/>
                      <w:color w:val="00B050"/>
                      <w:kern w:val="0"/>
                      <w:sz w:val="21"/>
                      <w:szCs w:val="21"/>
                      <w:u w:val="none"/>
                      <w:lang w:val="en-US" w:eastAsia="zh-CN" w:bidi="ar"/>
                    </w:rPr>
                    <w:t>0.068</w:t>
                  </w:r>
                </w:p>
              </w:tc>
            </w:tr>
            <w:tr w14:paraId="0BCCC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4" w:type="dxa"/>
                  <w:vMerge w:val="continue"/>
                  <w:noWrap w:val="0"/>
                  <w:vAlign w:val="center"/>
                </w:tcPr>
                <w:p w14:paraId="5BA6E7AD">
                  <w:pPr>
                    <w:jc w:val="center"/>
                    <w:rPr>
                      <w:rFonts w:hint="default" w:ascii="Times New Roman" w:hAnsi="Times New Roman" w:eastAsia="宋体" w:cs="Times New Roman"/>
                      <w:i w:val="0"/>
                      <w:iCs w:val="0"/>
                      <w:color w:val="00B050"/>
                      <w:sz w:val="21"/>
                      <w:szCs w:val="21"/>
                      <w:u w:val="none"/>
                    </w:rPr>
                  </w:pPr>
                </w:p>
              </w:tc>
              <w:tc>
                <w:tcPr>
                  <w:tcW w:w="859" w:type="dxa"/>
                  <w:noWrap w:val="0"/>
                  <w:vAlign w:val="center"/>
                </w:tcPr>
                <w:p w14:paraId="026D2442">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移印废气</w:t>
                  </w:r>
                </w:p>
              </w:tc>
              <w:tc>
                <w:tcPr>
                  <w:tcW w:w="1316" w:type="dxa"/>
                  <w:noWrap w:val="0"/>
                  <w:vAlign w:val="center"/>
                </w:tcPr>
                <w:p w14:paraId="2B424EF4">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非甲烷总烃</w:t>
                  </w:r>
                </w:p>
              </w:tc>
              <w:tc>
                <w:tcPr>
                  <w:tcW w:w="901" w:type="dxa"/>
                  <w:noWrap w:val="0"/>
                  <w:vAlign w:val="center"/>
                </w:tcPr>
                <w:p w14:paraId="7CA6C4E0">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两级活性炭</w:t>
                  </w:r>
                </w:p>
              </w:tc>
              <w:tc>
                <w:tcPr>
                  <w:tcW w:w="2852" w:type="dxa"/>
                  <w:vMerge w:val="continue"/>
                  <w:noWrap w:val="0"/>
                  <w:vAlign w:val="center"/>
                </w:tcPr>
                <w:p w14:paraId="12934E6D">
                  <w:pPr>
                    <w:jc w:val="both"/>
                    <w:rPr>
                      <w:rFonts w:hint="default" w:ascii="Times New Roman" w:hAnsi="Times New Roman" w:eastAsia="宋体" w:cs="Times New Roman"/>
                      <w:i w:val="0"/>
                      <w:iCs w:val="0"/>
                      <w:color w:val="00B050"/>
                      <w:sz w:val="21"/>
                      <w:szCs w:val="21"/>
                      <w:u w:val="none"/>
                    </w:rPr>
                  </w:pPr>
                </w:p>
              </w:tc>
              <w:tc>
                <w:tcPr>
                  <w:tcW w:w="1065" w:type="dxa"/>
                  <w:noWrap w:val="0"/>
                  <w:vAlign w:val="center"/>
                </w:tcPr>
                <w:p w14:paraId="41CC2A6A">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2</w:t>
                  </w:r>
                </w:p>
              </w:tc>
              <w:tc>
                <w:tcPr>
                  <w:tcW w:w="867" w:type="dxa"/>
                  <w:noWrap w:val="0"/>
                  <w:vAlign w:val="center"/>
                </w:tcPr>
                <w:p w14:paraId="45D1A7A6">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highlight w:val="yellow"/>
                      <w:u w:val="none"/>
                      <w:lang w:val="en-US"/>
                    </w:rPr>
                  </w:pPr>
                  <w:r>
                    <w:rPr>
                      <w:rFonts w:hint="default" w:ascii="Times New Roman" w:hAnsi="Times New Roman" w:eastAsia="宋体" w:cs="Times New Roman"/>
                      <w:i w:val="0"/>
                      <w:iCs w:val="0"/>
                      <w:color w:val="00B050"/>
                      <w:kern w:val="0"/>
                      <w:sz w:val="21"/>
                      <w:szCs w:val="21"/>
                      <w:u w:val="none"/>
                      <w:lang w:val="en-US" w:eastAsia="zh-CN" w:bidi="ar"/>
                    </w:rPr>
                    <w:t>0.0404</w:t>
                  </w:r>
                </w:p>
              </w:tc>
            </w:tr>
            <w:tr w14:paraId="41A6E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4" w:type="dxa"/>
                  <w:noWrap w:val="0"/>
                  <w:vAlign w:val="center"/>
                </w:tcPr>
                <w:p w14:paraId="529FFF5A">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highlight w:val="yellow"/>
                      <w:u w:val="none"/>
                    </w:rPr>
                  </w:pPr>
                  <w:r>
                    <w:rPr>
                      <w:rFonts w:hint="eastAsia" w:ascii="宋体" w:hAnsi="宋体" w:eastAsia="宋体" w:cs="宋体"/>
                      <w:i w:val="0"/>
                      <w:iCs w:val="0"/>
                      <w:color w:val="00B050"/>
                      <w:kern w:val="0"/>
                      <w:sz w:val="21"/>
                      <w:szCs w:val="21"/>
                      <w:u w:val="none"/>
                      <w:lang w:val="en-US" w:eastAsia="zh-CN" w:bidi="ar"/>
                    </w:rPr>
                    <w:t>厂房</w:t>
                  </w:r>
                </w:p>
              </w:tc>
              <w:tc>
                <w:tcPr>
                  <w:tcW w:w="859" w:type="dxa"/>
                  <w:noWrap w:val="0"/>
                  <w:vAlign w:val="center"/>
                </w:tcPr>
                <w:p w14:paraId="7A66027B">
                  <w:pPr>
                    <w:keepNext w:val="0"/>
                    <w:keepLines w:val="0"/>
                    <w:widowControl/>
                    <w:suppressLineNumbers w:val="0"/>
                    <w:jc w:val="center"/>
                    <w:textAlignment w:val="center"/>
                    <w:rPr>
                      <w:color w:val="00B050"/>
                    </w:rPr>
                  </w:pPr>
                  <w:r>
                    <w:rPr>
                      <w:rFonts w:hint="eastAsia" w:ascii="宋体" w:hAnsi="宋体" w:eastAsia="宋体" w:cs="宋体"/>
                      <w:i w:val="0"/>
                      <w:iCs w:val="0"/>
                      <w:color w:val="00B050"/>
                      <w:kern w:val="0"/>
                      <w:sz w:val="21"/>
                      <w:szCs w:val="21"/>
                      <w:u w:val="none"/>
                      <w:lang w:val="en-US" w:eastAsia="zh-CN" w:bidi="ar"/>
                    </w:rPr>
                    <w:t>集中破碎粉尘</w:t>
                  </w:r>
                </w:p>
              </w:tc>
              <w:tc>
                <w:tcPr>
                  <w:tcW w:w="1316" w:type="dxa"/>
                  <w:noWrap w:val="0"/>
                  <w:vAlign w:val="center"/>
                </w:tcPr>
                <w:p w14:paraId="61E96875">
                  <w:pPr>
                    <w:keepNext w:val="0"/>
                    <w:keepLines w:val="0"/>
                    <w:widowControl/>
                    <w:suppressLineNumbers w:val="0"/>
                    <w:jc w:val="center"/>
                    <w:textAlignment w:val="center"/>
                    <w:rPr>
                      <w:color w:val="00B050"/>
                    </w:rPr>
                  </w:pPr>
                  <w:r>
                    <w:rPr>
                      <w:rFonts w:hint="eastAsia" w:ascii="宋体" w:hAnsi="宋体" w:eastAsia="宋体" w:cs="宋体"/>
                      <w:i w:val="0"/>
                      <w:iCs w:val="0"/>
                      <w:color w:val="00B050"/>
                      <w:kern w:val="0"/>
                      <w:sz w:val="21"/>
                      <w:szCs w:val="21"/>
                      <w:u w:val="none"/>
                      <w:lang w:val="en-US" w:eastAsia="zh-CN" w:bidi="ar"/>
                    </w:rPr>
                    <w:t>颗粒物</w:t>
                  </w:r>
                </w:p>
              </w:tc>
              <w:tc>
                <w:tcPr>
                  <w:tcW w:w="901" w:type="dxa"/>
                  <w:noWrap w:val="0"/>
                  <w:vAlign w:val="center"/>
                </w:tcPr>
                <w:p w14:paraId="5227C621">
                  <w:pPr>
                    <w:keepNext w:val="0"/>
                    <w:keepLines w:val="0"/>
                    <w:widowControl/>
                    <w:suppressLineNumbers w:val="0"/>
                    <w:jc w:val="center"/>
                    <w:textAlignment w:val="center"/>
                    <w:rPr>
                      <w:color w:val="00B050"/>
                    </w:rPr>
                  </w:pPr>
                  <w:r>
                    <w:rPr>
                      <w:rFonts w:hint="default" w:ascii="Times New Roman" w:hAnsi="Times New Roman" w:eastAsia="宋体" w:cs="Times New Roman"/>
                      <w:i w:val="0"/>
                      <w:iCs w:val="0"/>
                      <w:color w:val="00B050"/>
                      <w:kern w:val="0"/>
                      <w:sz w:val="21"/>
                      <w:szCs w:val="21"/>
                      <w:u w:val="none"/>
                      <w:lang w:val="en-US" w:eastAsia="zh-CN" w:bidi="ar"/>
                    </w:rPr>
                    <w:t>/</w:t>
                  </w:r>
                </w:p>
              </w:tc>
              <w:tc>
                <w:tcPr>
                  <w:tcW w:w="2852" w:type="dxa"/>
                  <w:noWrap w:val="0"/>
                  <w:vAlign w:val="center"/>
                </w:tcPr>
                <w:p w14:paraId="2EA43763">
                  <w:pPr>
                    <w:keepNext w:val="0"/>
                    <w:keepLines w:val="0"/>
                    <w:widowControl/>
                    <w:suppressLineNumbers w:val="0"/>
                    <w:jc w:val="both"/>
                    <w:textAlignment w:val="center"/>
                    <w:rPr>
                      <w:color w:val="00B050"/>
                    </w:rPr>
                  </w:pPr>
                  <w:r>
                    <w:rPr>
                      <w:rFonts w:hint="eastAsia" w:ascii="宋体" w:hAnsi="宋体" w:eastAsia="宋体" w:cs="宋体"/>
                      <w:i w:val="0"/>
                      <w:iCs w:val="0"/>
                      <w:color w:val="00B050"/>
                      <w:kern w:val="0"/>
                      <w:sz w:val="21"/>
                      <w:szCs w:val="21"/>
                      <w:u w:val="none"/>
                      <w:lang w:val="en-US" w:eastAsia="zh-CN" w:bidi="ar"/>
                    </w:rPr>
                    <w:t>合成树脂工业污染物排放标准》（</w:t>
                  </w:r>
                  <w:r>
                    <w:rPr>
                      <w:rFonts w:hint="default" w:ascii="Times New Roman" w:hAnsi="Times New Roman" w:eastAsia="宋体" w:cs="Times New Roman"/>
                      <w:i w:val="0"/>
                      <w:iCs w:val="0"/>
                      <w:color w:val="00B050"/>
                      <w:kern w:val="0"/>
                      <w:sz w:val="21"/>
                      <w:szCs w:val="21"/>
                      <w:u w:val="none"/>
                      <w:lang w:val="en-US" w:eastAsia="zh-CN" w:bidi="ar"/>
                    </w:rPr>
                    <w:t>GB31572-2015</w:t>
                  </w:r>
                  <w:r>
                    <w:rPr>
                      <w:rFonts w:hint="eastAsia" w:ascii="宋体" w:hAnsi="宋体" w:eastAsia="宋体" w:cs="宋体"/>
                      <w:i w:val="0"/>
                      <w:iCs w:val="0"/>
                      <w:color w:val="00B050"/>
                      <w:kern w:val="0"/>
                      <w:sz w:val="21"/>
                      <w:szCs w:val="21"/>
                      <w:u w:val="none"/>
                      <w:lang w:val="en-US" w:eastAsia="zh-CN" w:bidi="ar"/>
                    </w:rPr>
                    <w:t>）</w:t>
                  </w:r>
                </w:p>
              </w:tc>
              <w:tc>
                <w:tcPr>
                  <w:tcW w:w="1065" w:type="dxa"/>
                  <w:noWrap w:val="0"/>
                  <w:vAlign w:val="center"/>
                </w:tcPr>
                <w:p w14:paraId="52BD1079">
                  <w:pPr>
                    <w:keepNext w:val="0"/>
                    <w:keepLines w:val="0"/>
                    <w:widowControl/>
                    <w:suppressLineNumbers w:val="0"/>
                    <w:jc w:val="center"/>
                    <w:textAlignment w:val="center"/>
                    <w:rPr>
                      <w:color w:val="00B050"/>
                    </w:rPr>
                  </w:pPr>
                  <w:r>
                    <w:rPr>
                      <w:rFonts w:hint="default" w:ascii="Times New Roman" w:hAnsi="Times New Roman" w:eastAsia="宋体" w:cs="Times New Roman"/>
                      <w:i w:val="0"/>
                      <w:iCs w:val="0"/>
                      <w:color w:val="00B050"/>
                      <w:kern w:val="0"/>
                      <w:sz w:val="21"/>
                      <w:szCs w:val="21"/>
                      <w:u w:val="none"/>
                      <w:lang w:val="en-US" w:eastAsia="zh-CN" w:bidi="ar"/>
                    </w:rPr>
                    <w:t>1</w:t>
                  </w:r>
                </w:p>
              </w:tc>
              <w:tc>
                <w:tcPr>
                  <w:tcW w:w="867" w:type="dxa"/>
                  <w:noWrap w:val="0"/>
                  <w:vAlign w:val="center"/>
                </w:tcPr>
                <w:p w14:paraId="46616DC7">
                  <w:pPr>
                    <w:keepNext w:val="0"/>
                    <w:keepLines w:val="0"/>
                    <w:widowControl/>
                    <w:suppressLineNumbers w:val="0"/>
                    <w:jc w:val="center"/>
                    <w:textAlignment w:val="center"/>
                    <w:rPr>
                      <w:color w:val="00B050"/>
                    </w:rPr>
                  </w:pPr>
                  <w:r>
                    <w:rPr>
                      <w:rFonts w:hint="eastAsia" w:cs="Times New Roman"/>
                      <w:i w:val="0"/>
                      <w:iCs w:val="0"/>
                      <w:color w:val="00B050"/>
                      <w:kern w:val="0"/>
                      <w:sz w:val="21"/>
                      <w:szCs w:val="21"/>
                      <w:u w:val="none"/>
                      <w:lang w:val="en-US" w:eastAsia="zh-CN" w:bidi="ar"/>
                    </w:rPr>
                    <w:t>0.0238</w:t>
                  </w:r>
                </w:p>
              </w:tc>
            </w:tr>
            <w:tr w14:paraId="02200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04" w:type="dxa"/>
                  <w:gridSpan w:val="7"/>
                  <w:noWrap w:val="0"/>
                  <w:vAlign w:val="center"/>
                </w:tcPr>
                <w:p w14:paraId="2F77103F">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highlight w:val="yellow"/>
                      <w:u w:val="none"/>
                      <w:lang w:val="en-US"/>
                    </w:rPr>
                  </w:pPr>
                  <w:r>
                    <w:rPr>
                      <w:rFonts w:hint="eastAsia" w:ascii="宋体" w:hAnsi="宋体" w:eastAsia="宋体" w:cs="宋体"/>
                      <w:i w:val="0"/>
                      <w:iCs w:val="0"/>
                      <w:color w:val="00B050"/>
                      <w:kern w:val="0"/>
                      <w:sz w:val="21"/>
                      <w:szCs w:val="21"/>
                      <w:u w:val="none"/>
                      <w:lang w:val="en-US" w:eastAsia="zh-CN" w:bidi="ar"/>
                    </w:rPr>
                    <w:t>无组织排放总计</w:t>
                  </w:r>
                </w:p>
              </w:tc>
            </w:tr>
            <w:tr w14:paraId="4E70E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20" w:type="dxa"/>
                  <w:gridSpan w:val="4"/>
                  <w:vMerge w:val="restart"/>
                  <w:noWrap w:val="0"/>
                  <w:vAlign w:val="center"/>
                </w:tcPr>
                <w:p w14:paraId="36576F7F">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无组织排放总计</w:t>
                  </w:r>
                </w:p>
              </w:tc>
              <w:tc>
                <w:tcPr>
                  <w:tcW w:w="2852" w:type="dxa"/>
                  <w:noWrap w:val="0"/>
                  <w:vAlign w:val="center"/>
                </w:tcPr>
                <w:p w14:paraId="378AD8C4">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颗粒物</w:t>
                  </w:r>
                </w:p>
              </w:tc>
              <w:tc>
                <w:tcPr>
                  <w:tcW w:w="1932" w:type="dxa"/>
                  <w:gridSpan w:val="2"/>
                  <w:noWrap w:val="0"/>
                  <w:vAlign w:val="center"/>
                </w:tcPr>
                <w:p w14:paraId="7604D121">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highlight w:val="yellow"/>
                      <w:u w:val="none"/>
                      <w:lang w:val="en-US"/>
                    </w:rPr>
                  </w:pPr>
                  <w:r>
                    <w:rPr>
                      <w:rFonts w:hint="default" w:ascii="Times New Roman" w:hAnsi="Times New Roman" w:eastAsia="宋体" w:cs="Times New Roman"/>
                      <w:i w:val="0"/>
                      <w:iCs w:val="0"/>
                      <w:color w:val="00B050"/>
                      <w:kern w:val="0"/>
                      <w:sz w:val="21"/>
                      <w:szCs w:val="21"/>
                      <w:u w:val="none"/>
                      <w:lang w:val="en-US" w:eastAsia="zh-CN" w:bidi="ar"/>
                    </w:rPr>
                    <w:t>0.0238</w:t>
                  </w:r>
                </w:p>
              </w:tc>
            </w:tr>
            <w:tr w14:paraId="24A45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20" w:type="dxa"/>
                  <w:gridSpan w:val="4"/>
                  <w:vMerge w:val="continue"/>
                  <w:noWrap w:val="0"/>
                  <w:vAlign w:val="center"/>
                </w:tcPr>
                <w:p w14:paraId="16251990">
                  <w:pPr>
                    <w:jc w:val="center"/>
                    <w:rPr>
                      <w:rFonts w:hint="default" w:ascii="Times New Roman" w:hAnsi="Times New Roman" w:eastAsia="宋体" w:cs="Times New Roman"/>
                      <w:i w:val="0"/>
                      <w:iCs w:val="0"/>
                      <w:color w:val="00B050"/>
                      <w:sz w:val="21"/>
                      <w:szCs w:val="21"/>
                      <w:u w:val="none"/>
                    </w:rPr>
                  </w:pPr>
                </w:p>
              </w:tc>
              <w:tc>
                <w:tcPr>
                  <w:tcW w:w="2852" w:type="dxa"/>
                  <w:noWrap w:val="0"/>
                  <w:vAlign w:val="center"/>
                </w:tcPr>
                <w:p w14:paraId="369E8E23">
                  <w:pPr>
                    <w:keepNext w:val="0"/>
                    <w:keepLines w:val="0"/>
                    <w:widowControl/>
                    <w:suppressLineNumbers w:val="0"/>
                    <w:jc w:val="center"/>
                    <w:textAlignment w:val="center"/>
                    <w:rPr>
                      <w:rFonts w:hint="eastAsia" w:ascii="宋体" w:hAnsi="宋体" w:eastAsia="宋体" w:cs="宋体"/>
                      <w:i w:val="0"/>
                      <w:iCs w:val="0"/>
                      <w:color w:val="00B050"/>
                      <w:kern w:val="0"/>
                      <w:sz w:val="21"/>
                      <w:szCs w:val="21"/>
                      <w:u w:val="none"/>
                      <w:lang w:val="en-US" w:eastAsia="zh-CN" w:bidi="ar"/>
                    </w:rPr>
                  </w:pPr>
                  <w:r>
                    <w:rPr>
                      <w:rFonts w:hint="eastAsia" w:ascii="宋体" w:hAnsi="宋体" w:eastAsia="宋体" w:cs="宋体"/>
                      <w:i w:val="0"/>
                      <w:iCs w:val="0"/>
                      <w:color w:val="00B050"/>
                      <w:kern w:val="0"/>
                      <w:sz w:val="21"/>
                      <w:szCs w:val="21"/>
                      <w:u w:val="none"/>
                      <w:lang w:val="en-US" w:eastAsia="zh-CN" w:bidi="ar"/>
                    </w:rPr>
                    <w:t>非甲烷总烃</w:t>
                  </w:r>
                </w:p>
              </w:tc>
              <w:tc>
                <w:tcPr>
                  <w:tcW w:w="1932" w:type="dxa"/>
                  <w:gridSpan w:val="2"/>
                  <w:noWrap w:val="0"/>
                  <w:vAlign w:val="center"/>
                </w:tcPr>
                <w:p w14:paraId="343D3C7B">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0.5102</w:t>
                  </w:r>
                </w:p>
              </w:tc>
            </w:tr>
            <w:tr w14:paraId="3FA9F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20" w:type="dxa"/>
                  <w:gridSpan w:val="4"/>
                  <w:vMerge w:val="continue"/>
                  <w:noWrap w:val="0"/>
                  <w:vAlign w:val="center"/>
                </w:tcPr>
                <w:p w14:paraId="66FDC3F2">
                  <w:pPr>
                    <w:jc w:val="center"/>
                    <w:rPr>
                      <w:rFonts w:hint="default" w:ascii="Times New Roman" w:hAnsi="Times New Roman" w:eastAsia="宋体" w:cs="Times New Roman"/>
                      <w:i w:val="0"/>
                      <w:iCs w:val="0"/>
                      <w:color w:val="00B050"/>
                      <w:sz w:val="21"/>
                      <w:szCs w:val="21"/>
                      <w:u w:val="none"/>
                    </w:rPr>
                  </w:pPr>
                </w:p>
              </w:tc>
              <w:tc>
                <w:tcPr>
                  <w:tcW w:w="2852" w:type="dxa"/>
                  <w:noWrap w:val="0"/>
                  <w:vAlign w:val="center"/>
                </w:tcPr>
                <w:p w14:paraId="5C92FFC6">
                  <w:pPr>
                    <w:keepNext w:val="0"/>
                    <w:keepLines w:val="0"/>
                    <w:widowControl/>
                    <w:suppressLineNumbers w:val="0"/>
                    <w:jc w:val="center"/>
                    <w:textAlignment w:val="center"/>
                    <w:rPr>
                      <w:rFonts w:hint="eastAsia" w:ascii="宋体" w:hAnsi="宋体" w:eastAsia="宋体" w:cs="宋体"/>
                      <w:i w:val="0"/>
                      <w:iCs w:val="0"/>
                      <w:color w:val="00B050"/>
                      <w:kern w:val="0"/>
                      <w:sz w:val="21"/>
                      <w:szCs w:val="21"/>
                      <w:u w:val="none"/>
                      <w:lang w:val="en-US" w:eastAsia="zh-CN" w:bidi="ar"/>
                    </w:rPr>
                  </w:pPr>
                  <w:r>
                    <w:rPr>
                      <w:rFonts w:hint="eastAsia" w:ascii="宋体" w:hAnsi="宋体" w:eastAsia="宋体" w:cs="宋体"/>
                      <w:i w:val="0"/>
                      <w:iCs w:val="0"/>
                      <w:color w:val="00B050"/>
                      <w:kern w:val="0"/>
                      <w:sz w:val="21"/>
                      <w:szCs w:val="21"/>
                      <w:u w:val="none"/>
                      <w:lang w:val="en-US" w:eastAsia="zh-CN" w:bidi="ar"/>
                    </w:rPr>
                    <w:t>三甲苯</w:t>
                  </w:r>
                </w:p>
              </w:tc>
              <w:tc>
                <w:tcPr>
                  <w:tcW w:w="1932" w:type="dxa"/>
                  <w:gridSpan w:val="2"/>
                  <w:noWrap w:val="0"/>
                  <w:vAlign w:val="center"/>
                </w:tcPr>
                <w:p w14:paraId="3DEFCEF2">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0.0009</w:t>
                  </w:r>
                </w:p>
              </w:tc>
            </w:tr>
          </w:tbl>
          <w:p w14:paraId="7D8CD500">
            <w:pPr>
              <w:pStyle w:val="49"/>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color w:val="00B050"/>
                <w:szCs w:val="24"/>
              </w:rPr>
            </w:pPr>
            <w:r>
              <w:rPr>
                <w:rFonts w:hint="default" w:ascii="Times New Roman" w:hAnsi="Times New Roman" w:cs="Times New Roman"/>
                <w:b/>
                <w:bCs/>
                <w:color w:val="00B050"/>
                <w:szCs w:val="24"/>
              </w:rPr>
              <w:t>表4.2-1</w:t>
            </w:r>
            <w:r>
              <w:rPr>
                <w:rFonts w:hint="default" w:ascii="Times New Roman" w:hAnsi="Times New Roman" w:cs="Times New Roman"/>
                <w:b/>
                <w:bCs/>
                <w:color w:val="00B050"/>
                <w:szCs w:val="24"/>
                <w:lang w:val="en-US" w:eastAsia="zh-CN"/>
              </w:rPr>
              <w:t>5</w:t>
            </w:r>
            <w:r>
              <w:rPr>
                <w:rFonts w:hint="default" w:ascii="Times New Roman" w:hAnsi="Times New Roman" w:cs="Times New Roman"/>
                <w:b/>
                <w:bCs/>
                <w:color w:val="00B050"/>
                <w:szCs w:val="24"/>
              </w:rPr>
              <w:t xml:space="preserve">  本项目大气污染物年排放量</w:t>
            </w:r>
          </w:p>
          <w:tbl>
            <w:tblPr>
              <w:tblStyle w:val="3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1793"/>
              <w:gridCol w:w="1793"/>
              <w:gridCol w:w="1793"/>
              <w:gridCol w:w="1793"/>
            </w:tblGrid>
            <w:tr w14:paraId="3685E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2" w:type="dxa"/>
                  <w:noWrap w:val="0"/>
                  <w:vAlign w:val="center"/>
                </w:tcPr>
                <w:p w14:paraId="1E03C837">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序号</w:t>
                  </w:r>
                </w:p>
              </w:tc>
              <w:tc>
                <w:tcPr>
                  <w:tcW w:w="1793" w:type="dxa"/>
                  <w:noWrap w:val="0"/>
                  <w:vAlign w:val="center"/>
                </w:tcPr>
                <w:p w14:paraId="69685F73">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污染物</w:t>
                  </w:r>
                </w:p>
              </w:tc>
              <w:tc>
                <w:tcPr>
                  <w:tcW w:w="1793" w:type="dxa"/>
                  <w:noWrap w:val="0"/>
                  <w:vAlign w:val="center"/>
                </w:tcPr>
                <w:p w14:paraId="34E5F69F">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有组织排放量（</w:t>
                  </w:r>
                  <w:r>
                    <w:rPr>
                      <w:rFonts w:hint="default" w:ascii="Times New Roman" w:hAnsi="Times New Roman" w:eastAsia="宋体" w:cs="Times New Roman"/>
                      <w:i w:val="0"/>
                      <w:iCs w:val="0"/>
                      <w:color w:val="00B050"/>
                      <w:kern w:val="0"/>
                      <w:sz w:val="21"/>
                      <w:szCs w:val="21"/>
                      <w:u w:val="none"/>
                      <w:lang w:val="en-US" w:eastAsia="zh-CN" w:bidi="ar"/>
                    </w:rPr>
                    <w:t>t/a</w:t>
                  </w:r>
                  <w:r>
                    <w:rPr>
                      <w:rFonts w:hint="eastAsia" w:ascii="宋体" w:hAnsi="宋体" w:eastAsia="宋体" w:cs="宋体"/>
                      <w:i w:val="0"/>
                      <w:iCs w:val="0"/>
                      <w:color w:val="00B050"/>
                      <w:kern w:val="0"/>
                      <w:sz w:val="21"/>
                      <w:szCs w:val="21"/>
                      <w:u w:val="none"/>
                      <w:lang w:val="en-US" w:eastAsia="zh-CN" w:bidi="ar"/>
                    </w:rPr>
                    <w:t>）</w:t>
                  </w:r>
                </w:p>
              </w:tc>
              <w:tc>
                <w:tcPr>
                  <w:tcW w:w="1793" w:type="dxa"/>
                  <w:noWrap w:val="0"/>
                  <w:vAlign w:val="center"/>
                </w:tcPr>
                <w:p w14:paraId="6C1162B0">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无组织排放量（</w:t>
                  </w:r>
                  <w:r>
                    <w:rPr>
                      <w:rFonts w:hint="default" w:ascii="Times New Roman" w:hAnsi="Times New Roman" w:eastAsia="宋体" w:cs="Times New Roman"/>
                      <w:i w:val="0"/>
                      <w:iCs w:val="0"/>
                      <w:color w:val="00B050"/>
                      <w:kern w:val="0"/>
                      <w:sz w:val="21"/>
                      <w:szCs w:val="21"/>
                      <w:u w:val="none"/>
                      <w:lang w:val="en-US" w:eastAsia="zh-CN" w:bidi="ar"/>
                    </w:rPr>
                    <w:t>t/a</w:t>
                  </w:r>
                  <w:r>
                    <w:rPr>
                      <w:rFonts w:hint="eastAsia" w:ascii="宋体" w:hAnsi="宋体" w:eastAsia="宋体" w:cs="宋体"/>
                      <w:i w:val="0"/>
                      <w:iCs w:val="0"/>
                      <w:color w:val="00B050"/>
                      <w:kern w:val="0"/>
                      <w:sz w:val="21"/>
                      <w:szCs w:val="21"/>
                      <w:u w:val="none"/>
                      <w:lang w:val="en-US" w:eastAsia="zh-CN" w:bidi="ar"/>
                    </w:rPr>
                    <w:t>）</w:t>
                  </w:r>
                </w:p>
              </w:tc>
              <w:tc>
                <w:tcPr>
                  <w:tcW w:w="1793" w:type="dxa"/>
                  <w:noWrap w:val="0"/>
                  <w:vAlign w:val="center"/>
                </w:tcPr>
                <w:p w14:paraId="67B527A6">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排放量合计（</w:t>
                  </w:r>
                  <w:r>
                    <w:rPr>
                      <w:rFonts w:hint="default" w:ascii="Times New Roman" w:hAnsi="Times New Roman" w:eastAsia="宋体" w:cs="Times New Roman"/>
                      <w:i w:val="0"/>
                      <w:iCs w:val="0"/>
                      <w:color w:val="00B050"/>
                      <w:kern w:val="0"/>
                      <w:sz w:val="21"/>
                      <w:szCs w:val="21"/>
                      <w:u w:val="none"/>
                      <w:lang w:val="en-US" w:eastAsia="zh-CN" w:bidi="ar"/>
                    </w:rPr>
                    <w:t>t/a</w:t>
                  </w:r>
                  <w:r>
                    <w:rPr>
                      <w:rFonts w:hint="eastAsia" w:ascii="宋体" w:hAnsi="宋体" w:eastAsia="宋体" w:cs="宋体"/>
                      <w:i w:val="0"/>
                      <w:iCs w:val="0"/>
                      <w:color w:val="00B050"/>
                      <w:kern w:val="0"/>
                      <w:sz w:val="21"/>
                      <w:szCs w:val="21"/>
                      <w:u w:val="none"/>
                      <w:lang w:val="en-US" w:eastAsia="zh-CN" w:bidi="ar"/>
                    </w:rPr>
                    <w:t>）</w:t>
                  </w:r>
                </w:p>
              </w:tc>
            </w:tr>
            <w:tr w14:paraId="085D2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2" w:type="dxa"/>
                  <w:noWrap w:val="0"/>
                  <w:vAlign w:val="center"/>
                </w:tcPr>
                <w:p w14:paraId="7D56547E">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1</w:t>
                  </w:r>
                </w:p>
              </w:tc>
              <w:tc>
                <w:tcPr>
                  <w:tcW w:w="1793" w:type="dxa"/>
                  <w:noWrap w:val="0"/>
                  <w:vAlign w:val="center"/>
                </w:tcPr>
                <w:p w14:paraId="7E4ECA9B">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非甲烷总烃</w:t>
                  </w:r>
                </w:p>
              </w:tc>
              <w:tc>
                <w:tcPr>
                  <w:tcW w:w="1793" w:type="dxa"/>
                  <w:noWrap w:val="0"/>
                  <w:vAlign w:val="center"/>
                </w:tcPr>
                <w:p w14:paraId="62E6FEAA">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highlight w:val="yellow"/>
                      <w:u w:val="none"/>
                      <w:lang w:val="en-US"/>
                    </w:rPr>
                  </w:pPr>
                  <w:r>
                    <w:rPr>
                      <w:rFonts w:hint="default" w:ascii="Times New Roman" w:hAnsi="Times New Roman" w:eastAsia="宋体" w:cs="Times New Roman"/>
                      <w:i w:val="0"/>
                      <w:iCs w:val="0"/>
                      <w:color w:val="00B050"/>
                      <w:kern w:val="0"/>
                      <w:sz w:val="21"/>
                      <w:szCs w:val="21"/>
                      <w:u w:val="none"/>
                      <w:lang w:val="en-US" w:eastAsia="zh-CN" w:bidi="ar"/>
                    </w:rPr>
                    <w:t>0.4422</w:t>
                  </w:r>
                </w:p>
              </w:tc>
              <w:tc>
                <w:tcPr>
                  <w:tcW w:w="1793" w:type="dxa"/>
                  <w:noWrap w:val="0"/>
                  <w:vAlign w:val="center"/>
                </w:tcPr>
                <w:p w14:paraId="02271C30">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highlight w:val="yellow"/>
                      <w:u w:val="none"/>
                      <w:lang w:val="en-US"/>
                    </w:rPr>
                  </w:pPr>
                  <w:r>
                    <w:rPr>
                      <w:rFonts w:hint="default" w:ascii="Times New Roman" w:hAnsi="Times New Roman" w:eastAsia="宋体" w:cs="Times New Roman"/>
                      <w:i w:val="0"/>
                      <w:iCs w:val="0"/>
                      <w:color w:val="00B050"/>
                      <w:kern w:val="0"/>
                      <w:sz w:val="21"/>
                      <w:szCs w:val="21"/>
                      <w:u w:val="none"/>
                      <w:lang w:val="en-US" w:eastAsia="zh-CN" w:bidi="ar"/>
                    </w:rPr>
                    <w:t>0.5102</w:t>
                  </w:r>
                </w:p>
              </w:tc>
              <w:tc>
                <w:tcPr>
                  <w:tcW w:w="1793" w:type="dxa"/>
                  <w:noWrap w:val="0"/>
                  <w:vAlign w:val="center"/>
                </w:tcPr>
                <w:p w14:paraId="4D06DC77">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highlight w:val="yellow"/>
                      <w:u w:val="none"/>
                      <w:lang w:val="en-US"/>
                    </w:rPr>
                  </w:pPr>
                  <w:r>
                    <w:rPr>
                      <w:rFonts w:hint="default" w:ascii="Times New Roman" w:hAnsi="Times New Roman" w:eastAsia="宋体" w:cs="Times New Roman"/>
                      <w:i w:val="0"/>
                      <w:iCs w:val="0"/>
                      <w:color w:val="00B050"/>
                      <w:kern w:val="0"/>
                      <w:sz w:val="21"/>
                      <w:szCs w:val="21"/>
                      <w:u w:val="none"/>
                      <w:lang w:val="en-US" w:eastAsia="zh-CN" w:bidi="ar"/>
                    </w:rPr>
                    <w:t>0.9524</w:t>
                  </w:r>
                </w:p>
              </w:tc>
            </w:tr>
            <w:tr w14:paraId="48CBD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2" w:type="dxa"/>
                  <w:noWrap w:val="0"/>
                  <w:vAlign w:val="center"/>
                </w:tcPr>
                <w:p w14:paraId="3B76E6EC">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2</w:t>
                  </w:r>
                </w:p>
              </w:tc>
              <w:tc>
                <w:tcPr>
                  <w:tcW w:w="1793" w:type="dxa"/>
                  <w:noWrap w:val="0"/>
                  <w:vAlign w:val="center"/>
                </w:tcPr>
                <w:p w14:paraId="05B86F6F">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cs="宋体"/>
                      <w:i w:val="0"/>
                      <w:iCs w:val="0"/>
                      <w:color w:val="00B050"/>
                      <w:kern w:val="0"/>
                      <w:sz w:val="21"/>
                      <w:szCs w:val="21"/>
                      <w:u w:val="none"/>
                      <w:lang w:val="en-US" w:eastAsia="zh-CN" w:bidi="ar"/>
                    </w:rPr>
                    <w:t>三甲苯</w:t>
                  </w:r>
                </w:p>
              </w:tc>
              <w:tc>
                <w:tcPr>
                  <w:tcW w:w="1793" w:type="dxa"/>
                  <w:noWrap w:val="0"/>
                  <w:vAlign w:val="center"/>
                </w:tcPr>
                <w:p w14:paraId="0CD0F3DE">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highlight w:val="yellow"/>
                      <w:u w:val="none"/>
                      <w:lang w:val="en-US"/>
                    </w:rPr>
                  </w:pPr>
                  <w:r>
                    <w:rPr>
                      <w:rFonts w:hint="eastAsia" w:cs="Times New Roman"/>
                      <w:i w:val="0"/>
                      <w:iCs w:val="0"/>
                      <w:color w:val="00B050"/>
                      <w:kern w:val="0"/>
                      <w:sz w:val="21"/>
                      <w:szCs w:val="21"/>
                      <w:u w:val="none"/>
                      <w:lang w:val="en-US" w:eastAsia="zh-CN" w:bidi="ar"/>
                    </w:rPr>
                    <w:t>0.0009</w:t>
                  </w:r>
                </w:p>
              </w:tc>
              <w:tc>
                <w:tcPr>
                  <w:tcW w:w="1793" w:type="dxa"/>
                  <w:noWrap w:val="0"/>
                  <w:vAlign w:val="center"/>
                </w:tcPr>
                <w:p w14:paraId="4D64EAA9">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highlight w:val="yellow"/>
                      <w:u w:val="none"/>
                      <w:lang w:val="en-US"/>
                    </w:rPr>
                  </w:pPr>
                  <w:r>
                    <w:rPr>
                      <w:rFonts w:hint="eastAsia" w:cs="Times New Roman"/>
                      <w:i w:val="0"/>
                      <w:iCs w:val="0"/>
                      <w:color w:val="00B050"/>
                      <w:kern w:val="0"/>
                      <w:sz w:val="21"/>
                      <w:szCs w:val="21"/>
                      <w:u w:val="none"/>
                      <w:lang w:val="en-US" w:eastAsia="zh-CN" w:bidi="ar"/>
                    </w:rPr>
                    <w:t>0.0009</w:t>
                  </w:r>
                </w:p>
              </w:tc>
              <w:tc>
                <w:tcPr>
                  <w:tcW w:w="1793" w:type="dxa"/>
                  <w:noWrap w:val="0"/>
                  <w:vAlign w:val="center"/>
                </w:tcPr>
                <w:p w14:paraId="7481C194">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highlight w:val="yellow"/>
                      <w:u w:val="none"/>
                      <w:lang w:val="en-US"/>
                    </w:rPr>
                  </w:pPr>
                  <w:r>
                    <w:rPr>
                      <w:rFonts w:hint="eastAsia" w:cs="Times New Roman"/>
                      <w:i w:val="0"/>
                      <w:iCs w:val="0"/>
                      <w:color w:val="00B050"/>
                      <w:kern w:val="0"/>
                      <w:sz w:val="21"/>
                      <w:szCs w:val="21"/>
                      <w:u w:val="none"/>
                      <w:lang w:val="en-US" w:eastAsia="zh-CN" w:bidi="ar"/>
                    </w:rPr>
                    <w:t>0.0018</w:t>
                  </w:r>
                </w:p>
              </w:tc>
            </w:tr>
            <w:tr w14:paraId="52C12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32" w:type="dxa"/>
                  <w:noWrap w:val="0"/>
                  <w:vAlign w:val="center"/>
                </w:tcPr>
                <w:p w14:paraId="3A41368C">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2</w:t>
                  </w:r>
                </w:p>
              </w:tc>
              <w:tc>
                <w:tcPr>
                  <w:tcW w:w="1793" w:type="dxa"/>
                  <w:noWrap w:val="0"/>
                  <w:vAlign w:val="center"/>
                </w:tcPr>
                <w:p w14:paraId="545131B2">
                  <w:pPr>
                    <w:keepNext w:val="0"/>
                    <w:keepLines w:val="0"/>
                    <w:widowControl/>
                    <w:suppressLineNumbers w:val="0"/>
                    <w:jc w:val="center"/>
                    <w:textAlignment w:val="center"/>
                    <w:rPr>
                      <w:rFonts w:hint="eastAsia" w:ascii="宋体" w:hAnsi="宋体" w:eastAsia="宋体" w:cs="宋体"/>
                      <w:i w:val="0"/>
                      <w:iCs w:val="0"/>
                      <w:color w:val="00B050"/>
                      <w:kern w:val="0"/>
                      <w:sz w:val="21"/>
                      <w:szCs w:val="21"/>
                      <w:u w:val="none"/>
                      <w:lang w:val="en-US" w:eastAsia="zh-CN" w:bidi="ar"/>
                    </w:rPr>
                  </w:pPr>
                  <w:r>
                    <w:rPr>
                      <w:rFonts w:hint="eastAsia" w:ascii="宋体" w:hAnsi="宋体" w:eastAsia="宋体" w:cs="宋体"/>
                      <w:i w:val="0"/>
                      <w:iCs w:val="0"/>
                      <w:color w:val="00B050"/>
                      <w:kern w:val="0"/>
                      <w:sz w:val="21"/>
                      <w:szCs w:val="21"/>
                      <w:u w:val="none"/>
                      <w:lang w:val="en-US" w:eastAsia="zh-CN" w:bidi="ar"/>
                    </w:rPr>
                    <w:t>颗粒物</w:t>
                  </w:r>
                </w:p>
              </w:tc>
              <w:tc>
                <w:tcPr>
                  <w:tcW w:w="1793" w:type="dxa"/>
                  <w:noWrap w:val="0"/>
                  <w:vAlign w:val="center"/>
                </w:tcPr>
                <w:p w14:paraId="508754F8">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0</w:t>
                  </w:r>
                </w:p>
              </w:tc>
              <w:tc>
                <w:tcPr>
                  <w:tcW w:w="1793" w:type="dxa"/>
                  <w:noWrap w:val="0"/>
                  <w:vAlign w:val="center"/>
                </w:tcPr>
                <w:p w14:paraId="3773C990">
                  <w:pPr>
                    <w:keepNext w:val="0"/>
                    <w:keepLines w:val="0"/>
                    <w:widowControl/>
                    <w:suppressLineNumbers w:val="0"/>
                    <w:jc w:val="center"/>
                    <w:textAlignment w:val="center"/>
                    <w:rPr>
                      <w:rFonts w:hint="eastAsia" w:cs="Times New Roman"/>
                      <w:i w:val="0"/>
                      <w:iCs w:val="0"/>
                      <w:color w:val="00B050"/>
                      <w:kern w:val="0"/>
                      <w:sz w:val="21"/>
                      <w:szCs w:val="21"/>
                      <w:u w:val="none"/>
                      <w:lang w:val="en-US" w:eastAsia="zh-CN" w:bidi="ar"/>
                    </w:rPr>
                  </w:pPr>
                  <w:r>
                    <w:rPr>
                      <w:rFonts w:hint="eastAsia" w:cs="Times New Roman"/>
                      <w:i w:val="0"/>
                      <w:iCs w:val="0"/>
                      <w:color w:val="00B050"/>
                      <w:kern w:val="0"/>
                      <w:sz w:val="21"/>
                      <w:szCs w:val="21"/>
                      <w:u w:val="none"/>
                      <w:lang w:val="en-US" w:eastAsia="zh-CN" w:bidi="ar"/>
                    </w:rPr>
                    <w:t>0.0238</w:t>
                  </w:r>
                </w:p>
              </w:tc>
              <w:tc>
                <w:tcPr>
                  <w:tcW w:w="1793" w:type="dxa"/>
                  <w:noWrap w:val="0"/>
                  <w:vAlign w:val="center"/>
                </w:tcPr>
                <w:p w14:paraId="5D7A39D9">
                  <w:pPr>
                    <w:keepNext w:val="0"/>
                    <w:keepLines w:val="0"/>
                    <w:widowControl/>
                    <w:suppressLineNumbers w:val="0"/>
                    <w:jc w:val="center"/>
                    <w:textAlignment w:val="center"/>
                    <w:rPr>
                      <w:rFonts w:hint="eastAsia" w:cs="Times New Roman"/>
                      <w:i w:val="0"/>
                      <w:iCs w:val="0"/>
                      <w:color w:val="00B050"/>
                      <w:kern w:val="0"/>
                      <w:sz w:val="21"/>
                      <w:szCs w:val="21"/>
                      <w:u w:val="none"/>
                      <w:lang w:val="en-US" w:eastAsia="zh-CN" w:bidi="ar"/>
                    </w:rPr>
                  </w:pPr>
                  <w:r>
                    <w:rPr>
                      <w:rFonts w:hint="eastAsia" w:cs="Times New Roman"/>
                      <w:i w:val="0"/>
                      <w:iCs w:val="0"/>
                      <w:color w:val="00B050"/>
                      <w:kern w:val="0"/>
                      <w:sz w:val="21"/>
                      <w:szCs w:val="21"/>
                      <w:u w:val="none"/>
                      <w:lang w:val="en-US" w:eastAsia="zh-CN" w:bidi="ar"/>
                    </w:rPr>
                    <w:t>0.0238</w:t>
                  </w:r>
                </w:p>
              </w:tc>
            </w:tr>
          </w:tbl>
          <w:p w14:paraId="010E5456">
            <w:pPr>
              <w:pStyle w:val="49"/>
              <w:keepNext w:val="0"/>
              <w:keepLines w:val="0"/>
              <w:pageBreakBefore w:val="0"/>
              <w:widowControl w:val="0"/>
              <w:kinsoku/>
              <w:wordWrap/>
              <w:overflowPunct/>
              <w:topLinePunct w:val="0"/>
              <w:bidi w:val="0"/>
              <w:snapToGrid/>
              <w:ind w:firstLine="0" w:firstLineChars="0"/>
              <w:textAlignment w:val="auto"/>
              <w:rPr>
                <w:rFonts w:hint="default" w:ascii="Times New Roman" w:hAnsi="Times New Roman" w:cs="Times New Roman"/>
                <w:b/>
                <w:color w:val="auto"/>
              </w:rPr>
            </w:pPr>
            <w:r>
              <w:rPr>
                <w:rFonts w:hint="default" w:ascii="Times New Roman" w:hAnsi="Times New Roman" w:cs="Times New Roman"/>
                <w:b/>
                <w:color w:val="auto"/>
              </w:rPr>
              <w:t>4.2.1</w:t>
            </w:r>
            <w:r>
              <w:rPr>
                <w:rFonts w:hint="default" w:ascii="Times New Roman" w:hAnsi="Times New Roman" w:cs="Times New Roman"/>
                <w:b/>
                <w:color w:val="auto"/>
                <w:lang w:val="en-US" w:eastAsia="zh-CN"/>
              </w:rPr>
              <w:t>.7</w:t>
            </w:r>
            <w:r>
              <w:rPr>
                <w:rFonts w:hint="default" w:ascii="Times New Roman" w:hAnsi="Times New Roman" w:cs="Times New Roman"/>
                <w:b/>
                <w:color w:val="auto"/>
              </w:rPr>
              <w:t>项目废气监测计划</w:t>
            </w:r>
          </w:p>
          <w:p w14:paraId="2B170674">
            <w:pPr>
              <w:pStyle w:val="245"/>
              <w:keepNext w:val="0"/>
              <w:keepLines w:val="0"/>
              <w:pageBreakBefore w:val="0"/>
              <w:widowControl w:val="0"/>
              <w:kinsoku/>
              <w:wordWrap/>
              <w:overflowPunct/>
              <w:topLinePunct w:val="0"/>
              <w:bidi w:val="0"/>
              <w:snapToGrid/>
              <w:spacing w:line="360" w:lineRule="auto"/>
              <w:ind w:firstLine="480" w:firstLineChars="200"/>
              <w:jc w:val="both"/>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参照《排污许可证申请与核发技术规范 橡胶和塑料制品工业》（HJ1122-2020）、《排污单位自行监测技术指南 橡胶和塑料制品》（HJ1207-2021）和《排污单位自行监测技术指南 总则》（HJ819-2017），本项目监测计划如下表：</w:t>
            </w:r>
          </w:p>
          <w:p w14:paraId="0B474E7A">
            <w:pPr>
              <w:pStyle w:val="49"/>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b/>
                <w:bCs/>
                <w:color w:val="auto"/>
                <w:szCs w:val="24"/>
              </w:rPr>
            </w:pPr>
            <w:r>
              <w:rPr>
                <w:rFonts w:hint="default" w:ascii="Times New Roman" w:hAnsi="Times New Roman" w:cs="Times New Roman"/>
                <w:b/>
                <w:bCs/>
                <w:color w:val="auto"/>
                <w:szCs w:val="24"/>
              </w:rPr>
              <w:t>表4.2-1</w:t>
            </w:r>
            <w:r>
              <w:rPr>
                <w:rFonts w:hint="default" w:ascii="Times New Roman" w:hAnsi="Times New Roman" w:cs="Times New Roman"/>
                <w:b/>
                <w:bCs/>
                <w:color w:val="auto"/>
                <w:szCs w:val="24"/>
                <w:lang w:val="en-US" w:eastAsia="zh-CN"/>
              </w:rPr>
              <w:t>6</w:t>
            </w:r>
            <w:r>
              <w:rPr>
                <w:rFonts w:hint="default" w:ascii="Times New Roman" w:hAnsi="Times New Roman" w:cs="Times New Roman"/>
                <w:b/>
                <w:bCs/>
                <w:color w:val="auto"/>
                <w:szCs w:val="24"/>
              </w:rPr>
              <w:t xml:space="preserve">  废气环境监测计划一览表</w:t>
            </w:r>
          </w:p>
          <w:tbl>
            <w:tblPr>
              <w:tblStyle w:val="3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01"/>
              <w:gridCol w:w="1134"/>
              <w:gridCol w:w="2084"/>
              <w:gridCol w:w="3510"/>
            </w:tblGrid>
            <w:tr w14:paraId="4AAD8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75" w:type="dxa"/>
                  <w:noWrap w:val="0"/>
                  <w:vAlign w:val="center"/>
                </w:tcPr>
                <w:p w14:paraId="4E33D9C6">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类别</w:t>
                  </w:r>
                </w:p>
              </w:tc>
              <w:tc>
                <w:tcPr>
                  <w:tcW w:w="1101" w:type="dxa"/>
                  <w:noWrap w:val="0"/>
                  <w:vAlign w:val="center"/>
                </w:tcPr>
                <w:p w14:paraId="0E4B7EDA">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监测位置</w:t>
                  </w:r>
                </w:p>
              </w:tc>
              <w:tc>
                <w:tcPr>
                  <w:tcW w:w="1134" w:type="dxa"/>
                  <w:noWrap w:val="0"/>
                  <w:vAlign w:val="center"/>
                </w:tcPr>
                <w:p w14:paraId="7A0DA90D">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监测因子</w:t>
                  </w:r>
                </w:p>
              </w:tc>
              <w:tc>
                <w:tcPr>
                  <w:tcW w:w="2084" w:type="dxa"/>
                  <w:noWrap w:val="0"/>
                  <w:vAlign w:val="center"/>
                </w:tcPr>
                <w:p w14:paraId="0BE7D9E3">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监测频次</w:t>
                  </w:r>
                </w:p>
              </w:tc>
              <w:tc>
                <w:tcPr>
                  <w:tcW w:w="3510" w:type="dxa"/>
                  <w:noWrap w:val="0"/>
                  <w:vAlign w:val="center"/>
                </w:tcPr>
                <w:p w14:paraId="0278B18A">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执行排放标准</w:t>
                  </w:r>
                </w:p>
              </w:tc>
            </w:tr>
            <w:tr w14:paraId="62123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675" w:type="dxa"/>
                  <w:vMerge w:val="restart"/>
                  <w:noWrap w:val="0"/>
                  <w:vAlign w:val="center"/>
                </w:tcPr>
                <w:p w14:paraId="121E027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有组织排放</w:t>
                  </w:r>
                </w:p>
              </w:tc>
              <w:tc>
                <w:tcPr>
                  <w:tcW w:w="1101" w:type="dxa"/>
                  <w:vMerge w:val="restart"/>
                  <w:noWrap w:val="0"/>
                  <w:vAlign w:val="center"/>
                </w:tcPr>
                <w:p w14:paraId="5347D12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DA001</w:t>
                  </w:r>
                  <w:r>
                    <w:rPr>
                      <w:rFonts w:hint="eastAsia" w:ascii="宋体" w:hAnsi="宋体" w:eastAsia="宋体" w:cs="宋体"/>
                      <w:i w:val="0"/>
                      <w:iCs w:val="0"/>
                      <w:color w:val="0000FF"/>
                      <w:kern w:val="0"/>
                      <w:sz w:val="21"/>
                      <w:szCs w:val="21"/>
                      <w:u w:val="none"/>
                      <w:lang w:val="en-US" w:eastAsia="zh-CN" w:bidi="ar"/>
                    </w:rPr>
                    <w:t>排气筒出口</w:t>
                  </w:r>
                </w:p>
              </w:tc>
              <w:tc>
                <w:tcPr>
                  <w:tcW w:w="1134" w:type="dxa"/>
                  <w:noWrap w:val="0"/>
                  <w:vAlign w:val="center"/>
                </w:tcPr>
                <w:p w14:paraId="54783F8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非甲烷总烃</w:t>
                  </w:r>
                </w:p>
              </w:tc>
              <w:tc>
                <w:tcPr>
                  <w:tcW w:w="2084" w:type="dxa"/>
                  <w:vMerge w:val="restart"/>
                  <w:noWrap w:val="0"/>
                  <w:vAlign w:val="center"/>
                </w:tcPr>
                <w:p w14:paraId="539FFF3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lang w:val="en-US"/>
                    </w:rPr>
                  </w:pPr>
                  <w:r>
                    <w:rPr>
                      <w:rFonts w:hint="eastAsia" w:ascii="宋体" w:hAnsi="宋体" w:eastAsia="宋体" w:cs="宋体"/>
                      <w:i w:val="0"/>
                      <w:iCs w:val="0"/>
                      <w:color w:val="0000FF"/>
                      <w:kern w:val="0"/>
                      <w:sz w:val="21"/>
                      <w:szCs w:val="21"/>
                      <w:u w:val="none"/>
                      <w:lang w:val="en-US" w:eastAsia="zh-CN" w:bidi="ar"/>
                    </w:rPr>
                    <w:t>竣工验收监测一次，以后非甲烷总烃半年监测一次</w:t>
                  </w:r>
                  <w:r>
                    <w:rPr>
                      <w:rFonts w:hint="eastAsia" w:ascii="宋体" w:hAnsi="宋体" w:cs="宋体"/>
                      <w:i w:val="0"/>
                      <w:iCs w:val="0"/>
                      <w:color w:val="0000FF"/>
                      <w:kern w:val="0"/>
                      <w:sz w:val="21"/>
                      <w:szCs w:val="21"/>
                      <w:u w:val="none"/>
                      <w:lang w:val="en-US" w:eastAsia="zh-CN" w:bidi="ar"/>
                    </w:rPr>
                    <w:t>，三甲苯一年监测一次</w:t>
                  </w:r>
                </w:p>
              </w:tc>
              <w:tc>
                <w:tcPr>
                  <w:tcW w:w="3510" w:type="dxa"/>
                  <w:vMerge w:val="restart"/>
                  <w:noWrap w:val="0"/>
                  <w:vAlign w:val="center"/>
                </w:tcPr>
                <w:p w14:paraId="60FB6EB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《四川省固定污染源大气挥发性有机物排放标准》（</w:t>
                  </w:r>
                  <w:r>
                    <w:rPr>
                      <w:rFonts w:hint="default" w:ascii="Times New Roman" w:hAnsi="Times New Roman" w:eastAsia="宋体" w:cs="Times New Roman"/>
                      <w:i w:val="0"/>
                      <w:iCs w:val="0"/>
                      <w:color w:val="0000FF"/>
                      <w:kern w:val="0"/>
                      <w:sz w:val="21"/>
                      <w:szCs w:val="21"/>
                      <w:u w:val="none"/>
                      <w:lang w:val="en-US" w:eastAsia="zh-CN" w:bidi="ar"/>
                    </w:rPr>
                    <w:t>DB51/2377-2017</w:t>
                  </w:r>
                  <w:r>
                    <w:rPr>
                      <w:rFonts w:hint="eastAsia" w:ascii="宋体" w:hAnsi="宋体" w:eastAsia="宋体" w:cs="宋体"/>
                      <w:i w:val="0"/>
                      <w:iCs w:val="0"/>
                      <w:color w:val="0000FF"/>
                      <w:kern w:val="0"/>
                      <w:sz w:val="21"/>
                      <w:szCs w:val="21"/>
                      <w:u w:val="none"/>
                      <w:lang w:val="en-US" w:eastAsia="zh-CN" w:bidi="ar"/>
                    </w:rPr>
                    <w:t>）</w:t>
                  </w:r>
                </w:p>
              </w:tc>
            </w:tr>
            <w:tr w14:paraId="62521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5" w:type="dxa"/>
                  <w:vMerge w:val="continue"/>
                  <w:noWrap w:val="0"/>
                  <w:vAlign w:val="center"/>
                </w:tcPr>
                <w:p w14:paraId="4FD374D8">
                  <w:pPr>
                    <w:jc w:val="center"/>
                    <w:rPr>
                      <w:rFonts w:hint="default" w:ascii="Times New Roman" w:hAnsi="Times New Roman" w:eastAsia="宋体" w:cs="Times New Roman"/>
                      <w:i w:val="0"/>
                      <w:iCs w:val="0"/>
                      <w:color w:val="0000FF"/>
                      <w:sz w:val="21"/>
                      <w:szCs w:val="21"/>
                      <w:u w:val="none"/>
                    </w:rPr>
                  </w:pPr>
                </w:p>
              </w:tc>
              <w:tc>
                <w:tcPr>
                  <w:tcW w:w="1101" w:type="dxa"/>
                  <w:vMerge w:val="continue"/>
                  <w:noWrap w:val="0"/>
                  <w:vAlign w:val="center"/>
                </w:tcPr>
                <w:p w14:paraId="7FE8569C">
                  <w:pPr>
                    <w:jc w:val="center"/>
                    <w:rPr>
                      <w:rFonts w:hint="default" w:ascii="Times New Roman" w:hAnsi="Times New Roman" w:eastAsia="宋体" w:cs="Times New Roman"/>
                      <w:i w:val="0"/>
                      <w:iCs w:val="0"/>
                      <w:color w:val="0000FF"/>
                      <w:sz w:val="21"/>
                      <w:szCs w:val="21"/>
                      <w:u w:val="none"/>
                    </w:rPr>
                  </w:pPr>
                </w:p>
              </w:tc>
              <w:tc>
                <w:tcPr>
                  <w:tcW w:w="1134" w:type="dxa"/>
                  <w:noWrap w:val="0"/>
                  <w:vAlign w:val="center"/>
                </w:tcPr>
                <w:p w14:paraId="526C94B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三甲苯</w:t>
                  </w:r>
                </w:p>
              </w:tc>
              <w:tc>
                <w:tcPr>
                  <w:tcW w:w="2084" w:type="dxa"/>
                  <w:vMerge w:val="continue"/>
                  <w:noWrap w:val="0"/>
                  <w:vAlign w:val="center"/>
                </w:tcPr>
                <w:p w14:paraId="18D51E31">
                  <w:pPr>
                    <w:jc w:val="center"/>
                    <w:rPr>
                      <w:rFonts w:hint="default" w:ascii="Times New Roman" w:hAnsi="Times New Roman" w:eastAsia="宋体" w:cs="Times New Roman"/>
                      <w:i w:val="0"/>
                      <w:iCs w:val="0"/>
                      <w:color w:val="0000FF"/>
                      <w:sz w:val="21"/>
                      <w:szCs w:val="21"/>
                      <w:u w:val="none"/>
                    </w:rPr>
                  </w:pPr>
                </w:p>
              </w:tc>
              <w:tc>
                <w:tcPr>
                  <w:tcW w:w="3510" w:type="dxa"/>
                  <w:vMerge w:val="continue"/>
                  <w:noWrap w:val="0"/>
                  <w:vAlign w:val="center"/>
                </w:tcPr>
                <w:p w14:paraId="070721BB">
                  <w:pPr>
                    <w:jc w:val="center"/>
                    <w:rPr>
                      <w:rFonts w:hint="default" w:ascii="Times New Roman" w:hAnsi="Times New Roman" w:eastAsia="宋体" w:cs="Times New Roman"/>
                      <w:i w:val="0"/>
                      <w:iCs w:val="0"/>
                      <w:color w:val="0000FF"/>
                      <w:sz w:val="21"/>
                      <w:szCs w:val="21"/>
                      <w:u w:val="none"/>
                    </w:rPr>
                  </w:pPr>
                </w:p>
              </w:tc>
            </w:tr>
            <w:tr w14:paraId="1C1A4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5" w:type="dxa"/>
                  <w:vMerge w:val="continue"/>
                  <w:noWrap w:val="0"/>
                  <w:vAlign w:val="center"/>
                </w:tcPr>
                <w:p w14:paraId="657BAA24">
                  <w:pPr>
                    <w:jc w:val="center"/>
                    <w:rPr>
                      <w:rFonts w:hint="default" w:ascii="Times New Roman" w:hAnsi="Times New Roman" w:eastAsia="宋体" w:cs="Times New Roman"/>
                      <w:i w:val="0"/>
                      <w:iCs w:val="0"/>
                      <w:color w:val="0000FF"/>
                      <w:sz w:val="21"/>
                      <w:szCs w:val="21"/>
                      <w:u w:val="none"/>
                    </w:rPr>
                  </w:pPr>
                </w:p>
              </w:tc>
              <w:tc>
                <w:tcPr>
                  <w:tcW w:w="1101" w:type="dxa"/>
                  <w:noWrap w:val="0"/>
                  <w:vAlign w:val="center"/>
                </w:tcPr>
                <w:p w14:paraId="3009CC1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DA002</w:t>
                  </w:r>
                  <w:r>
                    <w:rPr>
                      <w:rFonts w:hint="eastAsia" w:ascii="宋体" w:hAnsi="宋体" w:eastAsia="宋体" w:cs="宋体"/>
                      <w:i w:val="0"/>
                      <w:iCs w:val="0"/>
                      <w:color w:val="0000FF"/>
                      <w:kern w:val="0"/>
                      <w:sz w:val="21"/>
                      <w:szCs w:val="21"/>
                      <w:u w:val="none"/>
                      <w:lang w:val="en-US" w:eastAsia="zh-CN" w:bidi="ar"/>
                    </w:rPr>
                    <w:t>排气筒出口</w:t>
                  </w:r>
                </w:p>
              </w:tc>
              <w:tc>
                <w:tcPr>
                  <w:tcW w:w="1134" w:type="dxa"/>
                  <w:noWrap w:val="0"/>
                  <w:vAlign w:val="center"/>
                </w:tcPr>
                <w:p w14:paraId="3CB2FA9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非甲烷总烃</w:t>
                  </w:r>
                </w:p>
              </w:tc>
              <w:tc>
                <w:tcPr>
                  <w:tcW w:w="2084" w:type="dxa"/>
                  <w:vMerge w:val="continue"/>
                  <w:noWrap w:val="0"/>
                  <w:vAlign w:val="center"/>
                </w:tcPr>
                <w:p w14:paraId="65F16C16">
                  <w:pPr>
                    <w:jc w:val="center"/>
                    <w:rPr>
                      <w:rFonts w:hint="default" w:ascii="Times New Roman" w:hAnsi="Times New Roman" w:eastAsia="宋体" w:cs="Times New Roman"/>
                      <w:i w:val="0"/>
                      <w:iCs w:val="0"/>
                      <w:color w:val="0000FF"/>
                      <w:sz w:val="21"/>
                      <w:szCs w:val="21"/>
                      <w:u w:val="none"/>
                    </w:rPr>
                  </w:pPr>
                </w:p>
              </w:tc>
              <w:tc>
                <w:tcPr>
                  <w:tcW w:w="3510" w:type="dxa"/>
                  <w:noWrap w:val="0"/>
                  <w:vAlign w:val="center"/>
                </w:tcPr>
                <w:p w14:paraId="1DA6A21C">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《合成树脂工业污染物排放标准》（</w:t>
                  </w:r>
                  <w:r>
                    <w:rPr>
                      <w:rFonts w:hint="default" w:ascii="Times New Roman" w:hAnsi="Times New Roman" w:eastAsia="宋体" w:cs="Times New Roman"/>
                      <w:i w:val="0"/>
                      <w:iCs w:val="0"/>
                      <w:color w:val="0000FF"/>
                      <w:kern w:val="0"/>
                      <w:sz w:val="21"/>
                      <w:szCs w:val="21"/>
                      <w:u w:val="none"/>
                      <w:lang w:val="en-US" w:eastAsia="zh-CN" w:bidi="ar"/>
                    </w:rPr>
                    <w:t>GB 31572</w:t>
                  </w:r>
                  <w:r>
                    <w:rPr>
                      <w:rFonts w:hint="eastAsia" w:ascii="宋体" w:hAnsi="宋体" w:eastAsia="宋体" w:cs="宋体"/>
                      <w:i w:val="0"/>
                      <w:iCs w:val="0"/>
                      <w:color w:val="0000FF"/>
                      <w:kern w:val="0"/>
                      <w:sz w:val="21"/>
                      <w:szCs w:val="21"/>
                      <w:u w:val="none"/>
                      <w:lang w:val="en-US" w:eastAsia="zh-CN" w:bidi="ar"/>
                    </w:rPr>
                    <w:t>－</w:t>
                  </w:r>
                  <w:r>
                    <w:rPr>
                      <w:rFonts w:hint="default" w:ascii="Times New Roman" w:hAnsi="Times New Roman" w:eastAsia="宋体" w:cs="Times New Roman"/>
                      <w:i w:val="0"/>
                      <w:iCs w:val="0"/>
                      <w:color w:val="0000FF"/>
                      <w:kern w:val="0"/>
                      <w:sz w:val="21"/>
                      <w:szCs w:val="21"/>
                      <w:u w:val="none"/>
                      <w:lang w:val="en-US" w:eastAsia="zh-CN" w:bidi="ar"/>
                    </w:rPr>
                    <w:t>2015</w:t>
                  </w:r>
                  <w:r>
                    <w:rPr>
                      <w:rFonts w:hint="eastAsia" w:ascii="宋体" w:hAnsi="宋体" w:eastAsia="宋体" w:cs="宋体"/>
                      <w:i w:val="0"/>
                      <w:iCs w:val="0"/>
                      <w:color w:val="0000FF"/>
                      <w:kern w:val="0"/>
                      <w:sz w:val="21"/>
                      <w:szCs w:val="21"/>
                      <w:u w:val="none"/>
                      <w:lang w:val="en-US" w:eastAsia="zh-CN" w:bidi="ar"/>
                    </w:rPr>
                    <w:t>）及</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修改单</w:t>
                  </w:r>
                  <w:r>
                    <w:rPr>
                      <w:rFonts w:hint="default" w:ascii="Times New Roman" w:hAnsi="Times New Roman" w:eastAsia="宋体" w:cs="Times New Roman"/>
                      <w:i w:val="0"/>
                      <w:iCs w:val="0"/>
                      <w:color w:val="0000FF"/>
                      <w:kern w:val="0"/>
                      <w:sz w:val="21"/>
                      <w:szCs w:val="21"/>
                      <w:u w:val="none"/>
                      <w:lang w:val="en-US" w:eastAsia="zh-CN" w:bidi="ar"/>
                    </w:rPr>
                    <w:t>”</w:t>
                  </w:r>
                </w:p>
              </w:tc>
            </w:tr>
            <w:tr w14:paraId="5679A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5" w:type="dxa"/>
                  <w:vMerge w:val="restart"/>
                  <w:noWrap w:val="0"/>
                  <w:vAlign w:val="center"/>
                </w:tcPr>
                <w:p w14:paraId="39326F3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无组织排放</w:t>
                  </w:r>
                </w:p>
              </w:tc>
              <w:tc>
                <w:tcPr>
                  <w:tcW w:w="1101" w:type="dxa"/>
                  <w:noWrap w:val="0"/>
                  <w:vAlign w:val="center"/>
                </w:tcPr>
                <w:p w14:paraId="3C2C0AC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厂界</w:t>
                  </w:r>
                </w:p>
              </w:tc>
              <w:tc>
                <w:tcPr>
                  <w:tcW w:w="1134" w:type="dxa"/>
                  <w:noWrap w:val="0"/>
                  <w:vAlign w:val="center"/>
                </w:tcPr>
                <w:p w14:paraId="65C3A16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颗粒物</w:t>
                  </w:r>
                </w:p>
              </w:tc>
              <w:tc>
                <w:tcPr>
                  <w:tcW w:w="2084" w:type="dxa"/>
                  <w:noWrap w:val="0"/>
                  <w:vAlign w:val="center"/>
                </w:tcPr>
                <w:p w14:paraId="69A7E03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竣工验收监测一次，以后每年监测一次</w:t>
                  </w:r>
                </w:p>
              </w:tc>
              <w:tc>
                <w:tcPr>
                  <w:tcW w:w="3510" w:type="dxa"/>
                  <w:noWrap w:val="0"/>
                  <w:vAlign w:val="center"/>
                </w:tcPr>
                <w:p w14:paraId="08DD3165">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《合成树脂工业污染物排放标准》（</w:t>
                  </w:r>
                  <w:r>
                    <w:rPr>
                      <w:rFonts w:hint="default" w:ascii="Times New Roman" w:hAnsi="Times New Roman" w:eastAsia="宋体" w:cs="Times New Roman"/>
                      <w:i w:val="0"/>
                      <w:iCs w:val="0"/>
                      <w:color w:val="0000FF"/>
                      <w:kern w:val="0"/>
                      <w:sz w:val="21"/>
                      <w:szCs w:val="21"/>
                      <w:u w:val="none"/>
                      <w:lang w:val="en-US" w:eastAsia="zh-CN" w:bidi="ar"/>
                    </w:rPr>
                    <w:t>GB 31572</w:t>
                  </w:r>
                  <w:r>
                    <w:rPr>
                      <w:rFonts w:hint="eastAsia" w:ascii="宋体" w:hAnsi="宋体" w:eastAsia="宋体" w:cs="宋体"/>
                      <w:i w:val="0"/>
                      <w:iCs w:val="0"/>
                      <w:color w:val="0000FF"/>
                      <w:kern w:val="0"/>
                      <w:sz w:val="21"/>
                      <w:szCs w:val="21"/>
                      <w:u w:val="none"/>
                      <w:lang w:val="en-US" w:eastAsia="zh-CN" w:bidi="ar"/>
                    </w:rPr>
                    <w:t>－</w:t>
                  </w:r>
                  <w:r>
                    <w:rPr>
                      <w:rFonts w:hint="default" w:ascii="Times New Roman" w:hAnsi="Times New Roman" w:eastAsia="宋体" w:cs="Times New Roman"/>
                      <w:i w:val="0"/>
                      <w:iCs w:val="0"/>
                      <w:color w:val="0000FF"/>
                      <w:kern w:val="0"/>
                      <w:sz w:val="21"/>
                      <w:szCs w:val="21"/>
                      <w:u w:val="none"/>
                      <w:lang w:val="en-US" w:eastAsia="zh-CN" w:bidi="ar"/>
                    </w:rPr>
                    <w:t>2015</w:t>
                  </w:r>
                  <w:r>
                    <w:rPr>
                      <w:rFonts w:hint="eastAsia" w:ascii="宋体" w:hAnsi="宋体" w:eastAsia="宋体" w:cs="宋体"/>
                      <w:i w:val="0"/>
                      <w:iCs w:val="0"/>
                      <w:color w:val="0000FF"/>
                      <w:kern w:val="0"/>
                      <w:sz w:val="21"/>
                      <w:szCs w:val="21"/>
                      <w:u w:val="none"/>
                      <w:lang w:val="en-US" w:eastAsia="zh-CN" w:bidi="ar"/>
                    </w:rPr>
                    <w:t>）及</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修改单</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w:t>
                  </w:r>
                </w:p>
              </w:tc>
            </w:tr>
            <w:tr w14:paraId="1954F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5" w:type="dxa"/>
                  <w:vMerge w:val="continue"/>
                  <w:noWrap w:val="0"/>
                  <w:vAlign w:val="center"/>
                </w:tcPr>
                <w:p w14:paraId="7B96929E">
                  <w:pPr>
                    <w:jc w:val="center"/>
                    <w:rPr>
                      <w:rFonts w:hint="default" w:ascii="Times New Roman" w:hAnsi="Times New Roman" w:eastAsia="宋体" w:cs="Times New Roman"/>
                      <w:i w:val="0"/>
                      <w:iCs w:val="0"/>
                      <w:color w:val="0000FF"/>
                      <w:sz w:val="21"/>
                      <w:szCs w:val="21"/>
                      <w:u w:val="none"/>
                    </w:rPr>
                  </w:pPr>
                </w:p>
              </w:tc>
              <w:tc>
                <w:tcPr>
                  <w:tcW w:w="1101" w:type="dxa"/>
                  <w:noWrap w:val="0"/>
                  <w:vAlign w:val="center"/>
                </w:tcPr>
                <w:p w14:paraId="16F70B63">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厂区内、厂房外</w:t>
                  </w:r>
                </w:p>
              </w:tc>
              <w:tc>
                <w:tcPr>
                  <w:tcW w:w="1134" w:type="dxa"/>
                  <w:noWrap w:val="0"/>
                  <w:vAlign w:val="center"/>
                </w:tcPr>
                <w:p w14:paraId="77087B05">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非甲烷总烃</w:t>
                  </w:r>
                </w:p>
              </w:tc>
              <w:tc>
                <w:tcPr>
                  <w:tcW w:w="2084" w:type="dxa"/>
                  <w:noWrap w:val="0"/>
                  <w:vAlign w:val="center"/>
                </w:tcPr>
                <w:p w14:paraId="4BBB077F">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竣工验收监测一次，以后每年监测一次</w:t>
                  </w:r>
                </w:p>
              </w:tc>
              <w:tc>
                <w:tcPr>
                  <w:tcW w:w="3510" w:type="dxa"/>
                  <w:noWrap w:val="0"/>
                  <w:vAlign w:val="center"/>
                </w:tcPr>
                <w:p w14:paraId="0364EA3D">
                  <w:pPr>
                    <w:keepNext w:val="0"/>
                    <w:keepLines w:val="0"/>
                    <w:widowControl/>
                    <w:suppressLineNumbers w:val="0"/>
                    <w:jc w:val="both"/>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《四川省固定污染源大气挥发性有机物排放标准（</w:t>
                  </w:r>
                  <w:r>
                    <w:rPr>
                      <w:rFonts w:hint="default" w:ascii="Times New Roman" w:hAnsi="Times New Roman" w:eastAsia="宋体" w:cs="Times New Roman"/>
                      <w:i w:val="0"/>
                      <w:iCs w:val="0"/>
                      <w:color w:val="0000FF"/>
                      <w:kern w:val="0"/>
                      <w:sz w:val="21"/>
                      <w:szCs w:val="21"/>
                      <w:u w:val="none"/>
                      <w:lang w:val="en-US" w:eastAsia="zh-CN" w:bidi="ar"/>
                    </w:rPr>
                    <w:t>DB51/2377-2017</w:t>
                  </w:r>
                  <w:r>
                    <w:rPr>
                      <w:rFonts w:hint="eastAsia" w:ascii="宋体" w:hAnsi="宋体" w:eastAsia="宋体" w:cs="宋体"/>
                      <w:i w:val="0"/>
                      <w:iCs w:val="0"/>
                      <w:color w:val="0000FF"/>
                      <w:kern w:val="0"/>
                      <w:sz w:val="21"/>
                      <w:szCs w:val="21"/>
                      <w:u w:val="none"/>
                      <w:lang w:val="en-US" w:eastAsia="zh-CN" w:bidi="ar"/>
                    </w:rPr>
                    <w:t>）</w:t>
                  </w:r>
                </w:p>
              </w:tc>
            </w:tr>
          </w:tbl>
          <w:p w14:paraId="260795AB">
            <w:pPr>
              <w:pStyle w:val="49"/>
              <w:keepNext w:val="0"/>
              <w:keepLines w:val="0"/>
              <w:pageBreakBefore w:val="0"/>
              <w:widowControl w:val="0"/>
              <w:kinsoku/>
              <w:wordWrap/>
              <w:overflowPunct/>
              <w:topLinePunct w:val="0"/>
              <w:bidi w:val="0"/>
              <w:adjustRightInd/>
              <w:ind w:firstLine="0" w:firstLineChars="0"/>
              <w:rPr>
                <w:rFonts w:hint="default" w:ascii="Times New Roman" w:hAnsi="Times New Roman" w:cs="Times New Roman"/>
                <w:b/>
                <w:color w:val="auto"/>
              </w:rPr>
            </w:pPr>
            <w:r>
              <w:rPr>
                <w:rFonts w:hint="default" w:ascii="Times New Roman" w:hAnsi="Times New Roman" w:cs="Times New Roman"/>
                <w:b/>
                <w:color w:val="auto"/>
              </w:rPr>
              <w:t>4.2.2 废水</w:t>
            </w:r>
          </w:p>
          <w:p w14:paraId="7AE0E761">
            <w:pPr>
              <w:pStyle w:val="49"/>
              <w:keepNext w:val="0"/>
              <w:keepLines w:val="0"/>
              <w:pageBreakBefore w:val="0"/>
              <w:widowControl w:val="0"/>
              <w:kinsoku/>
              <w:wordWrap/>
              <w:overflowPunct/>
              <w:topLinePunct w:val="0"/>
              <w:bidi w:val="0"/>
              <w:adjustRightInd/>
              <w:ind w:firstLine="0" w:firstLineChars="0"/>
              <w:rPr>
                <w:rFonts w:hint="default" w:ascii="Times New Roman" w:hAnsi="Times New Roman" w:cs="Times New Roman"/>
                <w:b/>
                <w:color w:val="auto"/>
              </w:rPr>
            </w:pPr>
            <w:r>
              <w:rPr>
                <w:rFonts w:hint="default" w:ascii="Times New Roman" w:hAnsi="Times New Roman" w:cs="Times New Roman"/>
                <w:b/>
                <w:color w:val="auto"/>
              </w:rPr>
              <w:t>4.2.</w:t>
            </w:r>
            <w:r>
              <w:rPr>
                <w:rFonts w:hint="eastAsia" w:ascii="Times New Roman" w:hAnsi="Times New Roman" w:cs="Times New Roman"/>
                <w:b/>
                <w:color w:val="auto"/>
                <w:lang w:val="en-US" w:eastAsia="zh-CN"/>
              </w:rPr>
              <w:t>2</w:t>
            </w:r>
            <w:r>
              <w:rPr>
                <w:rFonts w:hint="default" w:ascii="Times New Roman" w:hAnsi="Times New Roman" w:cs="Times New Roman"/>
                <w:b/>
                <w:color w:val="auto"/>
              </w:rPr>
              <w:t>.</w:t>
            </w:r>
            <w:r>
              <w:rPr>
                <w:rFonts w:hint="eastAsia" w:ascii="Times New Roman" w:hAnsi="Times New Roman" w:cs="Times New Roman"/>
                <w:b/>
                <w:color w:val="auto"/>
                <w:lang w:val="en-US" w:eastAsia="zh-CN"/>
              </w:rPr>
              <w:t>1</w:t>
            </w:r>
            <w:r>
              <w:rPr>
                <w:rFonts w:hint="default" w:ascii="Times New Roman" w:hAnsi="Times New Roman" w:cs="Times New Roman"/>
                <w:b/>
                <w:color w:val="auto"/>
              </w:rPr>
              <w:t>营运期废水产排情况及治理措施</w:t>
            </w:r>
          </w:p>
          <w:p w14:paraId="2CDB851D">
            <w:pPr>
              <w:keepNext w:val="0"/>
              <w:keepLines w:val="0"/>
              <w:pageBreakBefore w:val="0"/>
              <w:widowControl w:val="0"/>
              <w:kinsoku/>
              <w:wordWrap/>
              <w:overflowPunct/>
              <w:topLinePunct w:val="0"/>
              <w:bidi w:val="0"/>
              <w:adjustRightInd/>
              <w:spacing w:line="360" w:lineRule="auto"/>
              <w:ind w:firstLine="482" w:firstLineChars="200"/>
              <w:jc w:val="left"/>
              <w:rPr>
                <w:rFonts w:hint="default" w:ascii="Times New Roman" w:hAnsi="Times New Roman" w:cs="Times New Roman"/>
                <w:b/>
                <w:bCs/>
                <w:color w:val="auto"/>
                <w:sz w:val="24"/>
              </w:rPr>
            </w:pPr>
            <w:r>
              <w:rPr>
                <w:rFonts w:hint="default" w:ascii="Times New Roman" w:hAnsi="Times New Roman" w:cs="Times New Roman"/>
                <w:b/>
                <w:bCs/>
                <w:color w:val="auto"/>
                <w:sz w:val="24"/>
              </w:rPr>
              <w:t>一、水污染物源强核算</w:t>
            </w:r>
          </w:p>
          <w:p w14:paraId="3571C3AB">
            <w:pPr>
              <w:keepNext w:val="0"/>
              <w:keepLines w:val="0"/>
              <w:pageBreakBefore w:val="0"/>
              <w:widowControl w:val="0"/>
              <w:kinsoku/>
              <w:wordWrap/>
              <w:overflowPunct/>
              <w:topLinePunct w:val="0"/>
              <w:bidi w:val="0"/>
              <w:adjustRightInd/>
              <w:spacing w:line="360" w:lineRule="auto"/>
              <w:ind w:firstLine="480" w:firstLineChars="200"/>
              <w:jc w:val="left"/>
              <w:rPr>
                <w:rFonts w:hint="default" w:ascii="Times New Roman" w:hAnsi="Times New Roman" w:cs="Times New Roman"/>
                <w:bCs/>
                <w:color w:val="auto"/>
                <w:sz w:val="24"/>
              </w:rPr>
            </w:pPr>
            <w:r>
              <w:rPr>
                <w:rFonts w:hint="default" w:ascii="Times New Roman" w:hAnsi="Times New Roman" w:cs="Times New Roman"/>
                <w:bCs/>
                <w:color w:val="auto"/>
                <w:sz w:val="24"/>
              </w:rPr>
              <w:t>本项目</w:t>
            </w:r>
            <w:r>
              <w:rPr>
                <w:rFonts w:hint="default" w:ascii="Times New Roman" w:hAnsi="Times New Roman" w:cs="Times New Roman"/>
                <w:bCs/>
                <w:color w:val="auto"/>
                <w:sz w:val="24"/>
                <w:lang w:val="en-US" w:eastAsia="zh-CN"/>
              </w:rPr>
              <w:t>废水主要为</w:t>
            </w:r>
            <w:r>
              <w:rPr>
                <w:rFonts w:hint="default" w:ascii="Times New Roman" w:hAnsi="Times New Roman" w:cs="Times New Roman"/>
                <w:bCs/>
                <w:color w:val="auto"/>
                <w:sz w:val="24"/>
              </w:rPr>
              <w:t>冷却</w:t>
            </w:r>
            <w:r>
              <w:rPr>
                <w:rFonts w:hint="default" w:ascii="Times New Roman" w:hAnsi="Times New Roman" w:cs="Times New Roman"/>
                <w:bCs/>
                <w:color w:val="auto"/>
                <w:sz w:val="24"/>
                <w:lang w:val="en-US" w:eastAsia="zh-CN"/>
              </w:rPr>
              <w:t>塔排水</w:t>
            </w:r>
            <w:r>
              <w:rPr>
                <w:rFonts w:hint="default" w:ascii="Times New Roman" w:hAnsi="Times New Roman" w:cs="Times New Roman"/>
                <w:bCs/>
                <w:color w:val="auto"/>
                <w:sz w:val="24"/>
              </w:rPr>
              <w:t>、生活污水和盐雾试验废水。</w:t>
            </w:r>
          </w:p>
          <w:p w14:paraId="33E83F9E">
            <w:pPr>
              <w:keepNext w:val="0"/>
              <w:keepLines w:val="0"/>
              <w:pageBreakBefore w:val="0"/>
              <w:widowControl w:val="0"/>
              <w:kinsoku/>
              <w:wordWrap/>
              <w:overflowPunct/>
              <w:topLinePunct w:val="0"/>
              <w:bidi w:val="0"/>
              <w:adjustRightInd/>
              <w:spacing w:line="360" w:lineRule="auto"/>
              <w:ind w:firstLine="482" w:firstLineChars="200"/>
              <w:jc w:val="left"/>
              <w:rPr>
                <w:rFonts w:hint="default" w:ascii="Times New Roman" w:hAnsi="Times New Roman" w:cs="Times New Roman"/>
                <w:color w:val="auto"/>
                <w:sz w:val="24"/>
              </w:rPr>
            </w:pPr>
            <w:r>
              <w:rPr>
                <w:rFonts w:hint="default" w:ascii="Times New Roman" w:hAnsi="Times New Roman" w:cs="Times New Roman"/>
                <w:b/>
                <w:color w:val="auto"/>
                <w:sz w:val="24"/>
              </w:rPr>
              <w:t>（1）</w:t>
            </w:r>
            <w:r>
              <w:rPr>
                <w:rFonts w:hint="default" w:ascii="Times New Roman" w:hAnsi="Times New Roman" w:cs="Times New Roman"/>
                <w:b/>
                <w:color w:val="auto"/>
                <w:sz w:val="24"/>
                <w:lang w:val="en-US" w:eastAsia="zh-CN"/>
              </w:rPr>
              <w:t>工人</w:t>
            </w:r>
            <w:r>
              <w:rPr>
                <w:rFonts w:hint="default" w:ascii="Times New Roman" w:hAnsi="Times New Roman" w:cs="Times New Roman"/>
                <w:b/>
                <w:color w:val="auto"/>
                <w:sz w:val="24"/>
              </w:rPr>
              <w:t>生活</w:t>
            </w:r>
            <w:r>
              <w:rPr>
                <w:rFonts w:hint="default" w:ascii="Times New Roman" w:hAnsi="Times New Roman" w:cs="Times New Roman"/>
                <w:b/>
                <w:color w:val="auto"/>
                <w:sz w:val="24"/>
                <w:lang w:val="en-US" w:eastAsia="zh-CN"/>
              </w:rPr>
              <w:t>用水</w:t>
            </w:r>
            <w:r>
              <w:rPr>
                <w:rFonts w:hint="default" w:ascii="Times New Roman" w:hAnsi="Times New Roman" w:cs="Times New Roman"/>
                <w:bCs/>
                <w:color w:val="auto"/>
                <w:sz w:val="24"/>
              </w:rPr>
              <w:t>：本项目生活污水产生量</w:t>
            </w:r>
            <w:r>
              <w:rPr>
                <w:rFonts w:hint="eastAsia" w:cs="Times New Roman"/>
                <w:bCs/>
                <w:color w:val="auto"/>
                <w:sz w:val="24"/>
                <w:lang w:val="en-US" w:eastAsia="zh-CN"/>
              </w:rPr>
              <w:t>16</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eastAsia" w:cs="Times New Roman"/>
                <w:color w:val="auto"/>
                <w:sz w:val="24"/>
                <w:lang w:val="en-US" w:eastAsia="zh-CN"/>
              </w:rPr>
              <w:t>4800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/a）</w:t>
            </w:r>
            <w:r>
              <w:rPr>
                <w:rFonts w:hint="default" w:ascii="Times New Roman" w:hAnsi="Times New Roman" w:cs="Times New Roman"/>
                <w:bCs/>
                <w:color w:val="auto"/>
                <w:sz w:val="24"/>
              </w:rPr>
              <w:t>。生活污水污染物主要为COD、BOD</w:t>
            </w:r>
            <w:r>
              <w:rPr>
                <w:rFonts w:hint="default" w:ascii="Times New Roman" w:hAnsi="Times New Roman" w:cs="Times New Roman"/>
                <w:bCs/>
                <w:color w:val="auto"/>
                <w:sz w:val="24"/>
                <w:vertAlign w:val="subscript"/>
              </w:rPr>
              <w:t>5</w:t>
            </w:r>
            <w:r>
              <w:rPr>
                <w:rFonts w:hint="default" w:ascii="Times New Roman" w:hAnsi="Times New Roman" w:cs="Times New Roman"/>
                <w:bCs/>
                <w:color w:val="auto"/>
                <w:sz w:val="24"/>
              </w:rPr>
              <w:t>、SS、NH</w:t>
            </w:r>
            <w:r>
              <w:rPr>
                <w:rFonts w:hint="default" w:ascii="Times New Roman" w:hAnsi="Times New Roman" w:cs="Times New Roman"/>
                <w:bCs/>
                <w:color w:val="auto"/>
                <w:sz w:val="24"/>
                <w:vertAlign w:val="subscript"/>
              </w:rPr>
              <w:t>3</w:t>
            </w:r>
            <w:r>
              <w:rPr>
                <w:rFonts w:hint="default" w:ascii="Times New Roman" w:hAnsi="Times New Roman" w:cs="Times New Roman"/>
                <w:bCs/>
                <w:color w:val="auto"/>
                <w:sz w:val="24"/>
              </w:rPr>
              <w:t>-N。参考《第二次全国污染源普查 生活污染源产排污系数手册（试用版）》，污染物产污系数为COD：252~</w:t>
            </w:r>
            <w:r>
              <w:rPr>
                <w:rFonts w:hint="default" w:ascii="Times New Roman" w:hAnsi="Times New Roman" w:cs="Times New Roman"/>
                <w:color w:val="auto"/>
                <w:sz w:val="24"/>
              </w:rPr>
              <w:t>504mg/L、BOD</w:t>
            </w:r>
            <w:r>
              <w:rPr>
                <w:rFonts w:hint="default" w:ascii="Times New Roman" w:hAnsi="Times New Roman" w:cs="Times New Roman"/>
                <w:color w:val="auto"/>
                <w:sz w:val="24"/>
                <w:vertAlign w:val="subscript"/>
              </w:rPr>
              <w:t>5</w:t>
            </w:r>
            <w:r>
              <w:rPr>
                <w:rFonts w:hint="default" w:ascii="Times New Roman" w:hAnsi="Times New Roman" w:cs="Times New Roman"/>
                <w:color w:val="auto"/>
                <w:sz w:val="24"/>
              </w:rPr>
              <w:t>:110~220mg/L、NH</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-N：25.3~50.7mg/L。本次评价取值，COD：500mg/L、BOD</w:t>
            </w:r>
            <w:r>
              <w:rPr>
                <w:rFonts w:hint="default" w:ascii="Times New Roman" w:hAnsi="Times New Roman" w:cs="Times New Roman"/>
                <w:color w:val="auto"/>
                <w:sz w:val="24"/>
                <w:vertAlign w:val="subscript"/>
              </w:rPr>
              <w:t>5</w:t>
            </w:r>
            <w:r>
              <w:rPr>
                <w:rFonts w:hint="default" w:ascii="Times New Roman" w:hAnsi="Times New Roman" w:cs="Times New Roman"/>
                <w:color w:val="auto"/>
                <w:sz w:val="24"/>
              </w:rPr>
              <w:t>：220mg/L、NH</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-N：50mg/L；类比同类型企业，SS取值350mg/L。</w:t>
            </w:r>
          </w:p>
          <w:p w14:paraId="6D64C9EE">
            <w:pPr>
              <w:pStyle w:val="14"/>
              <w:widowControl w:val="0"/>
              <w:snapToGrid/>
              <w:spacing w:before="0" w:after="0" w:line="360" w:lineRule="auto"/>
              <w:ind w:right="0" w:firstLine="482" w:firstLineChars="200"/>
              <w:rPr>
                <w:rFonts w:hint="eastAsia" w:ascii="Times New Roman" w:hAnsi="Times New Roman" w:cs="Times New Roman"/>
                <w:color w:val="auto"/>
                <w:sz w:val="24"/>
                <w:szCs w:val="24"/>
                <w:highlight w:val="none"/>
                <w:lang w:val="en-US" w:eastAsia="zh-CN"/>
              </w:rPr>
            </w:pPr>
            <w:r>
              <w:rPr>
                <w:rFonts w:hint="default" w:ascii="Times New Roman" w:hAnsi="Times New Roman" w:cs="Times New Roman"/>
                <w:b/>
                <w:bCs/>
                <w:color w:val="0000FF"/>
                <w:sz w:val="24"/>
                <w:szCs w:val="24"/>
                <w:lang w:eastAsia="zh-CN"/>
              </w:rPr>
              <w:t>（</w:t>
            </w:r>
            <w:r>
              <w:rPr>
                <w:rFonts w:hint="eastAsia" w:cs="Times New Roman"/>
                <w:b/>
                <w:bCs/>
                <w:color w:val="0000FF"/>
                <w:sz w:val="24"/>
                <w:szCs w:val="24"/>
                <w:lang w:val="en-US" w:eastAsia="zh-CN"/>
              </w:rPr>
              <w:t>2</w:t>
            </w:r>
            <w:r>
              <w:rPr>
                <w:rFonts w:hint="default" w:ascii="Times New Roman" w:hAnsi="Times New Roman" w:cs="Times New Roman"/>
                <w:b/>
                <w:bCs/>
                <w:color w:val="0000FF"/>
                <w:sz w:val="24"/>
                <w:szCs w:val="24"/>
                <w:lang w:eastAsia="zh-CN"/>
              </w:rPr>
              <w:t>）</w:t>
            </w:r>
            <w:r>
              <w:rPr>
                <w:rFonts w:hint="default" w:ascii="Times New Roman" w:hAnsi="Times New Roman" w:cs="Times New Roman"/>
                <w:b/>
                <w:bCs/>
                <w:color w:val="0000FF"/>
                <w:sz w:val="24"/>
                <w:szCs w:val="24"/>
                <w:highlight w:val="none"/>
                <w:lang w:val="en-US" w:eastAsia="zh-CN"/>
              </w:rPr>
              <w:t>盐雾试验废水：</w:t>
            </w:r>
            <w:r>
              <w:rPr>
                <w:rFonts w:hint="default" w:ascii="Times New Roman" w:hAnsi="Times New Roman" w:eastAsia="宋体" w:cs="Times New Roman"/>
                <w:bCs/>
                <w:color w:val="0000FF"/>
                <w:kern w:val="2"/>
                <w:sz w:val="24"/>
                <w:szCs w:val="24"/>
                <w:highlight w:val="none"/>
                <w:lang w:val="en-US" w:eastAsia="zh-CN" w:bidi="ar-SA"/>
              </w:rPr>
              <w:t>盐雾试验废水排放量约0.00</w:t>
            </w:r>
            <w:r>
              <w:rPr>
                <w:rFonts w:hint="eastAsia" w:cs="Times New Roman"/>
                <w:bCs/>
                <w:color w:val="0000FF"/>
                <w:kern w:val="2"/>
                <w:sz w:val="24"/>
                <w:szCs w:val="24"/>
                <w:highlight w:val="none"/>
                <w:lang w:val="en-US" w:eastAsia="zh-CN" w:bidi="ar-SA"/>
              </w:rPr>
              <w:t>05</w:t>
            </w:r>
            <w:r>
              <w:rPr>
                <w:rFonts w:hint="default" w:ascii="Times New Roman" w:hAnsi="Times New Roman" w:eastAsia="宋体" w:cs="Times New Roman"/>
                <w:bCs/>
                <w:color w:val="0000FF"/>
                <w:kern w:val="2"/>
                <w:sz w:val="24"/>
                <w:szCs w:val="24"/>
                <w:highlight w:val="none"/>
                <w:lang w:val="en-US" w:eastAsia="zh-CN" w:bidi="ar-SA"/>
              </w:rPr>
              <w:t>m</w:t>
            </w:r>
            <w:r>
              <w:rPr>
                <w:rFonts w:hint="default" w:ascii="Times New Roman" w:hAnsi="Times New Roman" w:eastAsia="宋体" w:cs="Times New Roman"/>
                <w:bCs/>
                <w:color w:val="0000FF"/>
                <w:kern w:val="2"/>
                <w:sz w:val="24"/>
                <w:szCs w:val="24"/>
                <w:highlight w:val="none"/>
                <w:vertAlign w:val="superscript"/>
                <w:lang w:val="en-US" w:eastAsia="zh-CN" w:bidi="ar-SA"/>
              </w:rPr>
              <w:t>3</w:t>
            </w:r>
            <w:r>
              <w:rPr>
                <w:rFonts w:hint="default" w:ascii="Times New Roman" w:hAnsi="Times New Roman" w:eastAsia="宋体" w:cs="Times New Roman"/>
                <w:bCs/>
                <w:color w:val="0000FF"/>
                <w:kern w:val="2"/>
                <w:sz w:val="24"/>
                <w:szCs w:val="24"/>
                <w:highlight w:val="none"/>
                <w:lang w:val="en-US" w:eastAsia="zh-CN" w:bidi="ar-SA"/>
              </w:rPr>
              <w:t>/次</w:t>
            </w:r>
            <w:r>
              <w:rPr>
                <w:rFonts w:hint="default" w:ascii="Times New Roman" w:hAnsi="Times New Roman" w:cs="Times New Roman"/>
                <w:bCs/>
                <w:color w:val="0000FF"/>
                <w:kern w:val="2"/>
                <w:sz w:val="24"/>
                <w:szCs w:val="24"/>
                <w:highlight w:val="none"/>
                <w:lang w:val="en-US" w:eastAsia="zh-CN" w:bidi="ar-SA"/>
              </w:rPr>
              <w:t>（</w:t>
            </w:r>
            <w:r>
              <w:rPr>
                <w:rFonts w:hint="default" w:ascii="Times New Roman" w:hAnsi="Times New Roman" w:eastAsia="宋体" w:cs="Times New Roman"/>
                <w:bCs/>
                <w:color w:val="0000FF"/>
                <w:kern w:val="2"/>
                <w:sz w:val="24"/>
                <w:szCs w:val="24"/>
                <w:highlight w:val="none"/>
                <w:lang w:val="en-US" w:eastAsia="zh-CN" w:bidi="ar-SA"/>
              </w:rPr>
              <w:t>0.0</w:t>
            </w:r>
            <w:r>
              <w:rPr>
                <w:rFonts w:hint="eastAsia" w:cs="Times New Roman"/>
                <w:bCs/>
                <w:color w:val="0000FF"/>
                <w:kern w:val="2"/>
                <w:sz w:val="24"/>
                <w:szCs w:val="24"/>
                <w:highlight w:val="none"/>
                <w:lang w:val="en-US" w:eastAsia="zh-CN" w:bidi="ar-SA"/>
              </w:rPr>
              <w:t>05</w:t>
            </w:r>
            <w:r>
              <w:rPr>
                <w:rFonts w:hint="default" w:ascii="Times New Roman" w:hAnsi="Times New Roman" w:cs="Times New Roman"/>
                <w:color w:val="0000FF"/>
                <w:sz w:val="24"/>
                <w:szCs w:val="24"/>
                <w:highlight w:val="none"/>
              </w:rPr>
              <w:t>m</w:t>
            </w:r>
            <w:r>
              <w:rPr>
                <w:rFonts w:hint="default" w:ascii="Times New Roman" w:hAnsi="Times New Roman" w:cs="Times New Roman"/>
                <w:color w:val="0000FF"/>
                <w:sz w:val="24"/>
                <w:szCs w:val="24"/>
                <w:highlight w:val="none"/>
                <w:vertAlign w:val="superscript"/>
              </w:rPr>
              <w:t>3</w:t>
            </w:r>
            <w:r>
              <w:rPr>
                <w:rFonts w:hint="default" w:ascii="Times New Roman" w:hAnsi="Times New Roman" w:cs="Times New Roman"/>
                <w:bCs/>
                <w:color w:val="0000FF"/>
                <w:sz w:val="24"/>
                <w:szCs w:val="24"/>
                <w:highlight w:val="none"/>
              </w:rPr>
              <w:t>/a</w:t>
            </w:r>
            <w:r>
              <w:rPr>
                <w:rFonts w:hint="default" w:ascii="Times New Roman" w:hAnsi="Times New Roman" w:cs="Times New Roman"/>
                <w:bCs/>
                <w:color w:val="0000FF"/>
                <w:kern w:val="2"/>
                <w:sz w:val="24"/>
                <w:szCs w:val="24"/>
                <w:highlight w:val="none"/>
                <w:lang w:val="en-US" w:eastAsia="zh-CN" w:bidi="ar-SA"/>
              </w:rPr>
              <w:t>）</w:t>
            </w:r>
            <w:r>
              <w:rPr>
                <w:rFonts w:hint="default" w:ascii="Times New Roman" w:hAnsi="Times New Roman" w:eastAsia="宋体" w:cs="Times New Roman"/>
                <w:bCs/>
                <w:color w:val="0000FF"/>
                <w:kern w:val="2"/>
                <w:sz w:val="24"/>
                <w:szCs w:val="24"/>
                <w:highlight w:val="none"/>
                <w:lang w:val="en-US" w:eastAsia="zh-CN" w:bidi="ar-SA"/>
              </w:rPr>
              <w:t>。</w:t>
            </w:r>
            <w:r>
              <w:rPr>
                <w:rFonts w:hint="default" w:ascii="Times New Roman" w:hAnsi="Times New Roman" w:eastAsia="宋体" w:cs="Times New Roman"/>
                <w:bCs/>
                <w:color w:val="auto"/>
                <w:kern w:val="2"/>
                <w:sz w:val="24"/>
                <w:szCs w:val="24"/>
                <w:highlight w:val="none"/>
                <w:lang w:val="en-US" w:eastAsia="zh-CN" w:bidi="ar-SA"/>
              </w:rPr>
              <w:t>盐雾试验废水成分为氯化钠，水质简单，配制浓度低</w:t>
            </w:r>
            <w:r>
              <w:rPr>
                <w:rFonts w:hint="default" w:ascii="Times New Roman" w:hAnsi="Times New Roman" w:cs="Times New Roman"/>
                <w:bCs/>
                <w:color w:val="auto"/>
                <w:kern w:val="2"/>
                <w:sz w:val="24"/>
                <w:szCs w:val="24"/>
                <w:highlight w:val="none"/>
                <w:lang w:val="en-US" w:eastAsia="zh-CN" w:bidi="ar-SA"/>
              </w:rPr>
              <w:t>。氯离子浓度约32167</w:t>
            </w:r>
            <w:r>
              <w:rPr>
                <w:rFonts w:hint="default" w:ascii="Times New Roman" w:hAnsi="Times New Roman" w:eastAsia="宋体" w:cs="Times New Roman"/>
                <w:color w:val="auto"/>
                <w:sz w:val="24"/>
                <w:szCs w:val="24"/>
                <w:highlight w:val="none"/>
                <w:lang w:val="en-US" w:eastAsia="zh-CN"/>
              </w:rPr>
              <w:t>mg/L</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主要污染物浓度为：COD：</w:t>
            </w:r>
            <w:r>
              <w:rPr>
                <w:rFonts w:hint="default" w:ascii="Times New Roman" w:hAnsi="Times New Roman" w:cs="Times New Roman"/>
                <w:color w:val="auto"/>
                <w:sz w:val="24"/>
                <w:szCs w:val="24"/>
                <w:highlight w:val="none"/>
                <w:lang w:val="en-US" w:eastAsia="zh-CN"/>
              </w:rPr>
              <w:t>150</w:t>
            </w:r>
            <w:r>
              <w:rPr>
                <w:rFonts w:hint="default" w:ascii="Times New Roman" w:hAnsi="Times New Roman" w:cs="Times New Roman"/>
                <w:color w:val="auto"/>
                <w:sz w:val="24"/>
                <w:szCs w:val="24"/>
                <w:highlight w:val="none"/>
              </w:rPr>
              <w:t>mg/L、SS：</w:t>
            </w:r>
            <w:r>
              <w:rPr>
                <w:rFonts w:hint="default" w:ascii="Times New Roman" w:hAnsi="Times New Roman" w:cs="Times New Roman"/>
                <w:color w:val="auto"/>
                <w:sz w:val="24"/>
                <w:szCs w:val="24"/>
                <w:highlight w:val="none"/>
                <w:lang w:val="en-US" w:eastAsia="zh-CN"/>
              </w:rPr>
              <w:t>200</w:t>
            </w:r>
            <w:r>
              <w:rPr>
                <w:rFonts w:hint="default" w:ascii="Times New Roman" w:hAnsi="Times New Roman" w:cs="Times New Roman"/>
                <w:color w:val="auto"/>
                <w:sz w:val="24"/>
                <w:szCs w:val="24"/>
                <w:highlight w:val="none"/>
              </w:rPr>
              <w:t>mg/L</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氯化物：</w:t>
            </w:r>
            <w:r>
              <w:rPr>
                <w:rFonts w:hint="default" w:ascii="Times New Roman" w:hAnsi="Times New Roman" w:cs="Times New Roman"/>
                <w:color w:val="auto"/>
                <w:sz w:val="24"/>
                <w:szCs w:val="24"/>
                <w:highlight w:val="none"/>
                <w:lang w:val="en-US" w:eastAsia="zh-CN"/>
              </w:rPr>
              <w:t>32166</w:t>
            </w:r>
            <w:r>
              <w:rPr>
                <w:rFonts w:hint="default" w:ascii="Times New Roman" w:hAnsi="Times New Roman" w:eastAsia="宋体" w:cs="Times New Roman"/>
                <w:color w:val="auto"/>
                <w:sz w:val="24"/>
                <w:szCs w:val="24"/>
                <w:highlight w:val="none"/>
                <w:lang w:val="en-US" w:eastAsia="zh-CN"/>
              </w:rPr>
              <w:t>mg/L</w:t>
            </w:r>
            <w:r>
              <w:rPr>
                <w:rFonts w:hint="default" w:ascii="Times New Roman" w:hAnsi="Times New Roman" w:cs="Times New Roman"/>
                <w:color w:val="auto"/>
                <w:sz w:val="24"/>
                <w:szCs w:val="24"/>
                <w:highlight w:val="none"/>
              </w:rPr>
              <w:t>。</w:t>
            </w:r>
            <w:r>
              <w:rPr>
                <w:rFonts w:hint="default" w:ascii="Times New Roman" w:hAnsi="Times New Roman" w:eastAsia="宋体" w:cs="Times New Roman"/>
                <w:bCs/>
                <w:color w:val="auto"/>
                <w:kern w:val="2"/>
                <w:sz w:val="24"/>
                <w:szCs w:val="24"/>
                <w:highlight w:val="none"/>
                <w:lang w:val="en-US" w:eastAsia="zh-CN" w:bidi="ar-SA"/>
              </w:rPr>
              <w:t>盐雾试验废水成分为氯化钠</w:t>
            </w:r>
            <w:r>
              <w:rPr>
                <w:rFonts w:hint="eastAsia" w:ascii="Times New Roman" w:hAnsi="Times New Roman" w:eastAsia="宋体" w:cs="Times New Roman"/>
                <w:bCs/>
                <w:color w:val="auto"/>
                <w:kern w:val="2"/>
                <w:sz w:val="24"/>
                <w:szCs w:val="24"/>
                <w:highlight w:val="none"/>
                <w:lang w:val="en-US" w:eastAsia="zh-CN" w:bidi="ar-SA"/>
              </w:rPr>
              <w:t>，</w:t>
            </w:r>
            <w:r>
              <w:rPr>
                <w:rFonts w:hint="default" w:ascii="Times New Roman" w:hAnsi="Times New Roman" w:eastAsia="宋体" w:cs="Times New Roman"/>
                <w:bCs/>
                <w:color w:val="auto"/>
                <w:kern w:val="2"/>
                <w:sz w:val="24"/>
                <w:szCs w:val="24"/>
                <w:highlight w:val="none"/>
                <w:lang w:val="en-US" w:eastAsia="zh-CN" w:bidi="ar-SA"/>
              </w:rPr>
              <w:t>水质简单</w:t>
            </w:r>
            <w:r>
              <w:rPr>
                <w:rFonts w:hint="eastAsia" w:ascii="Times New Roman" w:hAnsi="Times New Roman" w:eastAsia="宋体" w:cs="Times New Roman"/>
                <w:bCs/>
                <w:color w:val="auto"/>
                <w:kern w:val="2"/>
                <w:sz w:val="24"/>
                <w:szCs w:val="24"/>
                <w:highlight w:val="none"/>
                <w:lang w:val="en-US" w:eastAsia="zh-CN" w:bidi="ar-SA"/>
              </w:rPr>
              <w:t>，</w:t>
            </w:r>
            <w:r>
              <w:rPr>
                <w:rFonts w:hint="default" w:ascii="Times New Roman" w:hAnsi="Times New Roman" w:eastAsia="宋体" w:cs="Times New Roman"/>
                <w:bCs/>
                <w:color w:val="auto"/>
                <w:kern w:val="2"/>
                <w:sz w:val="24"/>
                <w:szCs w:val="24"/>
                <w:highlight w:val="none"/>
                <w:lang w:val="en-US" w:eastAsia="zh-CN" w:bidi="ar-SA"/>
              </w:rPr>
              <w:t>配制浓度低，排入生化池处理。</w:t>
            </w:r>
          </w:p>
          <w:p w14:paraId="40CD50F0">
            <w:pPr>
              <w:pStyle w:val="216"/>
              <w:keepNext w:val="0"/>
              <w:keepLines w:val="0"/>
              <w:pageBreakBefore w:val="0"/>
              <w:widowControl w:val="0"/>
              <w:kinsoku/>
              <w:wordWrap/>
              <w:overflowPunct/>
              <w:topLinePunct w:val="0"/>
              <w:autoSpaceDE w:val="0"/>
              <w:autoSpaceDN w:val="0"/>
              <w:bidi w:val="0"/>
              <w:adjustRightInd/>
              <w:spacing w:line="360" w:lineRule="auto"/>
              <w:ind w:firstLine="438" w:firstLineChars="200"/>
              <w:textAlignment w:val="baseline"/>
              <w:rPr>
                <w:rFonts w:hint="default" w:ascii="Times New Roman" w:hAnsi="Times New Roman" w:cs="Times New Roman"/>
                <w:color w:val="auto"/>
                <w:sz w:val="24"/>
              </w:rPr>
            </w:pPr>
            <w:r>
              <w:rPr>
                <w:rFonts w:hint="default" w:ascii="Times New Roman" w:hAnsi="Times New Roman" w:cs="Times New Roman"/>
                <w:b/>
                <w:bCs/>
                <w:color w:val="auto"/>
              </w:rPr>
              <w:t>二、</w:t>
            </w:r>
            <w:r>
              <w:rPr>
                <w:rFonts w:hint="default" w:ascii="Times New Roman" w:hAnsi="Times New Roman" w:cs="Times New Roman"/>
                <w:b/>
                <w:color w:val="auto"/>
                <w:sz w:val="24"/>
              </w:rPr>
              <w:t>废水治理设施</w:t>
            </w:r>
          </w:p>
          <w:p w14:paraId="20B1C8FA">
            <w:pPr>
              <w:pStyle w:val="216"/>
              <w:keepNext w:val="0"/>
              <w:keepLines w:val="0"/>
              <w:pageBreakBefore w:val="0"/>
              <w:widowControl w:val="0"/>
              <w:kinsoku/>
              <w:wordWrap/>
              <w:overflowPunct/>
              <w:topLinePunct w:val="0"/>
              <w:autoSpaceDE w:val="0"/>
              <w:autoSpaceDN w:val="0"/>
              <w:bidi w:val="0"/>
              <w:adjustRightInd/>
              <w:spacing w:line="360" w:lineRule="auto"/>
              <w:ind w:firstLine="496" w:firstLineChars="200"/>
              <w:textAlignment w:val="baseline"/>
              <w:rPr>
                <w:rFonts w:hint="default" w:ascii="Times New Roman" w:hAnsi="Times New Roman" w:eastAsia="宋体" w:cs="Times New Roman"/>
                <w:color w:val="0000FF"/>
                <w:sz w:val="24"/>
                <w:lang w:val="en-US" w:eastAsia="zh-CN"/>
              </w:rPr>
            </w:pPr>
            <w:r>
              <w:rPr>
                <w:rFonts w:hint="default" w:ascii="Times New Roman" w:hAnsi="Times New Roman" w:cs="Times New Roman"/>
                <w:bCs/>
                <w:color w:val="0000FF"/>
                <w:sz w:val="24"/>
                <w:lang w:val="en-US" w:eastAsia="zh-CN"/>
              </w:rPr>
              <w:t>本项目废水主要为</w:t>
            </w:r>
            <w:r>
              <w:rPr>
                <w:rFonts w:hint="default" w:ascii="Times New Roman" w:hAnsi="Times New Roman" w:cs="Times New Roman"/>
                <w:bCs/>
                <w:color w:val="0000FF"/>
                <w:sz w:val="24"/>
              </w:rPr>
              <w:t>生活污水和盐雾试验废水</w:t>
            </w:r>
            <w:r>
              <w:rPr>
                <w:rFonts w:hint="default" w:ascii="Times New Roman" w:hAnsi="Times New Roman" w:cs="Times New Roman"/>
                <w:bCs/>
                <w:color w:val="0000FF"/>
                <w:sz w:val="24"/>
                <w:lang w:eastAsia="zh-CN"/>
              </w:rPr>
              <w:t>。废水进入生化池处理达标后排入市政污水管网</w:t>
            </w:r>
            <w:r>
              <w:rPr>
                <w:rFonts w:hint="eastAsia" w:cs="Times New Roman"/>
                <w:bCs/>
                <w:color w:val="0000FF"/>
                <w:sz w:val="24"/>
                <w:lang w:eastAsia="zh-CN"/>
              </w:rPr>
              <w:t>，</w:t>
            </w:r>
            <w:r>
              <w:rPr>
                <w:rFonts w:hint="default" w:ascii="Times New Roman" w:hAnsi="Times New Roman" w:cs="Times New Roman"/>
                <w:bCs/>
                <w:color w:val="0000FF"/>
                <w:sz w:val="24"/>
              </w:rPr>
              <w:t>最终经</w:t>
            </w:r>
            <w:r>
              <w:rPr>
                <w:rFonts w:hint="default" w:ascii="Times New Roman" w:hAnsi="Times New Roman" w:cs="Times New Roman"/>
                <w:color w:val="0000FF"/>
                <w:sz w:val="24"/>
                <w:szCs w:val="24"/>
                <w:lang w:eastAsia="zh-CN"/>
              </w:rPr>
              <w:t>大竹县工业园区污水处理厂</w:t>
            </w:r>
            <w:r>
              <w:rPr>
                <w:rFonts w:hint="default" w:ascii="Times New Roman" w:hAnsi="Times New Roman" w:cs="Times New Roman"/>
                <w:color w:val="0000FF"/>
                <w:sz w:val="24"/>
              </w:rPr>
              <w:t>处理达《城镇污水处理厂污染物排放标准》(GB18918-2002)一级A标准后排入</w:t>
            </w:r>
            <w:r>
              <w:rPr>
                <w:rFonts w:hint="default" w:ascii="Times New Roman" w:hAnsi="Times New Roman" w:cs="Times New Roman"/>
                <w:color w:val="0000FF"/>
                <w:sz w:val="24"/>
                <w:lang w:val="en-US" w:eastAsia="zh-CN"/>
              </w:rPr>
              <w:t>东柳河</w:t>
            </w:r>
            <w:r>
              <w:rPr>
                <w:rFonts w:hint="default" w:ascii="Times New Roman" w:hAnsi="Times New Roman" w:cs="Times New Roman"/>
                <w:color w:val="0000FF"/>
                <w:sz w:val="24"/>
              </w:rPr>
              <w:t>。</w:t>
            </w:r>
          </w:p>
          <w:p w14:paraId="6548311E">
            <w:pPr>
              <w:pStyle w:val="216"/>
              <w:keepNext w:val="0"/>
              <w:keepLines w:val="0"/>
              <w:pageBreakBefore w:val="0"/>
              <w:widowControl w:val="0"/>
              <w:kinsoku/>
              <w:wordWrap/>
              <w:overflowPunct/>
              <w:topLinePunct w:val="0"/>
              <w:autoSpaceDE w:val="0"/>
              <w:autoSpaceDN w:val="0"/>
              <w:bidi w:val="0"/>
              <w:adjustRightInd/>
              <w:spacing w:line="360" w:lineRule="auto"/>
              <w:ind w:firstLine="496" w:firstLineChars="200"/>
              <w:textAlignment w:val="baseline"/>
              <w:rPr>
                <w:rFonts w:hint="default" w:ascii="Times New Roman" w:hAnsi="Times New Roman" w:cs="Times New Roman"/>
                <w:color w:val="auto"/>
                <w:sz w:val="24"/>
              </w:rPr>
            </w:pPr>
            <w:r>
              <w:rPr>
                <w:rFonts w:hint="default" w:ascii="Times New Roman" w:hAnsi="Times New Roman" w:cs="Times New Roman"/>
                <w:color w:val="0000FF"/>
                <w:sz w:val="24"/>
              </w:rPr>
              <w:t>本项目废水污染物产生及排放情况详见表4.2-1</w:t>
            </w:r>
            <w:r>
              <w:rPr>
                <w:rFonts w:hint="default" w:ascii="Times New Roman" w:hAnsi="Times New Roman" w:cs="Times New Roman"/>
                <w:color w:val="0000FF"/>
                <w:sz w:val="24"/>
                <w:lang w:val="en-US" w:eastAsia="zh-CN"/>
              </w:rPr>
              <w:t>7</w:t>
            </w:r>
            <w:r>
              <w:rPr>
                <w:rFonts w:hint="default" w:ascii="Times New Roman" w:hAnsi="Times New Roman" w:cs="Times New Roman"/>
                <w:color w:val="0000FF"/>
                <w:sz w:val="24"/>
              </w:rPr>
              <w:t>。</w:t>
            </w:r>
          </w:p>
        </w:tc>
      </w:tr>
    </w:tbl>
    <w:p w14:paraId="645EB8B4">
      <w:pPr>
        <w:pStyle w:val="53"/>
        <w:rPr>
          <w:rFonts w:hint="default" w:ascii="Times New Roman" w:hAnsi="Times New Roman" w:cs="Times New Roman"/>
          <w:color w:val="auto"/>
        </w:rPr>
        <w:sectPr>
          <w:pgSz w:w="11907" w:h="16840"/>
          <w:pgMar w:top="1701" w:right="1531" w:bottom="2127" w:left="1531" w:header="851" w:footer="851" w:gutter="0"/>
          <w:pgNumType w:fmt="decimal"/>
          <w:cols w:space="720" w:num="1"/>
          <w:docGrid w:linePitch="312" w:charSpace="0"/>
        </w:sectPr>
      </w:pPr>
    </w:p>
    <w:p w14:paraId="0A04B5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表4.2-1</w:t>
      </w:r>
      <w:r>
        <w:rPr>
          <w:rFonts w:hint="default" w:ascii="Times New Roman" w:hAnsi="Times New Roman" w:cs="Times New Roman"/>
          <w:b/>
          <w:bCs/>
          <w:color w:val="auto"/>
          <w:sz w:val="24"/>
          <w:lang w:val="en-US" w:eastAsia="zh-CN"/>
        </w:rPr>
        <w:t>7</w:t>
      </w:r>
      <w:r>
        <w:rPr>
          <w:rFonts w:hint="default" w:ascii="Times New Roman" w:hAnsi="Times New Roman" w:cs="Times New Roman"/>
          <w:b/>
          <w:bCs/>
          <w:color w:val="auto"/>
          <w:sz w:val="24"/>
        </w:rPr>
        <w:t xml:space="preserve">   </w:t>
      </w:r>
      <w:r>
        <w:rPr>
          <w:rFonts w:hint="default" w:ascii="Times New Roman" w:hAnsi="Times New Roman" w:cs="Times New Roman"/>
          <w:b/>
          <w:color w:val="auto"/>
          <w:sz w:val="24"/>
        </w:rPr>
        <w:t>废水类别、污染物、产排情况及治理设施信息一览表</w:t>
      </w:r>
    </w:p>
    <w:tbl>
      <w:tblPr>
        <w:tblStyle w:val="3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675"/>
        <w:gridCol w:w="660"/>
        <w:gridCol w:w="930"/>
        <w:gridCol w:w="1179"/>
        <w:gridCol w:w="1217"/>
        <w:gridCol w:w="1263"/>
        <w:gridCol w:w="752"/>
        <w:gridCol w:w="752"/>
        <w:gridCol w:w="753"/>
        <w:gridCol w:w="892"/>
        <w:gridCol w:w="892"/>
        <w:gridCol w:w="893"/>
        <w:gridCol w:w="1103"/>
        <w:gridCol w:w="1104"/>
      </w:tblGrid>
      <w:tr w14:paraId="1959A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82" w:type="dxa"/>
            <w:vMerge w:val="restart"/>
            <w:noWrap w:val="0"/>
            <w:vAlign w:val="center"/>
          </w:tcPr>
          <w:p w14:paraId="406DB7B7">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排放口</w:t>
            </w:r>
          </w:p>
        </w:tc>
        <w:tc>
          <w:tcPr>
            <w:tcW w:w="675" w:type="dxa"/>
            <w:vMerge w:val="restart"/>
            <w:noWrap w:val="0"/>
            <w:vAlign w:val="center"/>
          </w:tcPr>
          <w:p w14:paraId="752F18BD">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产污环节</w:t>
            </w:r>
          </w:p>
        </w:tc>
        <w:tc>
          <w:tcPr>
            <w:tcW w:w="660" w:type="dxa"/>
            <w:vMerge w:val="restart"/>
            <w:noWrap w:val="0"/>
            <w:vAlign w:val="center"/>
          </w:tcPr>
          <w:p w14:paraId="6D14E2D3">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废水类别</w:t>
            </w:r>
          </w:p>
        </w:tc>
        <w:tc>
          <w:tcPr>
            <w:tcW w:w="930" w:type="dxa"/>
            <w:vMerge w:val="restart"/>
            <w:noWrap w:val="0"/>
            <w:vAlign w:val="center"/>
          </w:tcPr>
          <w:p w14:paraId="1FC801A6">
            <w:pPr>
              <w:keepNext w:val="0"/>
              <w:keepLines w:val="0"/>
              <w:widowControl/>
              <w:suppressLineNumbers w:val="0"/>
              <w:jc w:val="both"/>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污染物种类</w:t>
            </w:r>
          </w:p>
        </w:tc>
        <w:tc>
          <w:tcPr>
            <w:tcW w:w="3659" w:type="dxa"/>
            <w:gridSpan w:val="3"/>
            <w:noWrap w:val="0"/>
            <w:vAlign w:val="center"/>
          </w:tcPr>
          <w:p w14:paraId="4B3DAF8D">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产生情况</w:t>
            </w:r>
          </w:p>
        </w:tc>
        <w:tc>
          <w:tcPr>
            <w:tcW w:w="2257" w:type="dxa"/>
            <w:gridSpan w:val="3"/>
            <w:noWrap w:val="0"/>
            <w:vAlign w:val="center"/>
          </w:tcPr>
          <w:p w14:paraId="06C5CCDE">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治理设施</w:t>
            </w:r>
          </w:p>
        </w:tc>
        <w:tc>
          <w:tcPr>
            <w:tcW w:w="4884" w:type="dxa"/>
            <w:gridSpan w:val="5"/>
            <w:noWrap w:val="0"/>
            <w:vAlign w:val="center"/>
          </w:tcPr>
          <w:p w14:paraId="06846A59">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排放情况（排入环境）</w:t>
            </w:r>
          </w:p>
        </w:tc>
      </w:tr>
      <w:tr w14:paraId="46D8B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82" w:type="dxa"/>
            <w:vMerge w:val="continue"/>
            <w:noWrap w:val="0"/>
            <w:vAlign w:val="center"/>
          </w:tcPr>
          <w:p w14:paraId="1B86CC12">
            <w:pPr>
              <w:jc w:val="center"/>
              <w:rPr>
                <w:rFonts w:hint="default" w:ascii="Times New Roman" w:hAnsi="Times New Roman" w:eastAsia="宋体" w:cs="Times New Roman"/>
                <w:b/>
                <w:bCs/>
                <w:i w:val="0"/>
                <w:iCs w:val="0"/>
                <w:color w:val="0000FF"/>
                <w:sz w:val="21"/>
                <w:szCs w:val="21"/>
                <w:u w:val="none"/>
              </w:rPr>
            </w:pPr>
          </w:p>
        </w:tc>
        <w:tc>
          <w:tcPr>
            <w:tcW w:w="675" w:type="dxa"/>
            <w:vMerge w:val="continue"/>
            <w:noWrap w:val="0"/>
            <w:vAlign w:val="center"/>
          </w:tcPr>
          <w:p w14:paraId="1D148176">
            <w:pPr>
              <w:jc w:val="center"/>
              <w:rPr>
                <w:rFonts w:hint="default" w:ascii="Times New Roman" w:hAnsi="Times New Roman" w:eastAsia="宋体" w:cs="Times New Roman"/>
                <w:b/>
                <w:bCs/>
                <w:i w:val="0"/>
                <w:iCs w:val="0"/>
                <w:color w:val="0000FF"/>
                <w:sz w:val="21"/>
                <w:szCs w:val="21"/>
                <w:u w:val="none"/>
              </w:rPr>
            </w:pPr>
          </w:p>
        </w:tc>
        <w:tc>
          <w:tcPr>
            <w:tcW w:w="660" w:type="dxa"/>
            <w:vMerge w:val="continue"/>
            <w:noWrap w:val="0"/>
            <w:vAlign w:val="center"/>
          </w:tcPr>
          <w:p w14:paraId="3277B593">
            <w:pPr>
              <w:jc w:val="center"/>
              <w:rPr>
                <w:rFonts w:hint="default" w:ascii="Times New Roman" w:hAnsi="Times New Roman" w:eastAsia="宋体" w:cs="Times New Roman"/>
                <w:b/>
                <w:bCs/>
                <w:i w:val="0"/>
                <w:iCs w:val="0"/>
                <w:color w:val="0000FF"/>
                <w:sz w:val="21"/>
                <w:szCs w:val="21"/>
                <w:u w:val="none"/>
              </w:rPr>
            </w:pPr>
          </w:p>
        </w:tc>
        <w:tc>
          <w:tcPr>
            <w:tcW w:w="930" w:type="dxa"/>
            <w:vMerge w:val="continue"/>
            <w:noWrap w:val="0"/>
            <w:vAlign w:val="center"/>
          </w:tcPr>
          <w:p w14:paraId="6B5332CF">
            <w:pPr>
              <w:jc w:val="both"/>
              <w:rPr>
                <w:rFonts w:hint="default" w:ascii="Times New Roman" w:hAnsi="Times New Roman" w:eastAsia="宋体" w:cs="Times New Roman"/>
                <w:b/>
                <w:bCs/>
                <w:i w:val="0"/>
                <w:iCs w:val="0"/>
                <w:color w:val="0000FF"/>
                <w:sz w:val="21"/>
                <w:szCs w:val="21"/>
                <w:u w:val="none"/>
              </w:rPr>
            </w:pPr>
          </w:p>
        </w:tc>
        <w:tc>
          <w:tcPr>
            <w:tcW w:w="1179" w:type="dxa"/>
            <w:vMerge w:val="restart"/>
            <w:noWrap w:val="0"/>
            <w:vAlign w:val="center"/>
          </w:tcPr>
          <w:p w14:paraId="70BA2D76">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废水产生量（</w:t>
            </w:r>
            <w:r>
              <w:rPr>
                <w:rFonts w:hint="default" w:ascii="Times New Roman" w:hAnsi="Times New Roman" w:eastAsia="宋体" w:cs="Times New Roman"/>
                <w:b/>
                <w:bCs/>
                <w:i w:val="0"/>
                <w:iCs w:val="0"/>
                <w:color w:val="0000FF"/>
                <w:kern w:val="0"/>
                <w:sz w:val="21"/>
                <w:szCs w:val="21"/>
                <w:u w:val="none"/>
                <w:lang w:val="en-US" w:eastAsia="zh-CN" w:bidi="ar"/>
              </w:rPr>
              <w:t>m</w:t>
            </w:r>
            <w:r>
              <w:rPr>
                <w:rFonts w:hint="default" w:ascii="Times New Roman" w:hAnsi="Times New Roman" w:eastAsia="宋体" w:cs="Times New Roman"/>
                <w:b/>
                <w:bCs/>
                <w:i w:val="0"/>
                <w:iCs w:val="0"/>
                <w:color w:val="0000FF"/>
                <w:kern w:val="0"/>
                <w:sz w:val="21"/>
                <w:szCs w:val="21"/>
                <w:u w:val="none"/>
                <w:vertAlign w:val="superscript"/>
                <w:lang w:val="en-US" w:eastAsia="zh-CN" w:bidi="ar"/>
              </w:rPr>
              <w:t>3</w:t>
            </w:r>
            <w:r>
              <w:rPr>
                <w:rFonts w:hint="default" w:ascii="Times New Roman" w:hAnsi="Times New Roman" w:eastAsia="宋体" w:cs="Times New Roman"/>
                <w:b/>
                <w:bCs/>
                <w:i w:val="0"/>
                <w:iCs w:val="0"/>
                <w:color w:val="0000FF"/>
                <w:kern w:val="0"/>
                <w:sz w:val="21"/>
                <w:szCs w:val="21"/>
                <w:u w:val="none"/>
                <w:lang w:val="en-US" w:eastAsia="zh-CN" w:bidi="ar"/>
              </w:rPr>
              <w:t>/a</w:t>
            </w:r>
            <w:r>
              <w:rPr>
                <w:rFonts w:hint="eastAsia" w:ascii="宋体" w:hAnsi="宋体" w:eastAsia="宋体" w:cs="宋体"/>
                <w:b/>
                <w:bCs/>
                <w:i w:val="0"/>
                <w:iCs w:val="0"/>
                <w:color w:val="0000FF"/>
                <w:kern w:val="0"/>
                <w:sz w:val="21"/>
                <w:szCs w:val="21"/>
                <w:u w:val="none"/>
                <w:lang w:val="en-US" w:eastAsia="zh-CN" w:bidi="ar"/>
              </w:rPr>
              <w:t>）</w:t>
            </w:r>
          </w:p>
        </w:tc>
        <w:tc>
          <w:tcPr>
            <w:tcW w:w="1217" w:type="dxa"/>
            <w:vMerge w:val="restart"/>
            <w:noWrap w:val="0"/>
            <w:vAlign w:val="center"/>
          </w:tcPr>
          <w:p w14:paraId="7AB26674">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污染物产生浓度（</w:t>
            </w:r>
            <w:r>
              <w:rPr>
                <w:rFonts w:hint="default" w:ascii="Times New Roman" w:hAnsi="Times New Roman" w:eastAsia="宋体" w:cs="Times New Roman"/>
                <w:b/>
                <w:bCs/>
                <w:i w:val="0"/>
                <w:iCs w:val="0"/>
                <w:color w:val="0000FF"/>
                <w:kern w:val="0"/>
                <w:sz w:val="21"/>
                <w:szCs w:val="21"/>
                <w:u w:val="none"/>
                <w:lang w:val="en-US" w:eastAsia="zh-CN" w:bidi="ar"/>
              </w:rPr>
              <w:t>mg/L</w:t>
            </w:r>
            <w:r>
              <w:rPr>
                <w:rFonts w:hint="eastAsia" w:ascii="宋体" w:hAnsi="宋体" w:eastAsia="宋体" w:cs="宋体"/>
                <w:b/>
                <w:bCs/>
                <w:i w:val="0"/>
                <w:iCs w:val="0"/>
                <w:color w:val="0000FF"/>
                <w:kern w:val="0"/>
                <w:sz w:val="21"/>
                <w:szCs w:val="21"/>
                <w:u w:val="none"/>
                <w:lang w:val="en-US" w:eastAsia="zh-CN" w:bidi="ar"/>
              </w:rPr>
              <w:t>）</w:t>
            </w:r>
          </w:p>
        </w:tc>
        <w:tc>
          <w:tcPr>
            <w:tcW w:w="1263" w:type="dxa"/>
            <w:vMerge w:val="restart"/>
            <w:noWrap w:val="0"/>
            <w:vAlign w:val="center"/>
          </w:tcPr>
          <w:p w14:paraId="27B1101C">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污染物产生量（</w:t>
            </w:r>
            <w:r>
              <w:rPr>
                <w:rFonts w:hint="default" w:ascii="Times New Roman" w:hAnsi="Times New Roman" w:eastAsia="宋体" w:cs="Times New Roman"/>
                <w:b/>
                <w:bCs/>
                <w:i w:val="0"/>
                <w:iCs w:val="0"/>
                <w:color w:val="0000FF"/>
                <w:kern w:val="0"/>
                <w:sz w:val="21"/>
                <w:szCs w:val="21"/>
                <w:u w:val="none"/>
                <w:lang w:val="en-US" w:eastAsia="zh-CN" w:bidi="ar"/>
              </w:rPr>
              <w:t>t/a</w:t>
            </w:r>
            <w:r>
              <w:rPr>
                <w:rFonts w:hint="eastAsia" w:ascii="宋体" w:hAnsi="宋体" w:eastAsia="宋体" w:cs="宋体"/>
                <w:b/>
                <w:bCs/>
                <w:i w:val="0"/>
                <w:iCs w:val="0"/>
                <w:color w:val="0000FF"/>
                <w:kern w:val="0"/>
                <w:sz w:val="21"/>
                <w:szCs w:val="21"/>
                <w:u w:val="none"/>
                <w:lang w:val="en-US" w:eastAsia="zh-CN" w:bidi="ar"/>
              </w:rPr>
              <w:t>）</w:t>
            </w:r>
          </w:p>
        </w:tc>
        <w:tc>
          <w:tcPr>
            <w:tcW w:w="752" w:type="dxa"/>
            <w:vMerge w:val="restart"/>
            <w:noWrap w:val="0"/>
            <w:vAlign w:val="center"/>
          </w:tcPr>
          <w:p w14:paraId="49A5C2F4">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处理能力（</w:t>
            </w:r>
            <w:r>
              <w:rPr>
                <w:rFonts w:hint="default" w:ascii="Times New Roman" w:hAnsi="Times New Roman" w:eastAsia="宋体" w:cs="Times New Roman"/>
                <w:b/>
                <w:bCs/>
                <w:i w:val="0"/>
                <w:iCs w:val="0"/>
                <w:color w:val="0000FF"/>
                <w:kern w:val="0"/>
                <w:sz w:val="21"/>
                <w:szCs w:val="21"/>
                <w:u w:val="none"/>
                <w:lang w:val="en-US" w:eastAsia="zh-CN" w:bidi="ar"/>
              </w:rPr>
              <w:t>m</w:t>
            </w:r>
            <w:r>
              <w:rPr>
                <w:rFonts w:hint="default" w:ascii="Times New Roman" w:hAnsi="Times New Roman" w:eastAsia="宋体" w:cs="Times New Roman"/>
                <w:b/>
                <w:bCs/>
                <w:i w:val="0"/>
                <w:iCs w:val="0"/>
                <w:color w:val="0000FF"/>
                <w:kern w:val="0"/>
                <w:sz w:val="21"/>
                <w:szCs w:val="21"/>
                <w:u w:val="none"/>
                <w:vertAlign w:val="superscript"/>
                <w:lang w:val="en-US" w:eastAsia="zh-CN" w:bidi="ar"/>
              </w:rPr>
              <w:t>3</w:t>
            </w:r>
            <w:r>
              <w:rPr>
                <w:rFonts w:hint="default" w:ascii="Times New Roman" w:hAnsi="Times New Roman" w:eastAsia="宋体" w:cs="Times New Roman"/>
                <w:b/>
                <w:bCs/>
                <w:i w:val="0"/>
                <w:iCs w:val="0"/>
                <w:color w:val="0000FF"/>
                <w:kern w:val="0"/>
                <w:sz w:val="21"/>
                <w:szCs w:val="21"/>
                <w:u w:val="none"/>
                <w:lang w:val="en-US" w:eastAsia="zh-CN" w:bidi="ar"/>
              </w:rPr>
              <w:t>/d</w:t>
            </w:r>
            <w:r>
              <w:rPr>
                <w:rFonts w:hint="eastAsia" w:ascii="宋体" w:hAnsi="宋体" w:eastAsia="宋体" w:cs="宋体"/>
                <w:b/>
                <w:bCs/>
                <w:i w:val="0"/>
                <w:iCs w:val="0"/>
                <w:color w:val="0000FF"/>
                <w:kern w:val="0"/>
                <w:sz w:val="21"/>
                <w:szCs w:val="21"/>
                <w:u w:val="none"/>
                <w:lang w:val="en-US" w:eastAsia="zh-CN" w:bidi="ar"/>
              </w:rPr>
              <w:t>）</w:t>
            </w:r>
          </w:p>
        </w:tc>
        <w:tc>
          <w:tcPr>
            <w:tcW w:w="752" w:type="dxa"/>
            <w:noWrap w:val="0"/>
            <w:vAlign w:val="center"/>
          </w:tcPr>
          <w:p w14:paraId="548C96AA">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治理</w:t>
            </w:r>
          </w:p>
        </w:tc>
        <w:tc>
          <w:tcPr>
            <w:tcW w:w="753" w:type="dxa"/>
            <w:vMerge w:val="restart"/>
            <w:noWrap w:val="0"/>
            <w:vAlign w:val="center"/>
          </w:tcPr>
          <w:p w14:paraId="68D08AC5">
            <w:pPr>
              <w:keepNext w:val="0"/>
              <w:keepLines w:val="0"/>
              <w:widowControl/>
              <w:suppressLineNumbers w:val="0"/>
              <w:jc w:val="both"/>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是否为可行技术</w:t>
            </w:r>
          </w:p>
        </w:tc>
        <w:tc>
          <w:tcPr>
            <w:tcW w:w="892" w:type="dxa"/>
            <w:vMerge w:val="restart"/>
            <w:noWrap w:val="0"/>
            <w:vAlign w:val="center"/>
          </w:tcPr>
          <w:p w14:paraId="615A08BD">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废水排放量（</w:t>
            </w:r>
            <w:r>
              <w:rPr>
                <w:rFonts w:hint="default" w:ascii="Times New Roman" w:hAnsi="Times New Roman" w:eastAsia="宋体" w:cs="Times New Roman"/>
                <w:b/>
                <w:bCs/>
                <w:i w:val="0"/>
                <w:iCs w:val="0"/>
                <w:color w:val="0000FF"/>
                <w:kern w:val="0"/>
                <w:sz w:val="21"/>
                <w:szCs w:val="21"/>
                <w:u w:val="none"/>
                <w:lang w:val="en-US" w:eastAsia="zh-CN" w:bidi="ar"/>
              </w:rPr>
              <w:t>m</w:t>
            </w:r>
            <w:r>
              <w:rPr>
                <w:rFonts w:hint="default" w:ascii="Times New Roman" w:hAnsi="Times New Roman" w:eastAsia="宋体" w:cs="Times New Roman"/>
                <w:b/>
                <w:bCs/>
                <w:i w:val="0"/>
                <w:iCs w:val="0"/>
                <w:color w:val="0000FF"/>
                <w:kern w:val="0"/>
                <w:sz w:val="21"/>
                <w:szCs w:val="21"/>
                <w:u w:val="none"/>
                <w:vertAlign w:val="superscript"/>
                <w:lang w:val="en-US" w:eastAsia="zh-CN" w:bidi="ar"/>
              </w:rPr>
              <w:t>3</w:t>
            </w:r>
            <w:r>
              <w:rPr>
                <w:rFonts w:hint="default" w:ascii="Times New Roman" w:hAnsi="Times New Roman" w:eastAsia="宋体" w:cs="Times New Roman"/>
                <w:b/>
                <w:bCs/>
                <w:i w:val="0"/>
                <w:iCs w:val="0"/>
                <w:color w:val="0000FF"/>
                <w:kern w:val="0"/>
                <w:sz w:val="21"/>
                <w:szCs w:val="21"/>
                <w:u w:val="none"/>
                <w:lang w:val="en-US" w:eastAsia="zh-CN" w:bidi="ar"/>
              </w:rPr>
              <w:t>/a</w:t>
            </w:r>
            <w:r>
              <w:rPr>
                <w:rFonts w:hint="eastAsia" w:ascii="宋体" w:hAnsi="宋体" w:eastAsia="宋体" w:cs="宋体"/>
                <w:b/>
                <w:bCs/>
                <w:i w:val="0"/>
                <w:iCs w:val="0"/>
                <w:color w:val="0000FF"/>
                <w:kern w:val="0"/>
                <w:sz w:val="21"/>
                <w:szCs w:val="21"/>
                <w:u w:val="none"/>
                <w:lang w:val="en-US" w:eastAsia="zh-CN" w:bidi="ar"/>
              </w:rPr>
              <w:t>）</w:t>
            </w:r>
          </w:p>
        </w:tc>
        <w:tc>
          <w:tcPr>
            <w:tcW w:w="1785" w:type="dxa"/>
            <w:gridSpan w:val="2"/>
            <w:noWrap w:val="0"/>
            <w:vAlign w:val="center"/>
          </w:tcPr>
          <w:p w14:paraId="2516ACCF">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污染物排放浓度（</w:t>
            </w:r>
            <w:r>
              <w:rPr>
                <w:rFonts w:hint="default" w:ascii="Times New Roman" w:hAnsi="Times New Roman" w:eastAsia="宋体" w:cs="Times New Roman"/>
                <w:b/>
                <w:bCs/>
                <w:i w:val="0"/>
                <w:iCs w:val="0"/>
                <w:color w:val="0000FF"/>
                <w:kern w:val="0"/>
                <w:sz w:val="21"/>
                <w:szCs w:val="21"/>
                <w:u w:val="none"/>
                <w:lang w:val="en-US" w:eastAsia="zh-CN" w:bidi="ar"/>
              </w:rPr>
              <w:t>mg/L</w:t>
            </w:r>
            <w:r>
              <w:rPr>
                <w:rFonts w:hint="eastAsia" w:ascii="宋体" w:hAnsi="宋体" w:eastAsia="宋体" w:cs="宋体"/>
                <w:b/>
                <w:bCs/>
                <w:i w:val="0"/>
                <w:iCs w:val="0"/>
                <w:color w:val="0000FF"/>
                <w:kern w:val="0"/>
                <w:sz w:val="21"/>
                <w:szCs w:val="21"/>
                <w:u w:val="none"/>
                <w:lang w:val="en-US" w:eastAsia="zh-CN" w:bidi="ar"/>
              </w:rPr>
              <w:t>）</w:t>
            </w:r>
          </w:p>
        </w:tc>
        <w:tc>
          <w:tcPr>
            <w:tcW w:w="2207" w:type="dxa"/>
            <w:gridSpan w:val="2"/>
            <w:noWrap w:val="0"/>
            <w:vAlign w:val="center"/>
          </w:tcPr>
          <w:p w14:paraId="0FD2A3A2">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污染物排放量（</w:t>
            </w:r>
            <w:r>
              <w:rPr>
                <w:rFonts w:hint="default" w:ascii="Times New Roman" w:hAnsi="Times New Roman" w:eastAsia="宋体" w:cs="Times New Roman"/>
                <w:b/>
                <w:bCs/>
                <w:i w:val="0"/>
                <w:iCs w:val="0"/>
                <w:color w:val="0000FF"/>
                <w:kern w:val="0"/>
                <w:sz w:val="21"/>
                <w:szCs w:val="21"/>
                <w:u w:val="none"/>
                <w:lang w:val="en-US" w:eastAsia="zh-CN" w:bidi="ar"/>
              </w:rPr>
              <w:t>t/a</w:t>
            </w:r>
            <w:r>
              <w:rPr>
                <w:rFonts w:hint="eastAsia" w:ascii="宋体" w:hAnsi="宋体" w:eastAsia="宋体" w:cs="宋体"/>
                <w:b/>
                <w:bCs/>
                <w:i w:val="0"/>
                <w:iCs w:val="0"/>
                <w:color w:val="0000FF"/>
                <w:kern w:val="0"/>
                <w:sz w:val="21"/>
                <w:szCs w:val="21"/>
                <w:u w:val="none"/>
                <w:lang w:val="en-US" w:eastAsia="zh-CN" w:bidi="ar"/>
              </w:rPr>
              <w:t>）</w:t>
            </w:r>
          </w:p>
        </w:tc>
      </w:tr>
      <w:tr w14:paraId="104A5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582" w:type="dxa"/>
            <w:vMerge w:val="continue"/>
            <w:noWrap w:val="0"/>
            <w:vAlign w:val="center"/>
          </w:tcPr>
          <w:p w14:paraId="2B3ABC37">
            <w:pPr>
              <w:jc w:val="center"/>
              <w:rPr>
                <w:rFonts w:hint="default" w:ascii="Times New Roman" w:hAnsi="Times New Roman" w:eastAsia="宋体" w:cs="Times New Roman"/>
                <w:b/>
                <w:bCs/>
                <w:i w:val="0"/>
                <w:iCs w:val="0"/>
                <w:color w:val="0000FF"/>
                <w:sz w:val="21"/>
                <w:szCs w:val="21"/>
                <w:u w:val="none"/>
              </w:rPr>
            </w:pPr>
          </w:p>
        </w:tc>
        <w:tc>
          <w:tcPr>
            <w:tcW w:w="675" w:type="dxa"/>
            <w:vMerge w:val="continue"/>
            <w:noWrap w:val="0"/>
            <w:vAlign w:val="center"/>
          </w:tcPr>
          <w:p w14:paraId="35DD46E5">
            <w:pPr>
              <w:jc w:val="center"/>
              <w:rPr>
                <w:rFonts w:hint="default" w:ascii="Times New Roman" w:hAnsi="Times New Roman" w:eastAsia="宋体" w:cs="Times New Roman"/>
                <w:b/>
                <w:bCs/>
                <w:i w:val="0"/>
                <w:iCs w:val="0"/>
                <w:color w:val="0000FF"/>
                <w:sz w:val="21"/>
                <w:szCs w:val="21"/>
                <w:u w:val="none"/>
              </w:rPr>
            </w:pPr>
          </w:p>
        </w:tc>
        <w:tc>
          <w:tcPr>
            <w:tcW w:w="660" w:type="dxa"/>
            <w:vMerge w:val="continue"/>
            <w:noWrap w:val="0"/>
            <w:vAlign w:val="center"/>
          </w:tcPr>
          <w:p w14:paraId="0677A4B9">
            <w:pPr>
              <w:jc w:val="center"/>
              <w:rPr>
                <w:rFonts w:hint="default" w:ascii="Times New Roman" w:hAnsi="Times New Roman" w:eastAsia="宋体" w:cs="Times New Roman"/>
                <w:b/>
                <w:bCs/>
                <w:i w:val="0"/>
                <w:iCs w:val="0"/>
                <w:color w:val="0000FF"/>
                <w:sz w:val="21"/>
                <w:szCs w:val="21"/>
                <w:u w:val="none"/>
              </w:rPr>
            </w:pPr>
          </w:p>
        </w:tc>
        <w:tc>
          <w:tcPr>
            <w:tcW w:w="930" w:type="dxa"/>
            <w:vMerge w:val="continue"/>
            <w:noWrap w:val="0"/>
            <w:vAlign w:val="center"/>
          </w:tcPr>
          <w:p w14:paraId="06F82652">
            <w:pPr>
              <w:jc w:val="both"/>
              <w:rPr>
                <w:rFonts w:hint="default" w:ascii="Times New Roman" w:hAnsi="Times New Roman" w:eastAsia="宋体" w:cs="Times New Roman"/>
                <w:b/>
                <w:bCs/>
                <w:i w:val="0"/>
                <w:iCs w:val="0"/>
                <w:color w:val="0000FF"/>
                <w:sz w:val="21"/>
                <w:szCs w:val="21"/>
                <w:u w:val="none"/>
              </w:rPr>
            </w:pPr>
          </w:p>
        </w:tc>
        <w:tc>
          <w:tcPr>
            <w:tcW w:w="1179" w:type="dxa"/>
            <w:vMerge w:val="continue"/>
            <w:noWrap w:val="0"/>
            <w:vAlign w:val="center"/>
          </w:tcPr>
          <w:p w14:paraId="3FC16CA5">
            <w:pPr>
              <w:jc w:val="center"/>
              <w:rPr>
                <w:rFonts w:hint="default" w:ascii="Times New Roman" w:hAnsi="Times New Roman" w:eastAsia="宋体" w:cs="Times New Roman"/>
                <w:b/>
                <w:bCs/>
                <w:i w:val="0"/>
                <w:iCs w:val="0"/>
                <w:color w:val="0000FF"/>
                <w:sz w:val="21"/>
                <w:szCs w:val="21"/>
                <w:u w:val="none"/>
              </w:rPr>
            </w:pPr>
          </w:p>
        </w:tc>
        <w:tc>
          <w:tcPr>
            <w:tcW w:w="1217" w:type="dxa"/>
            <w:vMerge w:val="continue"/>
            <w:noWrap w:val="0"/>
            <w:vAlign w:val="center"/>
          </w:tcPr>
          <w:p w14:paraId="17ED8048">
            <w:pPr>
              <w:jc w:val="center"/>
              <w:rPr>
                <w:rFonts w:hint="default" w:ascii="Times New Roman" w:hAnsi="Times New Roman" w:eastAsia="宋体" w:cs="Times New Roman"/>
                <w:b/>
                <w:bCs/>
                <w:i w:val="0"/>
                <w:iCs w:val="0"/>
                <w:color w:val="0000FF"/>
                <w:sz w:val="21"/>
                <w:szCs w:val="21"/>
                <w:u w:val="none"/>
              </w:rPr>
            </w:pPr>
          </w:p>
        </w:tc>
        <w:tc>
          <w:tcPr>
            <w:tcW w:w="1263" w:type="dxa"/>
            <w:vMerge w:val="continue"/>
            <w:noWrap w:val="0"/>
            <w:vAlign w:val="center"/>
          </w:tcPr>
          <w:p w14:paraId="6BB0C3BD">
            <w:pPr>
              <w:jc w:val="center"/>
              <w:rPr>
                <w:rFonts w:hint="default" w:ascii="Times New Roman" w:hAnsi="Times New Roman" w:eastAsia="宋体" w:cs="Times New Roman"/>
                <w:b/>
                <w:bCs/>
                <w:i w:val="0"/>
                <w:iCs w:val="0"/>
                <w:color w:val="0000FF"/>
                <w:sz w:val="21"/>
                <w:szCs w:val="21"/>
                <w:u w:val="none"/>
              </w:rPr>
            </w:pPr>
          </w:p>
        </w:tc>
        <w:tc>
          <w:tcPr>
            <w:tcW w:w="752" w:type="dxa"/>
            <w:vMerge w:val="continue"/>
            <w:noWrap w:val="0"/>
            <w:vAlign w:val="center"/>
          </w:tcPr>
          <w:p w14:paraId="2845DE05">
            <w:pPr>
              <w:jc w:val="center"/>
              <w:rPr>
                <w:rFonts w:hint="default" w:ascii="Times New Roman" w:hAnsi="Times New Roman" w:eastAsia="宋体" w:cs="Times New Roman"/>
                <w:b/>
                <w:bCs/>
                <w:i w:val="0"/>
                <w:iCs w:val="0"/>
                <w:color w:val="0000FF"/>
                <w:sz w:val="21"/>
                <w:szCs w:val="21"/>
                <w:u w:val="none"/>
              </w:rPr>
            </w:pPr>
          </w:p>
        </w:tc>
        <w:tc>
          <w:tcPr>
            <w:tcW w:w="752" w:type="dxa"/>
            <w:noWrap w:val="0"/>
            <w:vAlign w:val="center"/>
          </w:tcPr>
          <w:p w14:paraId="65412CE4">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工艺</w:t>
            </w:r>
          </w:p>
        </w:tc>
        <w:tc>
          <w:tcPr>
            <w:tcW w:w="753" w:type="dxa"/>
            <w:vMerge w:val="continue"/>
            <w:noWrap w:val="0"/>
            <w:vAlign w:val="center"/>
          </w:tcPr>
          <w:p w14:paraId="15BE8353">
            <w:pPr>
              <w:jc w:val="both"/>
              <w:rPr>
                <w:rFonts w:hint="default" w:ascii="Times New Roman" w:hAnsi="Times New Roman" w:eastAsia="宋体" w:cs="Times New Roman"/>
                <w:b/>
                <w:bCs/>
                <w:i w:val="0"/>
                <w:iCs w:val="0"/>
                <w:color w:val="0000FF"/>
                <w:sz w:val="21"/>
                <w:szCs w:val="21"/>
                <w:u w:val="none"/>
              </w:rPr>
            </w:pPr>
          </w:p>
        </w:tc>
        <w:tc>
          <w:tcPr>
            <w:tcW w:w="892" w:type="dxa"/>
            <w:vMerge w:val="continue"/>
            <w:noWrap w:val="0"/>
            <w:vAlign w:val="center"/>
          </w:tcPr>
          <w:p w14:paraId="79EAAF52">
            <w:pPr>
              <w:jc w:val="center"/>
              <w:rPr>
                <w:rFonts w:hint="default" w:ascii="Times New Roman" w:hAnsi="Times New Roman" w:eastAsia="宋体" w:cs="Times New Roman"/>
                <w:b/>
                <w:bCs/>
                <w:i w:val="0"/>
                <w:iCs w:val="0"/>
                <w:color w:val="0000FF"/>
                <w:sz w:val="21"/>
                <w:szCs w:val="21"/>
                <w:u w:val="none"/>
              </w:rPr>
            </w:pPr>
          </w:p>
        </w:tc>
        <w:tc>
          <w:tcPr>
            <w:tcW w:w="892" w:type="dxa"/>
            <w:noWrap w:val="0"/>
            <w:vAlign w:val="center"/>
          </w:tcPr>
          <w:p w14:paraId="1B41084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排管网</w:t>
            </w:r>
          </w:p>
        </w:tc>
        <w:tc>
          <w:tcPr>
            <w:tcW w:w="893" w:type="dxa"/>
            <w:noWrap w:val="0"/>
            <w:vAlign w:val="center"/>
          </w:tcPr>
          <w:p w14:paraId="077FBE8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排环境</w:t>
            </w:r>
          </w:p>
        </w:tc>
        <w:tc>
          <w:tcPr>
            <w:tcW w:w="1103" w:type="dxa"/>
            <w:noWrap w:val="0"/>
            <w:vAlign w:val="center"/>
          </w:tcPr>
          <w:p w14:paraId="46242DE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排管网</w:t>
            </w:r>
          </w:p>
        </w:tc>
        <w:tc>
          <w:tcPr>
            <w:tcW w:w="1104" w:type="dxa"/>
            <w:noWrap w:val="0"/>
            <w:vAlign w:val="center"/>
          </w:tcPr>
          <w:p w14:paraId="6A26FA7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排环境</w:t>
            </w:r>
          </w:p>
        </w:tc>
      </w:tr>
      <w:tr w14:paraId="3B2D0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2" w:type="dxa"/>
            <w:vMerge w:val="restart"/>
            <w:noWrap w:val="0"/>
            <w:vAlign w:val="center"/>
          </w:tcPr>
          <w:p w14:paraId="7ED5CC9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生化池排放口</w:t>
            </w:r>
            <w:r>
              <w:rPr>
                <w:rFonts w:hint="default" w:ascii="Times New Roman" w:hAnsi="Times New Roman" w:eastAsia="宋体" w:cs="Times New Roman"/>
                <w:i w:val="0"/>
                <w:iCs w:val="0"/>
                <w:color w:val="0000FF"/>
                <w:kern w:val="0"/>
                <w:sz w:val="21"/>
                <w:szCs w:val="21"/>
                <w:u w:val="none"/>
                <w:lang w:val="en-US" w:eastAsia="zh-CN" w:bidi="ar"/>
              </w:rPr>
              <w:t>DW001</w:t>
            </w:r>
          </w:p>
        </w:tc>
        <w:tc>
          <w:tcPr>
            <w:tcW w:w="675" w:type="dxa"/>
            <w:vMerge w:val="restart"/>
            <w:noWrap w:val="0"/>
            <w:vAlign w:val="center"/>
          </w:tcPr>
          <w:p w14:paraId="22576B7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员工生活</w:t>
            </w:r>
          </w:p>
        </w:tc>
        <w:tc>
          <w:tcPr>
            <w:tcW w:w="660" w:type="dxa"/>
            <w:vMerge w:val="restart"/>
            <w:noWrap w:val="0"/>
            <w:vAlign w:val="center"/>
          </w:tcPr>
          <w:p w14:paraId="1015FE2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生活污水</w:t>
            </w:r>
          </w:p>
        </w:tc>
        <w:tc>
          <w:tcPr>
            <w:tcW w:w="930" w:type="dxa"/>
            <w:noWrap w:val="0"/>
            <w:vAlign w:val="center"/>
          </w:tcPr>
          <w:p w14:paraId="1DF7834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COD</w:t>
            </w:r>
          </w:p>
        </w:tc>
        <w:tc>
          <w:tcPr>
            <w:tcW w:w="1179" w:type="dxa"/>
            <w:noWrap w:val="0"/>
            <w:vAlign w:val="center"/>
          </w:tcPr>
          <w:p w14:paraId="1145F4C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4800</w:t>
            </w:r>
          </w:p>
        </w:tc>
        <w:tc>
          <w:tcPr>
            <w:tcW w:w="1217" w:type="dxa"/>
            <w:noWrap w:val="0"/>
            <w:vAlign w:val="center"/>
          </w:tcPr>
          <w:p w14:paraId="681C0ED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500</w:t>
            </w:r>
          </w:p>
        </w:tc>
        <w:tc>
          <w:tcPr>
            <w:tcW w:w="1263" w:type="dxa"/>
            <w:noWrap w:val="0"/>
            <w:vAlign w:val="center"/>
          </w:tcPr>
          <w:p w14:paraId="26D63FD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2.4</w:t>
            </w:r>
          </w:p>
        </w:tc>
        <w:tc>
          <w:tcPr>
            <w:tcW w:w="752" w:type="dxa"/>
            <w:vMerge w:val="restart"/>
            <w:noWrap w:val="0"/>
            <w:vAlign w:val="center"/>
          </w:tcPr>
          <w:p w14:paraId="6C47556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100</w:t>
            </w:r>
          </w:p>
        </w:tc>
        <w:tc>
          <w:tcPr>
            <w:tcW w:w="752" w:type="dxa"/>
            <w:vMerge w:val="restart"/>
            <w:noWrap w:val="0"/>
            <w:vAlign w:val="center"/>
          </w:tcPr>
          <w:p w14:paraId="3B6C125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生化池（格栅沉淀</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水解酸化</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沉淀）</w:t>
            </w:r>
          </w:p>
        </w:tc>
        <w:tc>
          <w:tcPr>
            <w:tcW w:w="753" w:type="dxa"/>
            <w:vMerge w:val="restart"/>
            <w:noWrap w:val="0"/>
            <w:vAlign w:val="center"/>
          </w:tcPr>
          <w:p w14:paraId="21A5D65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是</w:t>
            </w:r>
          </w:p>
        </w:tc>
        <w:tc>
          <w:tcPr>
            <w:tcW w:w="892" w:type="dxa"/>
            <w:vMerge w:val="restart"/>
            <w:noWrap w:val="0"/>
            <w:vAlign w:val="center"/>
          </w:tcPr>
          <w:p w14:paraId="5EADED3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4800.005</w:t>
            </w:r>
          </w:p>
        </w:tc>
        <w:tc>
          <w:tcPr>
            <w:tcW w:w="892" w:type="dxa"/>
            <w:noWrap w:val="0"/>
            <w:vAlign w:val="center"/>
          </w:tcPr>
          <w:p w14:paraId="38022DF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893" w:type="dxa"/>
            <w:noWrap w:val="0"/>
            <w:vAlign w:val="center"/>
          </w:tcPr>
          <w:p w14:paraId="390DAFA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103" w:type="dxa"/>
            <w:noWrap w:val="0"/>
            <w:vAlign w:val="center"/>
          </w:tcPr>
          <w:p w14:paraId="486F777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104" w:type="dxa"/>
            <w:noWrap w:val="0"/>
            <w:vAlign w:val="center"/>
          </w:tcPr>
          <w:p w14:paraId="53CA26E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r>
      <w:tr w14:paraId="1FDC6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2" w:type="dxa"/>
            <w:vMerge w:val="continue"/>
            <w:noWrap w:val="0"/>
            <w:vAlign w:val="center"/>
          </w:tcPr>
          <w:p w14:paraId="245C4509">
            <w:pPr>
              <w:jc w:val="center"/>
              <w:rPr>
                <w:rFonts w:hint="default" w:ascii="Times New Roman" w:hAnsi="Times New Roman" w:eastAsia="宋体" w:cs="Times New Roman"/>
                <w:i w:val="0"/>
                <w:iCs w:val="0"/>
                <w:color w:val="0000FF"/>
                <w:sz w:val="21"/>
                <w:szCs w:val="21"/>
                <w:u w:val="none"/>
              </w:rPr>
            </w:pPr>
          </w:p>
        </w:tc>
        <w:tc>
          <w:tcPr>
            <w:tcW w:w="675" w:type="dxa"/>
            <w:vMerge w:val="continue"/>
            <w:noWrap w:val="0"/>
            <w:vAlign w:val="center"/>
          </w:tcPr>
          <w:p w14:paraId="3F633031">
            <w:pPr>
              <w:jc w:val="center"/>
              <w:rPr>
                <w:rFonts w:hint="default" w:ascii="Times New Roman" w:hAnsi="Times New Roman" w:eastAsia="宋体" w:cs="Times New Roman"/>
                <w:i w:val="0"/>
                <w:iCs w:val="0"/>
                <w:color w:val="0000FF"/>
                <w:sz w:val="21"/>
                <w:szCs w:val="21"/>
                <w:u w:val="none"/>
              </w:rPr>
            </w:pPr>
          </w:p>
        </w:tc>
        <w:tc>
          <w:tcPr>
            <w:tcW w:w="660" w:type="dxa"/>
            <w:vMerge w:val="continue"/>
            <w:noWrap w:val="0"/>
            <w:vAlign w:val="center"/>
          </w:tcPr>
          <w:p w14:paraId="7DD47593">
            <w:pPr>
              <w:jc w:val="center"/>
              <w:rPr>
                <w:rFonts w:hint="default" w:ascii="Times New Roman" w:hAnsi="Times New Roman" w:eastAsia="宋体" w:cs="Times New Roman"/>
                <w:i w:val="0"/>
                <w:iCs w:val="0"/>
                <w:color w:val="0000FF"/>
                <w:sz w:val="21"/>
                <w:szCs w:val="21"/>
                <w:u w:val="none"/>
              </w:rPr>
            </w:pPr>
          </w:p>
        </w:tc>
        <w:tc>
          <w:tcPr>
            <w:tcW w:w="930" w:type="dxa"/>
            <w:noWrap w:val="0"/>
            <w:vAlign w:val="center"/>
          </w:tcPr>
          <w:p w14:paraId="1C6CFC3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BOD</w:t>
            </w:r>
            <w:r>
              <w:rPr>
                <w:rFonts w:hint="default" w:ascii="Times New Roman" w:hAnsi="Times New Roman" w:eastAsia="宋体" w:cs="Times New Roman"/>
                <w:i w:val="0"/>
                <w:iCs w:val="0"/>
                <w:color w:val="0000FF"/>
                <w:kern w:val="0"/>
                <w:sz w:val="21"/>
                <w:szCs w:val="21"/>
                <w:u w:val="none"/>
                <w:vertAlign w:val="subscript"/>
                <w:lang w:val="en-US" w:eastAsia="zh-CN" w:bidi="ar"/>
              </w:rPr>
              <w:t>5</w:t>
            </w:r>
          </w:p>
        </w:tc>
        <w:tc>
          <w:tcPr>
            <w:tcW w:w="1179" w:type="dxa"/>
            <w:noWrap w:val="0"/>
            <w:vAlign w:val="center"/>
          </w:tcPr>
          <w:p w14:paraId="0F3AC0B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4800</w:t>
            </w:r>
          </w:p>
        </w:tc>
        <w:tc>
          <w:tcPr>
            <w:tcW w:w="1217" w:type="dxa"/>
            <w:noWrap w:val="0"/>
            <w:vAlign w:val="center"/>
          </w:tcPr>
          <w:p w14:paraId="31AED03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220</w:t>
            </w:r>
          </w:p>
        </w:tc>
        <w:tc>
          <w:tcPr>
            <w:tcW w:w="1263" w:type="dxa"/>
            <w:noWrap w:val="0"/>
            <w:vAlign w:val="center"/>
          </w:tcPr>
          <w:p w14:paraId="1ED550A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1.056</w:t>
            </w:r>
          </w:p>
        </w:tc>
        <w:tc>
          <w:tcPr>
            <w:tcW w:w="752" w:type="dxa"/>
            <w:vMerge w:val="continue"/>
            <w:noWrap w:val="0"/>
            <w:vAlign w:val="center"/>
          </w:tcPr>
          <w:p w14:paraId="599692FF">
            <w:pPr>
              <w:jc w:val="center"/>
              <w:rPr>
                <w:rFonts w:hint="default" w:ascii="Times New Roman" w:hAnsi="Times New Roman" w:eastAsia="宋体" w:cs="Times New Roman"/>
                <w:i w:val="0"/>
                <w:iCs w:val="0"/>
                <w:color w:val="0000FF"/>
                <w:sz w:val="21"/>
                <w:szCs w:val="21"/>
                <w:u w:val="none"/>
              </w:rPr>
            </w:pPr>
          </w:p>
        </w:tc>
        <w:tc>
          <w:tcPr>
            <w:tcW w:w="752" w:type="dxa"/>
            <w:vMerge w:val="continue"/>
            <w:noWrap w:val="0"/>
            <w:vAlign w:val="center"/>
          </w:tcPr>
          <w:p w14:paraId="35FBEB8F">
            <w:pPr>
              <w:jc w:val="center"/>
              <w:rPr>
                <w:rFonts w:hint="default" w:ascii="Times New Roman" w:hAnsi="Times New Roman" w:eastAsia="宋体" w:cs="Times New Roman"/>
                <w:i w:val="0"/>
                <w:iCs w:val="0"/>
                <w:color w:val="0000FF"/>
                <w:sz w:val="21"/>
                <w:szCs w:val="21"/>
                <w:u w:val="none"/>
              </w:rPr>
            </w:pPr>
          </w:p>
        </w:tc>
        <w:tc>
          <w:tcPr>
            <w:tcW w:w="753" w:type="dxa"/>
            <w:vMerge w:val="continue"/>
            <w:noWrap w:val="0"/>
            <w:vAlign w:val="center"/>
          </w:tcPr>
          <w:p w14:paraId="5773A0AB">
            <w:pPr>
              <w:jc w:val="center"/>
              <w:rPr>
                <w:rFonts w:hint="default" w:ascii="Times New Roman" w:hAnsi="Times New Roman" w:eastAsia="宋体" w:cs="Times New Roman"/>
                <w:i w:val="0"/>
                <w:iCs w:val="0"/>
                <w:color w:val="0000FF"/>
                <w:sz w:val="21"/>
                <w:szCs w:val="21"/>
                <w:u w:val="none"/>
              </w:rPr>
            </w:pPr>
          </w:p>
        </w:tc>
        <w:tc>
          <w:tcPr>
            <w:tcW w:w="892" w:type="dxa"/>
            <w:vMerge w:val="continue"/>
            <w:noWrap w:val="0"/>
            <w:vAlign w:val="center"/>
          </w:tcPr>
          <w:p w14:paraId="102A27D9">
            <w:pPr>
              <w:jc w:val="center"/>
              <w:rPr>
                <w:rFonts w:hint="default" w:ascii="Times New Roman" w:hAnsi="Times New Roman" w:eastAsia="宋体" w:cs="Times New Roman"/>
                <w:i w:val="0"/>
                <w:iCs w:val="0"/>
                <w:color w:val="0000FF"/>
                <w:sz w:val="21"/>
                <w:szCs w:val="21"/>
                <w:u w:val="none"/>
              </w:rPr>
            </w:pPr>
          </w:p>
        </w:tc>
        <w:tc>
          <w:tcPr>
            <w:tcW w:w="892" w:type="dxa"/>
            <w:noWrap w:val="0"/>
            <w:vAlign w:val="center"/>
          </w:tcPr>
          <w:p w14:paraId="3DE163D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893" w:type="dxa"/>
            <w:noWrap w:val="0"/>
            <w:vAlign w:val="center"/>
          </w:tcPr>
          <w:p w14:paraId="2E2BEF5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103" w:type="dxa"/>
            <w:noWrap w:val="0"/>
            <w:vAlign w:val="center"/>
          </w:tcPr>
          <w:p w14:paraId="038CC69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104" w:type="dxa"/>
            <w:noWrap w:val="0"/>
            <w:vAlign w:val="center"/>
          </w:tcPr>
          <w:p w14:paraId="5193FA0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r>
      <w:tr w14:paraId="0EF07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2" w:type="dxa"/>
            <w:vMerge w:val="continue"/>
            <w:noWrap w:val="0"/>
            <w:vAlign w:val="center"/>
          </w:tcPr>
          <w:p w14:paraId="392CCECB">
            <w:pPr>
              <w:jc w:val="center"/>
              <w:rPr>
                <w:rFonts w:hint="default" w:ascii="Times New Roman" w:hAnsi="Times New Roman" w:eastAsia="宋体" w:cs="Times New Roman"/>
                <w:i w:val="0"/>
                <w:iCs w:val="0"/>
                <w:color w:val="0000FF"/>
                <w:sz w:val="21"/>
                <w:szCs w:val="21"/>
                <w:u w:val="none"/>
              </w:rPr>
            </w:pPr>
          </w:p>
        </w:tc>
        <w:tc>
          <w:tcPr>
            <w:tcW w:w="675" w:type="dxa"/>
            <w:vMerge w:val="continue"/>
            <w:noWrap w:val="0"/>
            <w:vAlign w:val="center"/>
          </w:tcPr>
          <w:p w14:paraId="462CC4A7">
            <w:pPr>
              <w:jc w:val="center"/>
              <w:rPr>
                <w:rFonts w:hint="default" w:ascii="Times New Roman" w:hAnsi="Times New Roman" w:eastAsia="宋体" w:cs="Times New Roman"/>
                <w:i w:val="0"/>
                <w:iCs w:val="0"/>
                <w:color w:val="0000FF"/>
                <w:sz w:val="21"/>
                <w:szCs w:val="21"/>
                <w:u w:val="none"/>
              </w:rPr>
            </w:pPr>
          </w:p>
        </w:tc>
        <w:tc>
          <w:tcPr>
            <w:tcW w:w="660" w:type="dxa"/>
            <w:vMerge w:val="continue"/>
            <w:noWrap w:val="0"/>
            <w:vAlign w:val="center"/>
          </w:tcPr>
          <w:p w14:paraId="61CCABB9">
            <w:pPr>
              <w:jc w:val="center"/>
              <w:rPr>
                <w:rFonts w:hint="default" w:ascii="Times New Roman" w:hAnsi="Times New Roman" w:eastAsia="宋体" w:cs="Times New Roman"/>
                <w:i w:val="0"/>
                <w:iCs w:val="0"/>
                <w:color w:val="0000FF"/>
                <w:sz w:val="21"/>
                <w:szCs w:val="21"/>
                <w:u w:val="none"/>
              </w:rPr>
            </w:pPr>
          </w:p>
        </w:tc>
        <w:tc>
          <w:tcPr>
            <w:tcW w:w="930" w:type="dxa"/>
            <w:noWrap w:val="0"/>
            <w:vAlign w:val="center"/>
          </w:tcPr>
          <w:p w14:paraId="7A8833F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SS</w:t>
            </w:r>
          </w:p>
        </w:tc>
        <w:tc>
          <w:tcPr>
            <w:tcW w:w="1179" w:type="dxa"/>
            <w:noWrap w:val="0"/>
            <w:vAlign w:val="center"/>
          </w:tcPr>
          <w:p w14:paraId="39501D5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4800</w:t>
            </w:r>
          </w:p>
        </w:tc>
        <w:tc>
          <w:tcPr>
            <w:tcW w:w="1217" w:type="dxa"/>
            <w:noWrap w:val="0"/>
            <w:vAlign w:val="center"/>
          </w:tcPr>
          <w:p w14:paraId="78D56D1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350</w:t>
            </w:r>
          </w:p>
        </w:tc>
        <w:tc>
          <w:tcPr>
            <w:tcW w:w="1263" w:type="dxa"/>
            <w:noWrap w:val="0"/>
            <w:vAlign w:val="center"/>
          </w:tcPr>
          <w:p w14:paraId="3B20B5B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1.68</w:t>
            </w:r>
          </w:p>
        </w:tc>
        <w:tc>
          <w:tcPr>
            <w:tcW w:w="752" w:type="dxa"/>
            <w:vMerge w:val="continue"/>
            <w:noWrap w:val="0"/>
            <w:vAlign w:val="center"/>
          </w:tcPr>
          <w:p w14:paraId="07FF98BA">
            <w:pPr>
              <w:jc w:val="center"/>
              <w:rPr>
                <w:rFonts w:hint="default" w:ascii="Times New Roman" w:hAnsi="Times New Roman" w:eastAsia="宋体" w:cs="Times New Roman"/>
                <w:i w:val="0"/>
                <w:iCs w:val="0"/>
                <w:color w:val="0000FF"/>
                <w:sz w:val="21"/>
                <w:szCs w:val="21"/>
                <w:u w:val="none"/>
              </w:rPr>
            </w:pPr>
          </w:p>
        </w:tc>
        <w:tc>
          <w:tcPr>
            <w:tcW w:w="752" w:type="dxa"/>
            <w:vMerge w:val="continue"/>
            <w:noWrap w:val="0"/>
            <w:vAlign w:val="center"/>
          </w:tcPr>
          <w:p w14:paraId="27B2F2B2">
            <w:pPr>
              <w:jc w:val="center"/>
              <w:rPr>
                <w:rFonts w:hint="default" w:ascii="Times New Roman" w:hAnsi="Times New Roman" w:eastAsia="宋体" w:cs="Times New Roman"/>
                <w:i w:val="0"/>
                <w:iCs w:val="0"/>
                <w:color w:val="0000FF"/>
                <w:sz w:val="21"/>
                <w:szCs w:val="21"/>
                <w:u w:val="none"/>
              </w:rPr>
            </w:pPr>
          </w:p>
        </w:tc>
        <w:tc>
          <w:tcPr>
            <w:tcW w:w="753" w:type="dxa"/>
            <w:vMerge w:val="continue"/>
            <w:noWrap w:val="0"/>
            <w:vAlign w:val="center"/>
          </w:tcPr>
          <w:p w14:paraId="3ED03913">
            <w:pPr>
              <w:jc w:val="center"/>
              <w:rPr>
                <w:rFonts w:hint="default" w:ascii="Times New Roman" w:hAnsi="Times New Roman" w:eastAsia="宋体" w:cs="Times New Roman"/>
                <w:i w:val="0"/>
                <w:iCs w:val="0"/>
                <w:color w:val="0000FF"/>
                <w:sz w:val="21"/>
                <w:szCs w:val="21"/>
                <w:u w:val="none"/>
              </w:rPr>
            </w:pPr>
          </w:p>
        </w:tc>
        <w:tc>
          <w:tcPr>
            <w:tcW w:w="892" w:type="dxa"/>
            <w:vMerge w:val="continue"/>
            <w:noWrap w:val="0"/>
            <w:vAlign w:val="center"/>
          </w:tcPr>
          <w:p w14:paraId="15C8B7E5">
            <w:pPr>
              <w:jc w:val="center"/>
              <w:rPr>
                <w:rFonts w:hint="default" w:ascii="Times New Roman" w:hAnsi="Times New Roman" w:eastAsia="宋体" w:cs="Times New Roman"/>
                <w:i w:val="0"/>
                <w:iCs w:val="0"/>
                <w:color w:val="0000FF"/>
                <w:sz w:val="21"/>
                <w:szCs w:val="21"/>
                <w:u w:val="none"/>
              </w:rPr>
            </w:pPr>
          </w:p>
        </w:tc>
        <w:tc>
          <w:tcPr>
            <w:tcW w:w="892" w:type="dxa"/>
            <w:noWrap w:val="0"/>
            <w:vAlign w:val="center"/>
          </w:tcPr>
          <w:p w14:paraId="142401D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893" w:type="dxa"/>
            <w:noWrap w:val="0"/>
            <w:vAlign w:val="center"/>
          </w:tcPr>
          <w:p w14:paraId="4B34EAE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103" w:type="dxa"/>
            <w:noWrap w:val="0"/>
            <w:vAlign w:val="center"/>
          </w:tcPr>
          <w:p w14:paraId="14EA7D3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104" w:type="dxa"/>
            <w:noWrap w:val="0"/>
            <w:vAlign w:val="center"/>
          </w:tcPr>
          <w:p w14:paraId="37A5504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r>
      <w:tr w14:paraId="477B0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2" w:type="dxa"/>
            <w:vMerge w:val="continue"/>
            <w:noWrap w:val="0"/>
            <w:vAlign w:val="center"/>
          </w:tcPr>
          <w:p w14:paraId="43ED8F0A">
            <w:pPr>
              <w:jc w:val="center"/>
              <w:rPr>
                <w:rFonts w:hint="default" w:ascii="Times New Roman" w:hAnsi="Times New Roman" w:eastAsia="宋体" w:cs="Times New Roman"/>
                <w:i w:val="0"/>
                <w:iCs w:val="0"/>
                <w:color w:val="0000FF"/>
                <w:sz w:val="21"/>
                <w:szCs w:val="21"/>
                <w:u w:val="none"/>
              </w:rPr>
            </w:pPr>
          </w:p>
        </w:tc>
        <w:tc>
          <w:tcPr>
            <w:tcW w:w="675" w:type="dxa"/>
            <w:vMerge w:val="continue"/>
            <w:noWrap w:val="0"/>
            <w:vAlign w:val="center"/>
          </w:tcPr>
          <w:p w14:paraId="268E15BF">
            <w:pPr>
              <w:jc w:val="center"/>
              <w:rPr>
                <w:rFonts w:hint="default" w:ascii="Times New Roman" w:hAnsi="Times New Roman" w:eastAsia="宋体" w:cs="Times New Roman"/>
                <w:i w:val="0"/>
                <w:iCs w:val="0"/>
                <w:color w:val="0000FF"/>
                <w:sz w:val="21"/>
                <w:szCs w:val="21"/>
                <w:u w:val="none"/>
              </w:rPr>
            </w:pPr>
          </w:p>
        </w:tc>
        <w:tc>
          <w:tcPr>
            <w:tcW w:w="660" w:type="dxa"/>
            <w:vMerge w:val="continue"/>
            <w:noWrap w:val="0"/>
            <w:vAlign w:val="center"/>
          </w:tcPr>
          <w:p w14:paraId="5F96EB72">
            <w:pPr>
              <w:jc w:val="center"/>
              <w:rPr>
                <w:rFonts w:hint="default" w:ascii="Times New Roman" w:hAnsi="Times New Roman" w:eastAsia="宋体" w:cs="Times New Roman"/>
                <w:i w:val="0"/>
                <w:iCs w:val="0"/>
                <w:color w:val="0000FF"/>
                <w:sz w:val="21"/>
                <w:szCs w:val="21"/>
                <w:u w:val="none"/>
              </w:rPr>
            </w:pPr>
          </w:p>
        </w:tc>
        <w:tc>
          <w:tcPr>
            <w:tcW w:w="930" w:type="dxa"/>
            <w:noWrap w:val="0"/>
            <w:vAlign w:val="center"/>
          </w:tcPr>
          <w:p w14:paraId="1C5F2A3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NH</w:t>
            </w:r>
            <w:r>
              <w:rPr>
                <w:rFonts w:hint="default" w:ascii="Times New Roman" w:hAnsi="Times New Roman" w:eastAsia="宋体" w:cs="Times New Roman"/>
                <w:i w:val="0"/>
                <w:iCs w:val="0"/>
                <w:color w:val="0000FF"/>
                <w:kern w:val="0"/>
                <w:sz w:val="21"/>
                <w:szCs w:val="21"/>
                <w:u w:val="none"/>
                <w:vertAlign w:val="subscript"/>
                <w:lang w:val="en-US" w:eastAsia="zh-CN" w:bidi="ar"/>
              </w:rPr>
              <w:t>3</w:t>
            </w:r>
            <w:r>
              <w:rPr>
                <w:rFonts w:hint="default" w:ascii="Times New Roman" w:hAnsi="Times New Roman" w:eastAsia="宋体" w:cs="Times New Roman"/>
                <w:i w:val="0"/>
                <w:iCs w:val="0"/>
                <w:color w:val="0000FF"/>
                <w:kern w:val="0"/>
                <w:sz w:val="21"/>
                <w:szCs w:val="21"/>
                <w:u w:val="none"/>
                <w:lang w:val="en-US" w:eastAsia="zh-CN" w:bidi="ar"/>
              </w:rPr>
              <w:t>-N</w:t>
            </w:r>
          </w:p>
        </w:tc>
        <w:tc>
          <w:tcPr>
            <w:tcW w:w="1179" w:type="dxa"/>
            <w:noWrap w:val="0"/>
            <w:vAlign w:val="center"/>
          </w:tcPr>
          <w:p w14:paraId="5A5D57D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4800</w:t>
            </w:r>
          </w:p>
        </w:tc>
        <w:tc>
          <w:tcPr>
            <w:tcW w:w="1217" w:type="dxa"/>
            <w:noWrap w:val="0"/>
            <w:vAlign w:val="center"/>
          </w:tcPr>
          <w:p w14:paraId="342CE3B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50</w:t>
            </w:r>
          </w:p>
        </w:tc>
        <w:tc>
          <w:tcPr>
            <w:tcW w:w="1263" w:type="dxa"/>
            <w:noWrap w:val="0"/>
            <w:vAlign w:val="center"/>
          </w:tcPr>
          <w:p w14:paraId="0191AB2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0.24</w:t>
            </w:r>
          </w:p>
        </w:tc>
        <w:tc>
          <w:tcPr>
            <w:tcW w:w="752" w:type="dxa"/>
            <w:vMerge w:val="continue"/>
            <w:noWrap w:val="0"/>
            <w:vAlign w:val="center"/>
          </w:tcPr>
          <w:p w14:paraId="71051E1D">
            <w:pPr>
              <w:jc w:val="center"/>
              <w:rPr>
                <w:rFonts w:hint="default" w:ascii="Times New Roman" w:hAnsi="Times New Roman" w:eastAsia="宋体" w:cs="Times New Roman"/>
                <w:i w:val="0"/>
                <w:iCs w:val="0"/>
                <w:color w:val="0000FF"/>
                <w:sz w:val="21"/>
                <w:szCs w:val="21"/>
                <w:u w:val="none"/>
              </w:rPr>
            </w:pPr>
          </w:p>
        </w:tc>
        <w:tc>
          <w:tcPr>
            <w:tcW w:w="752" w:type="dxa"/>
            <w:vMerge w:val="continue"/>
            <w:noWrap w:val="0"/>
            <w:vAlign w:val="center"/>
          </w:tcPr>
          <w:p w14:paraId="69616EBB">
            <w:pPr>
              <w:jc w:val="center"/>
              <w:rPr>
                <w:rFonts w:hint="default" w:ascii="Times New Roman" w:hAnsi="Times New Roman" w:eastAsia="宋体" w:cs="Times New Roman"/>
                <w:i w:val="0"/>
                <w:iCs w:val="0"/>
                <w:color w:val="0000FF"/>
                <w:sz w:val="21"/>
                <w:szCs w:val="21"/>
                <w:u w:val="none"/>
              </w:rPr>
            </w:pPr>
          </w:p>
        </w:tc>
        <w:tc>
          <w:tcPr>
            <w:tcW w:w="753" w:type="dxa"/>
            <w:vMerge w:val="continue"/>
            <w:noWrap w:val="0"/>
            <w:vAlign w:val="center"/>
          </w:tcPr>
          <w:p w14:paraId="4F32156B">
            <w:pPr>
              <w:jc w:val="center"/>
              <w:rPr>
                <w:rFonts w:hint="default" w:ascii="Times New Roman" w:hAnsi="Times New Roman" w:eastAsia="宋体" w:cs="Times New Roman"/>
                <w:i w:val="0"/>
                <w:iCs w:val="0"/>
                <w:color w:val="0000FF"/>
                <w:sz w:val="21"/>
                <w:szCs w:val="21"/>
                <w:u w:val="none"/>
              </w:rPr>
            </w:pPr>
          </w:p>
        </w:tc>
        <w:tc>
          <w:tcPr>
            <w:tcW w:w="892" w:type="dxa"/>
            <w:vMerge w:val="continue"/>
            <w:noWrap w:val="0"/>
            <w:vAlign w:val="center"/>
          </w:tcPr>
          <w:p w14:paraId="371F1718">
            <w:pPr>
              <w:jc w:val="center"/>
              <w:rPr>
                <w:rFonts w:hint="default" w:ascii="Times New Roman" w:hAnsi="Times New Roman" w:eastAsia="宋体" w:cs="Times New Roman"/>
                <w:i w:val="0"/>
                <w:iCs w:val="0"/>
                <w:color w:val="0000FF"/>
                <w:sz w:val="21"/>
                <w:szCs w:val="21"/>
                <w:u w:val="none"/>
              </w:rPr>
            </w:pPr>
          </w:p>
        </w:tc>
        <w:tc>
          <w:tcPr>
            <w:tcW w:w="892" w:type="dxa"/>
            <w:noWrap w:val="0"/>
            <w:vAlign w:val="center"/>
          </w:tcPr>
          <w:p w14:paraId="137E39E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893" w:type="dxa"/>
            <w:noWrap w:val="0"/>
            <w:vAlign w:val="center"/>
          </w:tcPr>
          <w:p w14:paraId="09BBB10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103" w:type="dxa"/>
            <w:noWrap w:val="0"/>
            <w:vAlign w:val="center"/>
          </w:tcPr>
          <w:p w14:paraId="5E825B4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104" w:type="dxa"/>
            <w:noWrap w:val="0"/>
            <w:vAlign w:val="center"/>
          </w:tcPr>
          <w:p w14:paraId="2A26305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r>
      <w:tr w14:paraId="75BFD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2" w:type="dxa"/>
            <w:vMerge w:val="continue"/>
            <w:noWrap w:val="0"/>
            <w:vAlign w:val="center"/>
          </w:tcPr>
          <w:p w14:paraId="4C9B2464">
            <w:pPr>
              <w:jc w:val="center"/>
              <w:rPr>
                <w:rFonts w:hint="default" w:ascii="Times New Roman" w:hAnsi="Times New Roman" w:eastAsia="宋体" w:cs="Times New Roman"/>
                <w:i w:val="0"/>
                <w:iCs w:val="0"/>
                <w:color w:val="0000FF"/>
                <w:sz w:val="21"/>
                <w:szCs w:val="21"/>
                <w:u w:val="none"/>
              </w:rPr>
            </w:pPr>
          </w:p>
        </w:tc>
        <w:tc>
          <w:tcPr>
            <w:tcW w:w="675" w:type="dxa"/>
            <w:vMerge w:val="continue"/>
            <w:noWrap w:val="0"/>
            <w:vAlign w:val="center"/>
          </w:tcPr>
          <w:p w14:paraId="11A8DEEA">
            <w:pPr>
              <w:jc w:val="center"/>
              <w:rPr>
                <w:rFonts w:hint="default" w:ascii="Times New Roman" w:hAnsi="Times New Roman" w:eastAsia="宋体" w:cs="Times New Roman"/>
                <w:i w:val="0"/>
                <w:iCs w:val="0"/>
                <w:color w:val="0000FF"/>
                <w:sz w:val="21"/>
                <w:szCs w:val="21"/>
                <w:u w:val="none"/>
              </w:rPr>
            </w:pPr>
          </w:p>
        </w:tc>
        <w:tc>
          <w:tcPr>
            <w:tcW w:w="660" w:type="dxa"/>
            <w:vMerge w:val="continue"/>
            <w:noWrap w:val="0"/>
            <w:vAlign w:val="center"/>
          </w:tcPr>
          <w:p w14:paraId="4064741B">
            <w:pPr>
              <w:jc w:val="center"/>
              <w:rPr>
                <w:rFonts w:hint="default" w:ascii="Times New Roman" w:hAnsi="Times New Roman" w:eastAsia="宋体" w:cs="Times New Roman"/>
                <w:i w:val="0"/>
                <w:iCs w:val="0"/>
                <w:color w:val="0000FF"/>
                <w:sz w:val="21"/>
                <w:szCs w:val="21"/>
                <w:u w:val="none"/>
              </w:rPr>
            </w:pPr>
          </w:p>
        </w:tc>
        <w:tc>
          <w:tcPr>
            <w:tcW w:w="930" w:type="dxa"/>
            <w:noWrap w:val="0"/>
            <w:vAlign w:val="center"/>
          </w:tcPr>
          <w:p w14:paraId="4493B17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TP</w:t>
            </w:r>
          </w:p>
        </w:tc>
        <w:tc>
          <w:tcPr>
            <w:tcW w:w="1179" w:type="dxa"/>
            <w:noWrap w:val="0"/>
            <w:vAlign w:val="center"/>
          </w:tcPr>
          <w:p w14:paraId="11838AB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4800</w:t>
            </w:r>
          </w:p>
        </w:tc>
        <w:tc>
          <w:tcPr>
            <w:tcW w:w="1217" w:type="dxa"/>
            <w:noWrap w:val="0"/>
            <w:vAlign w:val="center"/>
          </w:tcPr>
          <w:p w14:paraId="1B2D419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6.96</w:t>
            </w:r>
          </w:p>
        </w:tc>
        <w:tc>
          <w:tcPr>
            <w:tcW w:w="1263" w:type="dxa"/>
            <w:noWrap w:val="0"/>
            <w:vAlign w:val="center"/>
          </w:tcPr>
          <w:p w14:paraId="4E154A0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0.0334</w:t>
            </w:r>
          </w:p>
        </w:tc>
        <w:tc>
          <w:tcPr>
            <w:tcW w:w="752" w:type="dxa"/>
            <w:vMerge w:val="continue"/>
            <w:noWrap w:val="0"/>
            <w:vAlign w:val="center"/>
          </w:tcPr>
          <w:p w14:paraId="27221B15">
            <w:pPr>
              <w:jc w:val="center"/>
              <w:rPr>
                <w:rFonts w:hint="default" w:ascii="Times New Roman" w:hAnsi="Times New Roman" w:eastAsia="宋体" w:cs="Times New Roman"/>
                <w:b/>
                <w:bCs/>
                <w:i w:val="0"/>
                <w:iCs w:val="0"/>
                <w:color w:val="0000FF"/>
                <w:sz w:val="21"/>
                <w:szCs w:val="21"/>
                <w:u w:val="none"/>
              </w:rPr>
            </w:pPr>
          </w:p>
        </w:tc>
        <w:tc>
          <w:tcPr>
            <w:tcW w:w="752" w:type="dxa"/>
            <w:vMerge w:val="continue"/>
            <w:noWrap w:val="0"/>
            <w:vAlign w:val="center"/>
          </w:tcPr>
          <w:p w14:paraId="5E964D09">
            <w:pPr>
              <w:jc w:val="center"/>
              <w:rPr>
                <w:rFonts w:hint="default" w:ascii="Times New Roman" w:hAnsi="Times New Roman" w:eastAsia="宋体" w:cs="Times New Roman"/>
                <w:b/>
                <w:bCs/>
                <w:i w:val="0"/>
                <w:iCs w:val="0"/>
                <w:color w:val="0000FF"/>
                <w:sz w:val="21"/>
                <w:szCs w:val="21"/>
                <w:u w:val="none"/>
              </w:rPr>
            </w:pPr>
          </w:p>
        </w:tc>
        <w:tc>
          <w:tcPr>
            <w:tcW w:w="753" w:type="dxa"/>
            <w:vMerge w:val="continue"/>
            <w:noWrap w:val="0"/>
            <w:vAlign w:val="center"/>
          </w:tcPr>
          <w:p w14:paraId="79ECA532">
            <w:pPr>
              <w:jc w:val="center"/>
              <w:rPr>
                <w:rFonts w:hint="default" w:ascii="Times New Roman" w:hAnsi="Times New Roman" w:eastAsia="宋体" w:cs="Times New Roman"/>
                <w:i w:val="0"/>
                <w:iCs w:val="0"/>
                <w:color w:val="0000FF"/>
                <w:sz w:val="21"/>
                <w:szCs w:val="21"/>
                <w:u w:val="none"/>
              </w:rPr>
            </w:pPr>
          </w:p>
        </w:tc>
        <w:tc>
          <w:tcPr>
            <w:tcW w:w="892" w:type="dxa"/>
            <w:vMerge w:val="continue"/>
            <w:noWrap w:val="0"/>
            <w:vAlign w:val="center"/>
          </w:tcPr>
          <w:p w14:paraId="749DAFE9">
            <w:pPr>
              <w:jc w:val="center"/>
              <w:rPr>
                <w:rFonts w:hint="default" w:ascii="Times New Roman" w:hAnsi="Times New Roman" w:eastAsia="宋体" w:cs="Times New Roman"/>
                <w:i w:val="0"/>
                <w:iCs w:val="0"/>
                <w:color w:val="0000FF"/>
                <w:sz w:val="21"/>
                <w:szCs w:val="21"/>
                <w:u w:val="none"/>
              </w:rPr>
            </w:pPr>
          </w:p>
        </w:tc>
        <w:tc>
          <w:tcPr>
            <w:tcW w:w="892" w:type="dxa"/>
            <w:noWrap w:val="0"/>
            <w:vAlign w:val="center"/>
          </w:tcPr>
          <w:p w14:paraId="6680048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893" w:type="dxa"/>
            <w:noWrap w:val="0"/>
            <w:vAlign w:val="center"/>
          </w:tcPr>
          <w:p w14:paraId="7027356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103" w:type="dxa"/>
            <w:noWrap w:val="0"/>
            <w:vAlign w:val="center"/>
          </w:tcPr>
          <w:p w14:paraId="4D0A8B5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104" w:type="dxa"/>
            <w:noWrap w:val="0"/>
            <w:vAlign w:val="center"/>
          </w:tcPr>
          <w:p w14:paraId="5CC6746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r>
      <w:tr w14:paraId="3370B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2" w:type="dxa"/>
            <w:vMerge w:val="continue"/>
            <w:noWrap w:val="0"/>
            <w:vAlign w:val="center"/>
          </w:tcPr>
          <w:p w14:paraId="15BE3FDC">
            <w:pPr>
              <w:jc w:val="center"/>
              <w:rPr>
                <w:rFonts w:hint="default" w:ascii="Times New Roman" w:hAnsi="Times New Roman" w:eastAsia="宋体" w:cs="Times New Roman"/>
                <w:i w:val="0"/>
                <w:iCs w:val="0"/>
                <w:color w:val="0000FF"/>
                <w:sz w:val="21"/>
                <w:szCs w:val="21"/>
                <w:u w:val="none"/>
              </w:rPr>
            </w:pPr>
          </w:p>
        </w:tc>
        <w:tc>
          <w:tcPr>
            <w:tcW w:w="675" w:type="dxa"/>
            <w:vMerge w:val="restart"/>
            <w:noWrap w:val="0"/>
            <w:vAlign w:val="center"/>
          </w:tcPr>
          <w:p w14:paraId="5FF7CE2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盐雾试验</w:t>
            </w:r>
          </w:p>
        </w:tc>
        <w:tc>
          <w:tcPr>
            <w:tcW w:w="660" w:type="dxa"/>
            <w:vMerge w:val="restart"/>
            <w:noWrap w:val="0"/>
            <w:vAlign w:val="center"/>
          </w:tcPr>
          <w:p w14:paraId="17F7EFD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盐雾试验废水</w:t>
            </w:r>
          </w:p>
        </w:tc>
        <w:tc>
          <w:tcPr>
            <w:tcW w:w="930" w:type="dxa"/>
            <w:noWrap w:val="0"/>
            <w:vAlign w:val="center"/>
          </w:tcPr>
          <w:p w14:paraId="6CBB117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COD</w:t>
            </w:r>
          </w:p>
        </w:tc>
        <w:tc>
          <w:tcPr>
            <w:tcW w:w="1179" w:type="dxa"/>
            <w:noWrap w:val="0"/>
            <w:vAlign w:val="center"/>
          </w:tcPr>
          <w:p w14:paraId="3E735D8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0.005</w:t>
            </w:r>
          </w:p>
        </w:tc>
        <w:tc>
          <w:tcPr>
            <w:tcW w:w="1217" w:type="dxa"/>
            <w:noWrap w:val="0"/>
            <w:vAlign w:val="center"/>
          </w:tcPr>
          <w:p w14:paraId="2728207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150</w:t>
            </w:r>
          </w:p>
        </w:tc>
        <w:tc>
          <w:tcPr>
            <w:tcW w:w="1263" w:type="dxa"/>
            <w:noWrap w:val="0"/>
            <w:vAlign w:val="center"/>
          </w:tcPr>
          <w:p w14:paraId="33D8709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0.00000075</w:t>
            </w:r>
          </w:p>
        </w:tc>
        <w:tc>
          <w:tcPr>
            <w:tcW w:w="752" w:type="dxa"/>
            <w:vMerge w:val="continue"/>
            <w:noWrap w:val="0"/>
            <w:vAlign w:val="center"/>
          </w:tcPr>
          <w:p w14:paraId="0CAD3B60">
            <w:pPr>
              <w:jc w:val="center"/>
              <w:rPr>
                <w:rFonts w:hint="default" w:ascii="Times New Roman" w:hAnsi="Times New Roman" w:eastAsia="宋体" w:cs="Times New Roman"/>
                <w:b/>
                <w:bCs/>
                <w:i w:val="0"/>
                <w:iCs w:val="0"/>
                <w:color w:val="0000FF"/>
                <w:sz w:val="21"/>
                <w:szCs w:val="21"/>
                <w:u w:val="none"/>
              </w:rPr>
            </w:pPr>
          </w:p>
        </w:tc>
        <w:tc>
          <w:tcPr>
            <w:tcW w:w="752" w:type="dxa"/>
            <w:vMerge w:val="continue"/>
            <w:noWrap w:val="0"/>
            <w:vAlign w:val="center"/>
          </w:tcPr>
          <w:p w14:paraId="74079B95">
            <w:pPr>
              <w:jc w:val="center"/>
              <w:rPr>
                <w:rFonts w:hint="default" w:ascii="Times New Roman" w:hAnsi="Times New Roman" w:eastAsia="宋体" w:cs="Times New Roman"/>
                <w:b/>
                <w:bCs/>
                <w:i w:val="0"/>
                <w:iCs w:val="0"/>
                <w:color w:val="0000FF"/>
                <w:sz w:val="21"/>
                <w:szCs w:val="21"/>
                <w:u w:val="none"/>
              </w:rPr>
            </w:pPr>
          </w:p>
        </w:tc>
        <w:tc>
          <w:tcPr>
            <w:tcW w:w="753" w:type="dxa"/>
            <w:vMerge w:val="continue"/>
            <w:noWrap w:val="0"/>
            <w:vAlign w:val="center"/>
          </w:tcPr>
          <w:p w14:paraId="236FC2CB">
            <w:pPr>
              <w:jc w:val="center"/>
              <w:rPr>
                <w:rFonts w:hint="default" w:ascii="Times New Roman" w:hAnsi="Times New Roman" w:eastAsia="宋体" w:cs="Times New Roman"/>
                <w:i w:val="0"/>
                <w:iCs w:val="0"/>
                <w:color w:val="0000FF"/>
                <w:sz w:val="21"/>
                <w:szCs w:val="21"/>
                <w:u w:val="none"/>
              </w:rPr>
            </w:pPr>
          </w:p>
        </w:tc>
        <w:tc>
          <w:tcPr>
            <w:tcW w:w="892" w:type="dxa"/>
            <w:vMerge w:val="continue"/>
            <w:noWrap w:val="0"/>
            <w:vAlign w:val="center"/>
          </w:tcPr>
          <w:p w14:paraId="4BCF1929">
            <w:pPr>
              <w:jc w:val="center"/>
              <w:rPr>
                <w:rFonts w:hint="default" w:ascii="Times New Roman" w:hAnsi="Times New Roman" w:eastAsia="宋体" w:cs="Times New Roman"/>
                <w:i w:val="0"/>
                <w:iCs w:val="0"/>
                <w:color w:val="0000FF"/>
                <w:sz w:val="21"/>
                <w:szCs w:val="21"/>
                <w:u w:val="none"/>
              </w:rPr>
            </w:pPr>
          </w:p>
        </w:tc>
        <w:tc>
          <w:tcPr>
            <w:tcW w:w="892" w:type="dxa"/>
            <w:noWrap w:val="0"/>
            <w:vAlign w:val="center"/>
          </w:tcPr>
          <w:p w14:paraId="028BA84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893" w:type="dxa"/>
            <w:noWrap w:val="0"/>
            <w:vAlign w:val="center"/>
          </w:tcPr>
          <w:p w14:paraId="6EFF3D7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103" w:type="dxa"/>
            <w:noWrap w:val="0"/>
            <w:vAlign w:val="center"/>
          </w:tcPr>
          <w:p w14:paraId="5BAECE8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104" w:type="dxa"/>
            <w:noWrap w:val="0"/>
            <w:vAlign w:val="center"/>
          </w:tcPr>
          <w:p w14:paraId="4223280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r>
      <w:tr w14:paraId="0E95F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82" w:type="dxa"/>
            <w:vMerge w:val="continue"/>
            <w:noWrap w:val="0"/>
            <w:vAlign w:val="center"/>
          </w:tcPr>
          <w:p w14:paraId="20427E0A">
            <w:pPr>
              <w:jc w:val="center"/>
              <w:rPr>
                <w:rFonts w:hint="default" w:ascii="Times New Roman" w:hAnsi="Times New Roman" w:eastAsia="宋体" w:cs="Times New Roman"/>
                <w:i w:val="0"/>
                <w:iCs w:val="0"/>
                <w:color w:val="0000FF"/>
                <w:sz w:val="21"/>
                <w:szCs w:val="21"/>
                <w:u w:val="none"/>
              </w:rPr>
            </w:pPr>
          </w:p>
        </w:tc>
        <w:tc>
          <w:tcPr>
            <w:tcW w:w="675" w:type="dxa"/>
            <w:vMerge w:val="continue"/>
            <w:noWrap w:val="0"/>
            <w:vAlign w:val="center"/>
          </w:tcPr>
          <w:p w14:paraId="5273575D">
            <w:pPr>
              <w:jc w:val="center"/>
              <w:rPr>
                <w:rFonts w:hint="default" w:ascii="Times New Roman" w:hAnsi="Times New Roman" w:cs="Times New Roman"/>
                <w:color w:val="0000FF"/>
                <w:sz w:val="21"/>
                <w:szCs w:val="21"/>
              </w:rPr>
            </w:pPr>
          </w:p>
        </w:tc>
        <w:tc>
          <w:tcPr>
            <w:tcW w:w="660" w:type="dxa"/>
            <w:vMerge w:val="continue"/>
            <w:noWrap w:val="0"/>
            <w:vAlign w:val="center"/>
          </w:tcPr>
          <w:p w14:paraId="257A9E81">
            <w:pPr>
              <w:jc w:val="center"/>
              <w:rPr>
                <w:rFonts w:hint="default" w:ascii="Times New Roman" w:hAnsi="Times New Roman" w:eastAsia="宋体" w:cs="Times New Roman"/>
                <w:i w:val="0"/>
                <w:iCs w:val="0"/>
                <w:color w:val="0000FF"/>
                <w:sz w:val="21"/>
                <w:szCs w:val="21"/>
                <w:u w:val="none"/>
              </w:rPr>
            </w:pPr>
          </w:p>
        </w:tc>
        <w:tc>
          <w:tcPr>
            <w:tcW w:w="930" w:type="dxa"/>
            <w:noWrap w:val="0"/>
            <w:vAlign w:val="center"/>
          </w:tcPr>
          <w:p w14:paraId="692CE00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SS</w:t>
            </w:r>
          </w:p>
        </w:tc>
        <w:tc>
          <w:tcPr>
            <w:tcW w:w="1179" w:type="dxa"/>
            <w:noWrap w:val="0"/>
            <w:vAlign w:val="center"/>
          </w:tcPr>
          <w:p w14:paraId="2F80A5D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0.005</w:t>
            </w:r>
          </w:p>
        </w:tc>
        <w:tc>
          <w:tcPr>
            <w:tcW w:w="1217" w:type="dxa"/>
            <w:noWrap w:val="0"/>
            <w:vAlign w:val="center"/>
          </w:tcPr>
          <w:p w14:paraId="68F8584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200</w:t>
            </w:r>
          </w:p>
        </w:tc>
        <w:tc>
          <w:tcPr>
            <w:tcW w:w="1263" w:type="dxa"/>
            <w:noWrap w:val="0"/>
            <w:vAlign w:val="center"/>
          </w:tcPr>
          <w:p w14:paraId="6836650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0.000001</w:t>
            </w:r>
          </w:p>
        </w:tc>
        <w:tc>
          <w:tcPr>
            <w:tcW w:w="752" w:type="dxa"/>
            <w:vMerge w:val="continue"/>
            <w:noWrap w:val="0"/>
            <w:vAlign w:val="center"/>
          </w:tcPr>
          <w:p w14:paraId="7F72D949">
            <w:pPr>
              <w:jc w:val="center"/>
              <w:rPr>
                <w:rFonts w:hint="default" w:ascii="Times New Roman" w:hAnsi="Times New Roman" w:eastAsia="宋体" w:cs="Times New Roman"/>
                <w:i w:val="0"/>
                <w:iCs w:val="0"/>
                <w:color w:val="0000FF"/>
                <w:sz w:val="21"/>
                <w:szCs w:val="21"/>
                <w:u w:val="none"/>
              </w:rPr>
            </w:pPr>
          </w:p>
        </w:tc>
        <w:tc>
          <w:tcPr>
            <w:tcW w:w="752" w:type="dxa"/>
            <w:vMerge w:val="continue"/>
            <w:noWrap w:val="0"/>
            <w:vAlign w:val="center"/>
          </w:tcPr>
          <w:p w14:paraId="49B1BC6F">
            <w:pPr>
              <w:jc w:val="center"/>
              <w:rPr>
                <w:rFonts w:hint="default" w:ascii="Times New Roman" w:hAnsi="Times New Roman" w:eastAsia="宋体" w:cs="Times New Roman"/>
                <w:i w:val="0"/>
                <w:iCs w:val="0"/>
                <w:color w:val="0000FF"/>
                <w:sz w:val="21"/>
                <w:szCs w:val="21"/>
                <w:u w:val="none"/>
              </w:rPr>
            </w:pPr>
          </w:p>
        </w:tc>
        <w:tc>
          <w:tcPr>
            <w:tcW w:w="753" w:type="dxa"/>
            <w:vMerge w:val="continue"/>
            <w:noWrap w:val="0"/>
            <w:vAlign w:val="center"/>
          </w:tcPr>
          <w:p w14:paraId="55CD530C">
            <w:pPr>
              <w:jc w:val="center"/>
              <w:rPr>
                <w:rFonts w:hint="default" w:ascii="Times New Roman" w:hAnsi="Times New Roman" w:eastAsia="宋体" w:cs="Times New Roman"/>
                <w:i w:val="0"/>
                <w:iCs w:val="0"/>
                <w:color w:val="0000FF"/>
                <w:sz w:val="21"/>
                <w:szCs w:val="21"/>
                <w:u w:val="none"/>
              </w:rPr>
            </w:pPr>
          </w:p>
        </w:tc>
        <w:tc>
          <w:tcPr>
            <w:tcW w:w="892" w:type="dxa"/>
            <w:vMerge w:val="continue"/>
            <w:noWrap w:val="0"/>
            <w:vAlign w:val="center"/>
          </w:tcPr>
          <w:p w14:paraId="24396D19">
            <w:pPr>
              <w:jc w:val="center"/>
              <w:rPr>
                <w:rFonts w:hint="default" w:ascii="Times New Roman" w:hAnsi="Times New Roman" w:eastAsia="宋体" w:cs="Times New Roman"/>
                <w:i w:val="0"/>
                <w:iCs w:val="0"/>
                <w:color w:val="0000FF"/>
                <w:sz w:val="21"/>
                <w:szCs w:val="21"/>
                <w:u w:val="none"/>
              </w:rPr>
            </w:pPr>
          </w:p>
        </w:tc>
        <w:tc>
          <w:tcPr>
            <w:tcW w:w="892" w:type="dxa"/>
            <w:noWrap w:val="0"/>
            <w:vAlign w:val="center"/>
          </w:tcPr>
          <w:p w14:paraId="159FF74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893" w:type="dxa"/>
            <w:noWrap w:val="0"/>
            <w:vAlign w:val="center"/>
          </w:tcPr>
          <w:p w14:paraId="517F768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103" w:type="dxa"/>
            <w:noWrap w:val="0"/>
            <w:vAlign w:val="center"/>
          </w:tcPr>
          <w:p w14:paraId="5809AB7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104" w:type="dxa"/>
            <w:noWrap w:val="0"/>
            <w:vAlign w:val="center"/>
          </w:tcPr>
          <w:p w14:paraId="75DFB0E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r>
      <w:tr w14:paraId="2B87E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82" w:type="dxa"/>
            <w:vMerge w:val="continue"/>
            <w:noWrap w:val="0"/>
            <w:vAlign w:val="center"/>
          </w:tcPr>
          <w:p w14:paraId="7DB1FFC4">
            <w:pPr>
              <w:jc w:val="center"/>
              <w:rPr>
                <w:rFonts w:hint="default" w:ascii="Times New Roman" w:hAnsi="Times New Roman" w:eastAsia="宋体" w:cs="Times New Roman"/>
                <w:i w:val="0"/>
                <w:iCs w:val="0"/>
                <w:color w:val="0000FF"/>
                <w:sz w:val="21"/>
                <w:szCs w:val="21"/>
                <w:u w:val="none"/>
              </w:rPr>
            </w:pPr>
          </w:p>
        </w:tc>
        <w:tc>
          <w:tcPr>
            <w:tcW w:w="675" w:type="dxa"/>
            <w:vMerge w:val="continue"/>
            <w:noWrap w:val="0"/>
            <w:vAlign w:val="center"/>
          </w:tcPr>
          <w:p w14:paraId="2168CE1E">
            <w:pPr>
              <w:jc w:val="center"/>
              <w:rPr>
                <w:color w:val="0000FF"/>
                <w:sz w:val="21"/>
                <w:szCs w:val="21"/>
              </w:rPr>
            </w:pPr>
          </w:p>
        </w:tc>
        <w:tc>
          <w:tcPr>
            <w:tcW w:w="660" w:type="dxa"/>
            <w:vMerge w:val="continue"/>
            <w:noWrap w:val="0"/>
            <w:vAlign w:val="center"/>
          </w:tcPr>
          <w:p w14:paraId="113A82D7">
            <w:pPr>
              <w:jc w:val="center"/>
              <w:rPr>
                <w:rFonts w:hint="default" w:ascii="Times New Roman" w:hAnsi="Times New Roman" w:eastAsia="宋体" w:cs="Times New Roman"/>
                <w:i w:val="0"/>
                <w:iCs w:val="0"/>
                <w:color w:val="0000FF"/>
                <w:sz w:val="21"/>
                <w:szCs w:val="21"/>
                <w:u w:val="none"/>
              </w:rPr>
            </w:pPr>
          </w:p>
        </w:tc>
        <w:tc>
          <w:tcPr>
            <w:tcW w:w="930" w:type="dxa"/>
            <w:noWrap w:val="0"/>
            <w:vAlign w:val="center"/>
          </w:tcPr>
          <w:p w14:paraId="2EF8EA8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氯化物</w:t>
            </w:r>
          </w:p>
        </w:tc>
        <w:tc>
          <w:tcPr>
            <w:tcW w:w="1179" w:type="dxa"/>
            <w:noWrap w:val="0"/>
            <w:vAlign w:val="center"/>
          </w:tcPr>
          <w:p w14:paraId="41FF81F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0.005</w:t>
            </w:r>
          </w:p>
        </w:tc>
        <w:tc>
          <w:tcPr>
            <w:tcW w:w="1217" w:type="dxa"/>
            <w:noWrap w:val="0"/>
            <w:vAlign w:val="center"/>
          </w:tcPr>
          <w:p w14:paraId="210C641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32166</w:t>
            </w:r>
          </w:p>
        </w:tc>
        <w:tc>
          <w:tcPr>
            <w:tcW w:w="1263" w:type="dxa"/>
            <w:noWrap w:val="0"/>
            <w:vAlign w:val="center"/>
          </w:tcPr>
          <w:p w14:paraId="7A949FF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0.00016083</w:t>
            </w:r>
          </w:p>
        </w:tc>
        <w:tc>
          <w:tcPr>
            <w:tcW w:w="752" w:type="dxa"/>
            <w:vMerge w:val="continue"/>
            <w:noWrap w:val="0"/>
            <w:vAlign w:val="center"/>
          </w:tcPr>
          <w:p w14:paraId="262204E8">
            <w:pPr>
              <w:jc w:val="center"/>
              <w:rPr>
                <w:rFonts w:hint="default" w:ascii="Times New Roman" w:hAnsi="Times New Roman" w:eastAsia="宋体" w:cs="Times New Roman"/>
                <w:i w:val="0"/>
                <w:iCs w:val="0"/>
                <w:color w:val="0000FF"/>
                <w:sz w:val="21"/>
                <w:szCs w:val="21"/>
                <w:u w:val="none"/>
              </w:rPr>
            </w:pPr>
          </w:p>
        </w:tc>
        <w:tc>
          <w:tcPr>
            <w:tcW w:w="752" w:type="dxa"/>
            <w:vMerge w:val="continue"/>
            <w:noWrap w:val="0"/>
            <w:vAlign w:val="center"/>
          </w:tcPr>
          <w:p w14:paraId="483AADE4">
            <w:pPr>
              <w:jc w:val="center"/>
              <w:rPr>
                <w:rFonts w:hint="default" w:ascii="Times New Roman" w:hAnsi="Times New Roman" w:eastAsia="宋体" w:cs="Times New Roman"/>
                <w:i w:val="0"/>
                <w:iCs w:val="0"/>
                <w:color w:val="0000FF"/>
                <w:sz w:val="21"/>
                <w:szCs w:val="21"/>
                <w:u w:val="none"/>
              </w:rPr>
            </w:pPr>
          </w:p>
        </w:tc>
        <w:tc>
          <w:tcPr>
            <w:tcW w:w="753" w:type="dxa"/>
            <w:vMerge w:val="continue"/>
            <w:noWrap w:val="0"/>
            <w:vAlign w:val="center"/>
          </w:tcPr>
          <w:p w14:paraId="789DBFBA">
            <w:pPr>
              <w:jc w:val="center"/>
              <w:rPr>
                <w:rFonts w:hint="default" w:ascii="Times New Roman" w:hAnsi="Times New Roman" w:eastAsia="宋体" w:cs="Times New Roman"/>
                <w:i w:val="0"/>
                <w:iCs w:val="0"/>
                <w:color w:val="0000FF"/>
                <w:sz w:val="21"/>
                <w:szCs w:val="21"/>
                <w:u w:val="none"/>
              </w:rPr>
            </w:pPr>
          </w:p>
        </w:tc>
        <w:tc>
          <w:tcPr>
            <w:tcW w:w="892" w:type="dxa"/>
            <w:vMerge w:val="continue"/>
            <w:noWrap w:val="0"/>
            <w:vAlign w:val="center"/>
          </w:tcPr>
          <w:p w14:paraId="388703BA">
            <w:pPr>
              <w:jc w:val="center"/>
              <w:rPr>
                <w:rFonts w:hint="default" w:ascii="Times New Roman" w:hAnsi="Times New Roman" w:eastAsia="宋体" w:cs="Times New Roman"/>
                <w:i w:val="0"/>
                <w:iCs w:val="0"/>
                <w:color w:val="0000FF"/>
                <w:sz w:val="21"/>
                <w:szCs w:val="21"/>
                <w:u w:val="none"/>
              </w:rPr>
            </w:pPr>
          </w:p>
        </w:tc>
        <w:tc>
          <w:tcPr>
            <w:tcW w:w="892" w:type="dxa"/>
            <w:noWrap w:val="0"/>
            <w:vAlign w:val="center"/>
          </w:tcPr>
          <w:p w14:paraId="2708417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893" w:type="dxa"/>
            <w:noWrap w:val="0"/>
            <w:vAlign w:val="center"/>
          </w:tcPr>
          <w:p w14:paraId="2CB1A4F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103" w:type="dxa"/>
            <w:noWrap w:val="0"/>
            <w:vAlign w:val="center"/>
          </w:tcPr>
          <w:p w14:paraId="52EAE2D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104" w:type="dxa"/>
            <w:noWrap w:val="0"/>
            <w:vAlign w:val="center"/>
          </w:tcPr>
          <w:p w14:paraId="166277C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r>
      <w:tr w14:paraId="2A0B4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57" w:type="dxa"/>
            <w:gridSpan w:val="2"/>
            <w:vMerge w:val="restart"/>
            <w:noWrap w:val="0"/>
            <w:vAlign w:val="center"/>
          </w:tcPr>
          <w:p w14:paraId="71C95AA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合计</w:t>
            </w:r>
          </w:p>
        </w:tc>
        <w:tc>
          <w:tcPr>
            <w:tcW w:w="660" w:type="dxa"/>
            <w:vMerge w:val="restart"/>
            <w:noWrap w:val="0"/>
            <w:vAlign w:val="center"/>
          </w:tcPr>
          <w:p w14:paraId="7372350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综合废水</w:t>
            </w:r>
          </w:p>
        </w:tc>
        <w:tc>
          <w:tcPr>
            <w:tcW w:w="930" w:type="dxa"/>
            <w:noWrap w:val="0"/>
            <w:vAlign w:val="center"/>
          </w:tcPr>
          <w:p w14:paraId="39DA4A2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COD</w:t>
            </w:r>
          </w:p>
        </w:tc>
        <w:tc>
          <w:tcPr>
            <w:tcW w:w="1179" w:type="dxa"/>
            <w:noWrap w:val="0"/>
            <w:vAlign w:val="center"/>
          </w:tcPr>
          <w:p w14:paraId="3C52521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4800.005</w:t>
            </w:r>
          </w:p>
        </w:tc>
        <w:tc>
          <w:tcPr>
            <w:tcW w:w="1217" w:type="dxa"/>
            <w:noWrap w:val="0"/>
            <w:vAlign w:val="center"/>
          </w:tcPr>
          <w:p w14:paraId="05DD242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500</w:t>
            </w:r>
          </w:p>
        </w:tc>
        <w:tc>
          <w:tcPr>
            <w:tcW w:w="1263" w:type="dxa"/>
            <w:noWrap w:val="0"/>
            <w:vAlign w:val="center"/>
          </w:tcPr>
          <w:p w14:paraId="38F4A20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2.40000075</w:t>
            </w:r>
          </w:p>
        </w:tc>
        <w:tc>
          <w:tcPr>
            <w:tcW w:w="752" w:type="dxa"/>
            <w:vMerge w:val="restart"/>
            <w:noWrap w:val="0"/>
            <w:vAlign w:val="center"/>
          </w:tcPr>
          <w:p w14:paraId="044E81F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752" w:type="dxa"/>
            <w:vMerge w:val="restart"/>
            <w:noWrap w:val="0"/>
            <w:vAlign w:val="center"/>
          </w:tcPr>
          <w:p w14:paraId="612912C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753" w:type="dxa"/>
            <w:vMerge w:val="restart"/>
            <w:noWrap w:val="0"/>
            <w:vAlign w:val="center"/>
          </w:tcPr>
          <w:p w14:paraId="2C1825F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892" w:type="dxa"/>
            <w:vMerge w:val="restart"/>
            <w:noWrap w:val="0"/>
            <w:vAlign w:val="center"/>
          </w:tcPr>
          <w:p w14:paraId="5F98D51F">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4800.005</w:t>
            </w:r>
          </w:p>
        </w:tc>
        <w:tc>
          <w:tcPr>
            <w:tcW w:w="892" w:type="dxa"/>
            <w:noWrap w:val="0"/>
            <w:vAlign w:val="center"/>
          </w:tcPr>
          <w:p w14:paraId="26273EC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400</w:t>
            </w:r>
          </w:p>
        </w:tc>
        <w:tc>
          <w:tcPr>
            <w:tcW w:w="893" w:type="dxa"/>
            <w:noWrap w:val="0"/>
            <w:vAlign w:val="center"/>
          </w:tcPr>
          <w:p w14:paraId="2F11112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50</w:t>
            </w:r>
          </w:p>
        </w:tc>
        <w:tc>
          <w:tcPr>
            <w:tcW w:w="1103" w:type="dxa"/>
            <w:noWrap w:val="0"/>
            <w:vAlign w:val="center"/>
          </w:tcPr>
          <w:p w14:paraId="1606DD3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 xml:space="preserve">1.9200 </w:t>
            </w:r>
          </w:p>
        </w:tc>
        <w:tc>
          <w:tcPr>
            <w:tcW w:w="1104" w:type="dxa"/>
            <w:noWrap w:val="0"/>
            <w:vAlign w:val="center"/>
          </w:tcPr>
          <w:p w14:paraId="6B83D55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 xml:space="preserve">0.2400 </w:t>
            </w:r>
          </w:p>
        </w:tc>
      </w:tr>
      <w:tr w14:paraId="6DD7B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57" w:type="dxa"/>
            <w:gridSpan w:val="2"/>
            <w:vMerge w:val="continue"/>
            <w:noWrap w:val="0"/>
            <w:vAlign w:val="center"/>
          </w:tcPr>
          <w:p w14:paraId="3193E66A">
            <w:pPr>
              <w:jc w:val="center"/>
              <w:rPr>
                <w:rFonts w:hint="default" w:ascii="Times New Roman" w:hAnsi="Times New Roman" w:eastAsia="宋体" w:cs="Times New Roman"/>
                <w:i w:val="0"/>
                <w:iCs w:val="0"/>
                <w:color w:val="0000FF"/>
                <w:sz w:val="21"/>
                <w:szCs w:val="21"/>
                <w:u w:val="none"/>
              </w:rPr>
            </w:pPr>
          </w:p>
        </w:tc>
        <w:tc>
          <w:tcPr>
            <w:tcW w:w="660" w:type="dxa"/>
            <w:vMerge w:val="continue"/>
            <w:noWrap w:val="0"/>
            <w:vAlign w:val="center"/>
          </w:tcPr>
          <w:p w14:paraId="50742F68">
            <w:pPr>
              <w:jc w:val="center"/>
              <w:rPr>
                <w:rFonts w:hint="default" w:ascii="Times New Roman" w:hAnsi="Times New Roman" w:eastAsia="宋体" w:cs="Times New Roman"/>
                <w:i w:val="0"/>
                <w:iCs w:val="0"/>
                <w:color w:val="0000FF"/>
                <w:sz w:val="21"/>
                <w:szCs w:val="21"/>
                <w:u w:val="none"/>
              </w:rPr>
            </w:pPr>
          </w:p>
        </w:tc>
        <w:tc>
          <w:tcPr>
            <w:tcW w:w="930" w:type="dxa"/>
            <w:noWrap w:val="0"/>
            <w:vAlign w:val="center"/>
          </w:tcPr>
          <w:p w14:paraId="62D3020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BOD</w:t>
            </w:r>
            <w:r>
              <w:rPr>
                <w:rFonts w:hint="default" w:ascii="Times New Roman" w:hAnsi="Times New Roman" w:eastAsia="宋体" w:cs="Times New Roman"/>
                <w:i w:val="0"/>
                <w:iCs w:val="0"/>
                <w:color w:val="0000FF"/>
                <w:kern w:val="0"/>
                <w:sz w:val="21"/>
                <w:szCs w:val="21"/>
                <w:u w:val="none"/>
                <w:vertAlign w:val="subscript"/>
                <w:lang w:val="en-US" w:eastAsia="zh-CN" w:bidi="ar"/>
              </w:rPr>
              <w:t>5</w:t>
            </w:r>
          </w:p>
        </w:tc>
        <w:tc>
          <w:tcPr>
            <w:tcW w:w="1179" w:type="dxa"/>
            <w:noWrap w:val="0"/>
            <w:vAlign w:val="center"/>
          </w:tcPr>
          <w:p w14:paraId="72E8A8D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4800.005</w:t>
            </w:r>
          </w:p>
        </w:tc>
        <w:tc>
          <w:tcPr>
            <w:tcW w:w="1217" w:type="dxa"/>
            <w:noWrap w:val="0"/>
            <w:vAlign w:val="center"/>
          </w:tcPr>
          <w:p w14:paraId="6A040E9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220</w:t>
            </w:r>
          </w:p>
        </w:tc>
        <w:tc>
          <w:tcPr>
            <w:tcW w:w="1263" w:type="dxa"/>
            <w:noWrap w:val="0"/>
            <w:vAlign w:val="center"/>
          </w:tcPr>
          <w:p w14:paraId="0967260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1.056</w:t>
            </w:r>
          </w:p>
        </w:tc>
        <w:tc>
          <w:tcPr>
            <w:tcW w:w="752" w:type="dxa"/>
            <w:vMerge w:val="continue"/>
            <w:noWrap w:val="0"/>
            <w:vAlign w:val="center"/>
          </w:tcPr>
          <w:p w14:paraId="61A8060F">
            <w:pPr>
              <w:jc w:val="center"/>
              <w:rPr>
                <w:rFonts w:hint="default" w:ascii="Times New Roman" w:hAnsi="Times New Roman" w:eastAsia="宋体" w:cs="Times New Roman"/>
                <w:i w:val="0"/>
                <w:iCs w:val="0"/>
                <w:color w:val="0000FF"/>
                <w:sz w:val="21"/>
                <w:szCs w:val="21"/>
                <w:u w:val="none"/>
              </w:rPr>
            </w:pPr>
          </w:p>
        </w:tc>
        <w:tc>
          <w:tcPr>
            <w:tcW w:w="752" w:type="dxa"/>
            <w:vMerge w:val="continue"/>
            <w:noWrap w:val="0"/>
            <w:vAlign w:val="center"/>
          </w:tcPr>
          <w:p w14:paraId="249BDBFB">
            <w:pPr>
              <w:jc w:val="center"/>
              <w:rPr>
                <w:rFonts w:hint="default" w:ascii="Times New Roman" w:hAnsi="Times New Roman" w:eastAsia="宋体" w:cs="Times New Roman"/>
                <w:i w:val="0"/>
                <w:iCs w:val="0"/>
                <w:color w:val="0000FF"/>
                <w:sz w:val="21"/>
                <w:szCs w:val="21"/>
                <w:u w:val="none"/>
              </w:rPr>
            </w:pPr>
          </w:p>
        </w:tc>
        <w:tc>
          <w:tcPr>
            <w:tcW w:w="753" w:type="dxa"/>
            <w:vMerge w:val="continue"/>
            <w:noWrap w:val="0"/>
            <w:vAlign w:val="center"/>
          </w:tcPr>
          <w:p w14:paraId="4447DE64">
            <w:pPr>
              <w:jc w:val="center"/>
              <w:rPr>
                <w:rFonts w:hint="default" w:ascii="Times New Roman" w:hAnsi="Times New Roman" w:eastAsia="宋体" w:cs="Times New Roman"/>
                <w:i w:val="0"/>
                <w:iCs w:val="0"/>
                <w:color w:val="0000FF"/>
                <w:sz w:val="21"/>
                <w:szCs w:val="21"/>
                <w:u w:val="none"/>
              </w:rPr>
            </w:pPr>
          </w:p>
        </w:tc>
        <w:tc>
          <w:tcPr>
            <w:tcW w:w="892" w:type="dxa"/>
            <w:vMerge w:val="continue"/>
            <w:noWrap w:val="0"/>
            <w:vAlign w:val="center"/>
          </w:tcPr>
          <w:p w14:paraId="6ACC03CE">
            <w:pPr>
              <w:jc w:val="center"/>
              <w:rPr>
                <w:rFonts w:hint="default" w:ascii="Times New Roman" w:hAnsi="Times New Roman" w:eastAsia="宋体" w:cs="Times New Roman"/>
                <w:i w:val="0"/>
                <w:iCs w:val="0"/>
                <w:color w:val="0000FF"/>
                <w:sz w:val="21"/>
                <w:szCs w:val="21"/>
                <w:u w:val="none"/>
              </w:rPr>
            </w:pPr>
          </w:p>
        </w:tc>
        <w:tc>
          <w:tcPr>
            <w:tcW w:w="892" w:type="dxa"/>
            <w:noWrap w:val="0"/>
            <w:vAlign w:val="center"/>
          </w:tcPr>
          <w:p w14:paraId="68ACF17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200</w:t>
            </w:r>
          </w:p>
        </w:tc>
        <w:tc>
          <w:tcPr>
            <w:tcW w:w="893" w:type="dxa"/>
            <w:noWrap w:val="0"/>
            <w:vAlign w:val="center"/>
          </w:tcPr>
          <w:p w14:paraId="0CB6BB4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10</w:t>
            </w:r>
          </w:p>
        </w:tc>
        <w:tc>
          <w:tcPr>
            <w:tcW w:w="1103" w:type="dxa"/>
            <w:noWrap w:val="0"/>
            <w:vAlign w:val="center"/>
          </w:tcPr>
          <w:p w14:paraId="0654F32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 xml:space="preserve">0.9600 </w:t>
            </w:r>
          </w:p>
        </w:tc>
        <w:tc>
          <w:tcPr>
            <w:tcW w:w="1104" w:type="dxa"/>
            <w:noWrap w:val="0"/>
            <w:vAlign w:val="center"/>
          </w:tcPr>
          <w:p w14:paraId="391B428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 xml:space="preserve">0.0480 </w:t>
            </w:r>
          </w:p>
        </w:tc>
      </w:tr>
      <w:tr w14:paraId="44F4C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57" w:type="dxa"/>
            <w:gridSpan w:val="2"/>
            <w:vMerge w:val="continue"/>
            <w:noWrap w:val="0"/>
            <w:vAlign w:val="center"/>
          </w:tcPr>
          <w:p w14:paraId="4847509D">
            <w:pPr>
              <w:jc w:val="center"/>
              <w:rPr>
                <w:rFonts w:hint="default" w:ascii="Times New Roman" w:hAnsi="Times New Roman" w:eastAsia="宋体" w:cs="Times New Roman"/>
                <w:i w:val="0"/>
                <w:iCs w:val="0"/>
                <w:color w:val="0000FF"/>
                <w:sz w:val="21"/>
                <w:szCs w:val="21"/>
                <w:u w:val="none"/>
              </w:rPr>
            </w:pPr>
          </w:p>
        </w:tc>
        <w:tc>
          <w:tcPr>
            <w:tcW w:w="660" w:type="dxa"/>
            <w:vMerge w:val="continue"/>
            <w:noWrap w:val="0"/>
            <w:vAlign w:val="center"/>
          </w:tcPr>
          <w:p w14:paraId="1A84C78B">
            <w:pPr>
              <w:jc w:val="center"/>
              <w:rPr>
                <w:rFonts w:hint="default" w:ascii="Times New Roman" w:hAnsi="Times New Roman" w:eastAsia="宋体" w:cs="Times New Roman"/>
                <w:i w:val="0"/>
                <w:iCs w:val="0"/>
                <w:color w:val="0000FF"/>
                <w:sz w:val="21"/>
                <w:szCs w:val="21"/>
                <w:u w:val="none"/>
              </w:rPr>
            </w:pPr>
          </w:p>
        </w:tc>
        <w:tc>
          <w:tcPr>
            <w:tcW w:w="930" w:type="dxa"/>
            <w:noWrap w:val="0"/>
            <w:vAlign w:val="center"/>
          </w:tcPr>
          <w:p w14:paraId="3C6DDDFC">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SS</w:t>
            </w:r>
          </w:p>
        </w:tc>
        <w:tc>
          <w:tcPr>
            <w:tcW w:w="1179" w:type="dxa"/>
            <w:noWrap w:val="0"/>
            <w:vAlign w:val="center"/>
          </w:tcPr>
          <w:p w14:paraId="339835F5">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4800.005</w:t>
            </w:r>
          </w:p>
        </w:tc>
        <w:tc>
          <w:tcPr>
            <w:tcW w:w="1217" w:type="dxa"/>
            <w:noWrap w:val="0"/>
            <w:vAlign w:val="center"/>
          </w:tcPr>
          <w:p w14:paraId="2EF1CAC1">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350</w:t>
            </w:r>
          </w:p>
        </w:tc>
        <w:tc>
          <w:tcPr>
            <w:tcW w:w="1263" w:type="dxa"/>
            <w:noWrap w:val="0"/>
            <w:vAlign w:val="center"/>
          </w:tcPr>
          <w:p w14:paraId="5158E05C">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1.680001</w:t>
            </w:r>
          </w:p>
        </w:tc>
        <w:tc>
          <w:tcPr>
            <w:tcW w:w="752" w:type="dxa"/>
            <w:vMerge w:val="continue"/>
            <w:noWrap w:val="0"/>
            <w:vAlign w:val="center"/>
          </w:tcPr>
          <w:p w14:paraId="3ADC0972">
            <w:pPr>
              <w:jc w:val="center"/>
              <w:rPr>
                <w:rFonts w:hint="default" w:ascii="Times New Roman" w:hAnsi="Times New Roman" w:eastAsia="宋体" w:cs="Times New Roman"/>
                <w:i w:val="0"/>
                <w:iCs w:val="0"/>
                <w:color w:val="0000FF"/>
                <w:sz w:val="21"/>
                <w:szCs w:val="21"/>
                <w:u w:val="none"/>
              </w:rPr>
            </w:pPr>
          </w:p>
        </w:tc>
        <w:tc>
          <w:tcPr>
            <w:tcW w:w="752" w:type="dxa"/>
            <w:vMerge w:val="continue"/>
            <w:noWrap w:val="0"/>
            <w:vAlign w:val="center"/>
          </w:tcPr>
          <w:p w14:paraId="08588C96">
            <w:pPr>
              <w:jc w:val="center"/>
              <w:rPr>
                <w:rFonts w:hint="default" w:ascii="Times New Roman" w:hAnsi="Times New Roman" w:eastAsia="宋体" w:cs="Times New Roman"/>
                <w:i w:val="0"/>
                <w:iCs w:val="0"/>
                <w:color w:val="0000FF"/>
                <w:sz w:val="21"/>
                <w:szCs w:val="21"/>
                <w:u w:val="none"/>
              </w:rPr>
            </w:pPr>
          </w:p>
        </w:tc>
        <w:tc>
          <w:tcPr>
            <w:tcW w:w="753" w:type="dxa"/>
            <w:vMerge w:val="continue"/>
            <w:noWrap w:val="0"/>
            <w:vAlign w:val="center"/>
          </w:tcPr>
          <w:p w14:paraId="1C50BC84">
            <w:pPr>
              <w:jc w:val="center"/>
              <w:rPr>
                <w:rFonts w:hint="default" w:ascii="Times New Roman" w:hAnsi="Times New Roman" w:eastAsia="宋体" w:cs="Times New Roman"/>
                <w:i w:val="0"/>
                <w:iCs w:val="0"/>
                <w:color w:val="0000FF"/>
                <w:sz w:val="21"/>
                <w:szCs w:val="21"/>
                <w:u w:val="none"/>
              </w:rPr>
            </w:pPr>
          </w:p>
        </w:tc>
        <w:tc>
          <w:tcPr>
            <w:tcW w:w="892" w:type="dxa"/>
            <w:vMerge w:val="continue"/>
            <w:noWrap w:val="0"/>
            <w:vAlign w:val="center"/>
          </w:tcPr>
          <w:p w14:paraId="481DCCEF">
            <w:pPr>
              <w:jc w:val="center"/>
              <w:rPr>
                <w:rFonts w:hint="default" w:ascii="Times New Roman" w:hAnsi="Times New Roman" w:eastAsia="宋体" w:cs="Times New Roman"/>
                <w:i w:val="0"/>
                <w:iCs w:val="0"/>
                <w:color w:val="0000FF"/>
                <w:sz w:val="21"/>
                <w:szCs w:val="21"/>
                <w:u w:val="none"/>
              </w:rPr>
            </w:pPr>
          </w:p>
        </w:tc>
        <w:tc>
          <w:tcPr>
            <w:tcW w:w="892" w:type="dxa"/>
            <w:noWrap w:val="0"/>
            <w:vAlign w:val="center"/>
          </w:tcPr>
          <w:p w14:paraId="7B1E95BE">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300</w:t>
            </w:r>
          </w:p>
        </w:tc>
        <w:tc>
          <w:tcPr>
            <w:tcW w:w="893" w:type="dxa"/>
            <w:noWrap w:val="0"/>
            <w:vAlign w:val="center"/>
          </w:tcPr>
          <w:p w14:paraId="23CEE0CE">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10</w:t>
            </w:r>
          </w:p>
        </w:tc>
        <w:tc>
          <w:tcPr>
            <w:tcW w:w="1103" w:type="dxa"/>
            <w:noWrap w:val="0"/>
            <w:vAlign w:val="center"/>
          </w:tcPr>
          <w:p w14:paraId="5B2581D9">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 xml:space="preserve">1.4400 </w:t>
            </w:r>
          </w:p>
        </w:tc>
        <w:tc>
          <w:tcPr>
            <w:tcW w:w="1104" w:type="dxa"/>
            <w:noWrap w:val="0"/>
            <w:vAlign w:val="center"/>
          </w:tcPr>
          <w:p w14:paraId="7C70B904">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 xml:space="preserve">0.0480 </w:t>
            </w:r>
          </w:p>
        </w:tc>
      </w:tr>
      <w:tr w14:paraId="2D15A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57" w:type="dxa"/>
            <w:gridSpan w:val="2"/>
            <w:vMerge w:val="continue"/>
            <w:noWrap w:val="0"/>
            <w:vAlign w:val="center"/>
          </w:tcPr>
          <w:p w14:paraId="18DABEA6">
            <w:pPr>
              <w:jc w:val="center"/>
              <w:rPr>
                <w:rFonts w:hint="default" w:ascii="Times New Roman" w:hAnsi="Times New Roman" w:eastAsia="宋体" w:cs="Times New Roman"/>
                <w:i w:val="0"/>
                <w:iCs w:val="0"/>
                <w:color w:val="0000FF"/>
                <w:sz w:val="21"/>
                <w:szCs w:val="21"/>
                <w:u w:val="none"/>
              </w:rPr>
            </w:pPr>
          </w:p>
        </w:tc>
        <w:tc>
          <w:tcPr>
            <w:tcW w:w="660" w:type="dxa"/>
            <w:vMerge w:val="continue"/>
            <w:noWrap w:val="0"/>
            <w:vAlign w:val="center"/>
          </w:tcPr>
          <w:p w14:paraId="700AB55D">
            <w:pPr>
              <w:jc w:val="center"/>
              <w:rPr>
                <w:rFonts w:hint="default" w:ascii="Times New Roman" w:hAnsi="Times New Roman" w:eastAsia="宋体" w:cs="Times New Roman"/>
                <w:i w:val="0"/>
                <w:iCs w:val="0"/>
                <w:color w:val="0000FF"/>
                <w:sz w:val="21"/>
                <w:szCs w:val="21"/>
                <w:u w:val="none"/>
              </w:rPr>
            </w:pPr>
          </w:p>
        </w:tc>
        <w:tc>
          <w:tcPr>
            <w:tcW w:w="930" w:type="dxa"/>
            <w:noWrap w:val="0"/>
            <w:vAlign w:val="center"/>
          </w:tcPr>
          <w:p w14:paraId="59D21803">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NH</w:t>
            </w:r>
            <w:r>
              <w:rPr>
                <w:rFonts w:hint="default" w:ascii="Times New Roman" w:hAnsi="Times New Roman" w:eastAsia="宋体" w:cs="Times New Roman"/>
                <w:i w:val="0"/>
                <w:iCs w:val="0"/>
                <w:color w:val="0000FF"/>
                <w:kern w:val="0"/>
                <w:sz w:val="21"/>
                <w:szCs w:val="21"/>
                <w:u w:val="none"/>
                <w:vertAlign w:val="subscript"/>
                <w:lang w:val="en-US" w:eastAsia="zh-CN" w:bidi="ar"/>
              </w:rPr>
              <w:t>3</w:t>
            </w:r>
            <w:r>
              <w:rPr>
                <w:rFonts w:hint="default" w:ascii="Times New Roman" w:hAnsi="Times New Roman" w:eastAsia="宋体" w:cs="Times New Roman"/>
                <w:i w:val="0"/>
                <w:iCs w:val="0"/>
                <w:color w:val="0000FF"/>
                <w:kern w:val="0"/>
                <w:sz w:val="21"/>
                <w:szCs w:val="21"/>
                <w:u w:val="none"/>
                <w:lang w:val="en-US" w:eastAsia="zh-CN" w:bidi="ar"/>
              </w:rPr>
              <w:t>-N</w:t>
            </w:r>
          </w:p>
        </w:tc>
        <w:tc>
          <w:tcPr>
            <w:tcW w:w="1179" w:type="dxa"/>
            <w:noWrap w:val="0"/>
            <w:vAlign w:val="center"/>
          </w:tcPr>
          <w:p w14:paraId="53F5D0CF">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4800.005</w:t>
            </w:r>
          </w:p>
        </w:tc>
        <w:tc>
          <w:tcPr>
            <w:tcW w:w="1217" w:type="dxa"/>
            <w:noWrap w:val="0"/>
            <w:vAlign w:val="center"/>
          </w:tcPr>
          <w:p w14:paraId="1F102BA7">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50</w:t>
            </w:r>
          </w:p>
        </w:tc>
        <w:tc>
          <w:tcPr>
            <w:tcW w:w="1263" w:type="dxa"/>
            <w:noWrap w:val="0"/>
            <w:vAlign w:val="center"/>
          </w:tcPr>
          <w:p w14:paraId="052DD48A">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0.24</w:t>
            </w:r>
          </w:p>
        </w:tc>
        <w:tc>
          <w:tcPr>
            <w:tcW w:w="752" w:type="dxa"/>
            <w:vMerge w:val="continue"/>
            <w:noWrap w:val="0"/>
            <w:vAlign w:val="center"/>
          </w:tcPr>
          <w:p w14:paraId="7C9A2546">
            <w:pPr>
              <w:jc w:val="center"/>
              <w:rPr>
                <w:rFonts w:hint="default" w:ascii="Times New Roman" w:hAnsi="Times New Roman" w:eastAsia="宋体" w:cs="Times New Roman"/>
                <w:i w:val="0"/>
                <w:iCs w:val="0"/>
                <w:color w:val="0000FF"/>
                <w:sz w:val="21"/>
                <w:szCs w:val="21"/>
                <w:u w:val="none"/>
              </w:rPr>
            </w:pPr>
          </w:p>
        </w:tc>
        <w:tc>
          <w:tcPr>
            <w:tcW w:w="752" w:type="dxa"/>
            <w:vMerge w:val="continue"/>
            <w:noWrap w:val="0"/>
            <w:vAlign w:val="center"/>
          </w:tcPr>
          <w:p w14:paraId="5999EF69">
            <w:pPr>
              <w:jc w:val="center"/>
              <w:rPr>
                <w:rFonts w:hint="default" w:ascii="Times New Roman" w:hAnsi="Times New Roman" w:eastAsia="宋体" w:cs="Times New Roman"/>
                <w:i w:val="0"/>
                <w:iCs w:val="0"/>
                <w:color w:val="0000FF"/>
                <w:sz w:val="21"/>
                <w:szCs w:val="21"/>
                <w:u w:val="none"/>
              </w:rPr>
            </w:pPr>
          </w:p>
        </w:tc>
        <w:tc>
          <w:tcPr>
            <w:tcW w:w="753" w:type="dxa"/>
            <w:vMerge w:val="continue"/>
            <w:noWrap w:val="0"/>
            <w:vAlign w:val="center"/>
          </w:tcPr>
          <w:p w14:paraId="6CBF3444">
            <w:pPr>
              <w:jc w:val="center"/>
              <w:rPr>
                <w:rFonts w:hint="default" w:ascii="Times New Roman" w:hAnsi="Times New Roman" w:eastAsia="宋体" w:cs="Times New Roman"/>
                <w:i w:val="0"/>
                <w:iCs w:val="0"/>
                <w:color w:val="0000FF"/>
                <w:sz w:val="21"/>
                <w:szCs w:val="21"/>
                <w:u w:val="none"/>
              </w:rPr>
            </w:pPr>
          </w:p>
        </w:tc>
        <w:tc>
          <w:tcPr>
            <w:tcW w:w="892" w:type="dxa"/>
            <w:vMerge w:val="continue"/>
            <w:noWrap w:val="0"/>
            <w:vAlign w:val="center"/>
          </w:tcPr>
          <w:p w14:paraId="50DE149D">
            <w:pPr>
              <w:jc w:val="center"/>
              <w:rPr>
                <w:rFonts w:hint="default" w:ascii="Times New Roman" w:hAnsi="Times New Roman" w:eastAsia="宋体" w:cs="Times New Roman"/>
                <w:i w:val="0"/>
                <w:iCs w:val="0"/>
                <w:color w:val="0000FF"/>
                <w:sz w:val="21"/>
                <w:szCs w:val="21"/>
                <w:u w:val="none"/>
              </w:rPr>
            </w:pPr>
          </w:p>
        </w:tc>
        <w:tc>
          <w:tcPr>
            <w:tcW w:w="892" w:type="dxa"/>
            <w:noWrap w:val="0"/>
            <w:vAlign w:val="center"/>
          </w:tcPr>
          <w:p w14:paraId="165D85D4">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40</w:t>
            </w:r>
          </w:p>
        </w:tc>
        <w:tc>
          <w:tcPr>
            <w:tcW w:w="893" w:type="dxa"/>
            <w:noWrap w:val="0"/>
            <w:vAlign w:val="center"/>
          </w:tcPr>
          <w:p w14:paraId="12B832B4">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5</w:t>
            </w:r>
          </w:p>
        </w:tc>
        <w:tc>
          <w:tcPr>
            <w:tcW w:w="1103" w:type="dxa"/>
            <w:noWrap w:val="0"/>
            <w:vAlign w:val="center"/>
          </w:tcPr>
          <w:p w14:paraId="683EBC57">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 xml:space="preserve">0.1920 </w:t>
            </w:r>
          </w:p>
        </w:tc>
        <w:tc>
          <w:tcPr>
            <w:tcW w:w="1104" w:type="dxa"/>
            <w:noWrap w:val="0"/>
            <w:vAlign w:val="center"/>
          </w:tcPr>
          <w:p w14:paraId="174B2D65">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 xml:space="preserve">0.0240 </w:t>
            </w:r>
          </w:p>
        </w:tc>
      </w:tr>
      <w:tr w14:paraId="7D3D2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57" w:type="dxa"/>
            <w:gridSpan w:val="2"/>
            <w:vMerge w:val="continue"/>
            <w:noWrap w:val="0"/>
            <w:vAlign w:val="center"/>
          </w:tcPr>
          <w:p w14:paraId="5F43EEA8">
            <w:pPr>
              <w:jc w:val="center"/>
              <w:rPr>
                <w:rFonts w:hint="default" w:ascii="Times New Roman" w:hAnsi="Times New Roman" w:eastAsia="宋体" w:cs="Times New Roman"/>
                <w:i w:val="0"/>
                <w:iCs w:val="0"/>
                <w:color w:val="0000FF"/>
                <w:sz w:val="21"/>
                <w:szCs w:val="21"/>
                <w:u w:val="none"/>
              </w:rPr>
            </w:pPr>
          </w:p>
        </w:tc>
        <w:tc>
          <w:tcPr>
            <w:tcW w:w="660" w:type="dxa"/>
            <w:vMerge w:val="continue"/>
            <w:noWrap w:val="0"/>
            <w:vAlign w:val="center"/>
          </w:tcPr>
          <w:p w14:paraId="56F51A3F">
            <w:pPr>
              <w:jc w:val="center"/>
              <w:rPr>
                <w:rFonts w:hint="default" w:ascii="Times New Roman" w:hAnsi="Times New Roman" w:eastAsia="宋体" w:cs="Times New Roman"/>
                <w:i w:val="0"/>
                <w:iCs w:val="0"/>
                <w:color w:val="0000FF"/>
                <w:sz w:val="21"/>
                <w:szCs w:val="21"/>
                <w:u w:val="none"/>
              </w:rPr>
            </w:pPr>
          </w:p>
        </w:tc>
        <w:tc>
          <w:tcPr>
            <w:tcW w:w="930" w:type="dxa"/>
            <w:noWrap w:val="0"/>
            <w:vAlign w:val="center"/>
          </w:tcPr>
          <w:p w14:paraId="5F1CEA70">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TP</w:t>
            </w:r>
          </w:p>
        </w:tc>
        <w:tc>
          <w:tcPr>
            <w:tcW w:w="1179" w:type="dxa"/>
            <w:noWrap w:val="0"/>
            <w:vAlign w:val="center"/>
          </w:tcPr>
          <w:p w14:paraId="18A95A41">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4800.005</w:t>
            </w:r>
          </w:p>
        </w:tc>
        <w:tc>
          <w:tcPr>
            <w:tcW w:w="1217" w:type="dxa"/>
            <w:noWrap w:val="0"/>
            <w:vAlign w:val="center"/>
          </w:tcPr>
          <w:p w14:paraId="0A7F1505">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6.96</w:t>
            </w:r>
          </w:p>
        </w:tc>
        <w:tc>
          <w:tcPr>
            <w:tcW w:w="1263" w:type="dxa"/>
            <w:noWrap w:val="0"/>
            <w:vAlign w:val="center"/>
          </w:tcPr>
          <w:p w14:paraId="79AFAD9E">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0.0334</w:t>
            </w:r>
          </w:p>
        </w:tc>
        <w:tc>
          <w:tcPr>
            <w:tcW w:w="752" w:type="dxa"/>
            <w:vMerge w:val="continue"/>
            <w:noWrap w:val="0"/>
            <w:vAlign w:val="center"/>
          </w:tcPr>
          <w:p w14:paraId="11C579EF">
            <w:pPr>
              <w:jc w:val="center"/>
              <w:rPr>
                <w:rFonts w:hint="default" w:ascii="Times New Roman" w:hAnsi="Times New Roman" w:eastAsia="宋体" w:cs="Times New Roman"/>
                <w:i w:val="0"/>
                <w:iCs w:val="0"/>
                <w:color w:val="0000FF"/>
                <w:sz w:val="21"/>
                <w:szCs w:val="21"/>
                <w:u w:val="none"/>
              </w:rPr>
            </w:pPr>
          </w:p>
        </w:tc>
        <w:tc>
          <w:tcPr>
            <w:tcW w:w="752" w:type="dxa"/>
            <w:vMerge w:val="continue"/>
            <w:noWrap w:val="0"/>
            <w:vAlign w:val="center"/>
          </w:tcPr>
          <w:p w14:paraId="04C55F1A">
            <w:pPr>
              <w:jc w:val="center"/>
              <w:rPr>
                <w:rFonts w:hint="default" w:ascii="Times New Roman" w:hAnsi="Times New Roman" w:eastAsia="宋体" w:cs="Times New Roman"/>
                <w:i w:val="0"/>
                <w:iCs w:val="0"/>
                <w:color w:val="0000FF"/>
                <w:sz w:val="21"/>
                <w:szCs w:val="21"/>
                <w:u w:val="none"/>
              </w:rPr>
            </w:pPr>
          </w:p>
        </w:tc>
        <w:tc>
          <w:tcPr>
            <w:tcW w:w="753" w:type="dxa"/>
            <w:vMerge w:val="continue"/>
            <w:noWrap w:val="0"/>
            <w:vAlign w:val="center"/>
          </w:tcPr>
          <w:p w14:paraId="3B7FEC02">
            <w:pPr>
              <w:jc w:val="center"/>
              <w:rPr>
                <w:rFonts w:hint="default" w:ascii="Times New Roman" w:hAnsi="Times New Roman" w:eastAsia="宋体" w:cs="Times New Roman"/>
                <w:i w:val="0"/>
                <w:iCs w:val="0"/>
                <w:color w:val="0000FF"/>
                <w:sz w:val="21"/>
                <w:szCs w:val="21"/>
                <w:u w:val="none"/>
              </w:rPr>
            </w:pPr>
          </w:p>
        </w:tc>
        <w:tc>
          <w:tcPr>
            <w:tcW w:w="892" w:type="dxa"/>
            <w:vMerge w:val="continue"/>
            <w:noWrap w:val="0"/>
            <w:vAlign w:val="center"/>
          </w:tcPr>
          <w:p w14:paraId="7D70F141">
            <w:pPr>
              <w:jc w:val="center"/>
              <w:rPr>
                <w:rFonts w:hint="default" w:ascii="Times New Roman" w:hAnsi="Times New Roman" w:eastAsia="宋体" w:cs="Times New Roman"/>
                <w:i w:val="0"/>
                <w:iCs w:val="0"/>
                <w:color w:val="0000FF"/>
                <w:kern w:val="0"/>
                <w:sz w:val="21"/>
                <w:szCs w:val="21"/>
                <w:u w:val="none"/>
                <w:lang w:val="en-US" w:eastAsia="zh-CN" w:bidi="ar"/>
              </w:rPr>
            </w:pPr>
          </w:p>
        </w:tc>
        <w:tc>
          <w:tcPr>
            <w:tcW w:w="892" w:type="dxa"/>
            <w:noWrap w:val="0"/>
            <w:vAlign w:val="center"/>
          </w:tcPr>
          <w:p w14:paraId="40B9DA57">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7</w:t>
            </w:r>
          </w:p>
        </w:tc>
        <w:tc>
          <w:tcPr>
            <w:tcW w:w="893" w:type="dxa"/>
            <w:noWrap w:val="0"/>
            <w:vAlign w:val="center"/>
          </w:tcPr>
          <w:p w14:paraId="2E6C9901">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0.5</w:t>
            </w:r>
          </w:p>
        </w:tc>
        <w:tc>
          <w:tcPr>
            <w:tcW w:w="1103" w:type="dxa"/>
            <w:noWrap w:val="0"/>
            <w:vAlign w:val="center"/>
          </w:tcPr>
          <w:p w14:paraId="6B3BFC78">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 xml:space="preserve">0.0336 </w:t>
            </w:r>
          </w:p>
        </w:tc>
        <w:tc>
          <w:tcPr>
            <w:tcW w:w="1104" w:type="dxa"/>
            <w:noWrap w:val="0"/>
            <w:vAlign w:val="center"/>
          </w:tcPr>
          <w:p w14:paraId="7FC67C1D">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 xml:space="preserve">0.0024 </w:t>
            </w:r>
          </w:p>
        </w:tc>
      </w:tr>
      <w:tr w14:paraId="216AA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57" w:type="dxa"/>
            <w:gridSpan w:val="2"/>
            <w:vMerge w:val="continue"/>
            <w:noWrap w:val="0"/>
            <w:vAlign w:val="center"/>
          </w:tcPr>
          <w:p w14:paraId="31436F40">
            <w:pPr>
              <w:jc w:val="center"/>
              <w:rPr>
                <w:rFonts w:hint="default" w:ascii="Times New Roman" w:hAnsi="Times New Roman" w:eastAsia="宋体" w:cs="Times New Roman"/>
                <w:i w:val="0"/>
                <w:iCs w:val="0"/>
                <w:color w:val="0000FF"/>
                <w:sz w:val="21"/>
                <w:szCs w:val="21"/>
                <w:u w:val="none"/>
              </w:rPr>
            </w:pPr>
          </w:p>
        </w:tc>
        <w:tc>
          <w:tcPr>
            <w:tcW w:w="660" w:type="dxa"/>
            <w:vMerge w:val="continue"/>
            <w:noWrap w:val="0"/>
            <w:vAlign w:val="center"/>
          </w:tcPr>
          <w:p w14:paraId="5F0948BC">
            <w:pPr>
              <w:jc w:val="center"/>
              <w:rPr>
                <w:rFonts w:hint="default" w:ascii="Times New Roman" w:hAnsi="Times New Roman" w:eastAsia="宋体" w:cs="Times New Roman"/>
                <w:i w:val="0"/>
                <w:iCs w:val="0"/>
                <w:color w:val="0000FF"/>
                <w:sz w:val="21"/>
                <w:szCs w:val="21"/>
                <w:u w:val="none"/>
              </w:rPr>
            </w:pPr>
          </w:p>
        </w:tc>
        <w:tc>
          <w:tcPr>
            <w:tcW w:w="930" w:type="dxa"/>
            <w:noWrap w:val="0"/>
            <w:vAlign w:val="center"/>
          </w:tcPr>
          <w:p w14:paraId="7C844EE7">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氯化物</w:t>
            </w:r>
          </w:p>
        </w:tc>
        <w:tc>
          <w:tcPr>
            <w:tcW w:w="1179" w:type="dxa"/>
            <w:noWrap w:val="0"/>
            <w:vAlign w:val="center"/>
          </w:tcPr>
          <w:p w14:paraId="6C80F720">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4800.005</w:t>
            </w:r>
          </w:p>
        </w:tc>
        <w:tc>
          <w:tcPr>
            <w:tcW w:w="1217" w:type="dxa"/>
            <w:noWrap w:val="0"/>
            <w:vAlign w:val="center"/>
          </w:tcPr>
          <w:p w14:paraId="646878B2">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 xml:space="preserve">0.0335 </w:t>
            </w:r>
          </w:p>
        </w:tc>
        <w:tc>
          <w:tcPr>
            <w:tcW w:w="1263" w:type="dxa"/>
            <w:noWrap w:val="0"/>
            <w:vAlign w:val="center"/>
          </w:tcPr>
          <w:p w14:paraId="1FD7E453">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0.00016083</w:t>
            </w:r>
          </w:p>
        </w:tc>
        <w:tc>
          <w:tcPr>
            <w:tcW w:w="752" w:type="dxa"/>
            <w:vMerge w:val="continue"/>
            <w:noWrap w:val="0"/>
            <w:vAlign w:val="center"/>
          </w:tcPr>
          <w:p w14:paraId="0FE86938">
            <w:pPr>
              <w:jc w:val="center"/>
              <w:rPr>
                <w:rFonts w:hint="default" w:ascii="Times New Roman" w:hAnsi="Times New Roman" w:eastAsia="宋体" w:cs="Times New Roman"/>
                <w:i w:val="0"/>
                <w:iCs w:val="0"/>
                <w:color w:val="0000FF"/>
                <w:sz w:val="21"/>
                <w:szCs w:val="21"/>
                <w:u w:val="none"/>
              </w:rPr>
            </w:pPr>
          </w:p>
        </w:tc>
        <w:tc>
          <w:tcPr>
            <w:tcW w:w="752" w:type="dxa"/>
            <w:vMerge w:val="continue"/>
            <w:noWrap w:val="0"/>
            <w:vAlign w:val="center"/>
          </w:tcPr>
          <w:p w14:paraId="40D4C8CB">
            <w:pPr>
              <w:jc w:val="center"/>
              <w:rPr>
                <w:rFonts w:hint="default" w:ascii="Times New Roman" w:hAnsi="Times New Roman" w:eastAsia="宋体" w:cs="Times New Roman"/>
                <w:i w:val="0"/>
                <w:iCs w:val="0"/>
                <w:color w:val="0000FF"/>
                <w:sz w:val="21"/>
                <w:szCs w:val="21"/>
                <w:u w:val="none"/>
              </w:rPr>
            </w:pPr>
          </w:p>
        </w:tc>
        <w:tc>
          <w:tcPr>
            <w:tcW w:w="753" w:type="dxa"/>
            <w:vMerge w:val="continue"/>
            <w:noWrap w:val="0"/>
            <w:vAlign w:val="center"/>
          </w:tcPr>
          <w:p w14:paraId="3B8BFEAD">
            <w:pPr>
              <w:jc w:val="center"/>
              <w:rPr>
                <w:rFonts w:hint="default" w:ascii="Times New Roman" w:hAnsi="Times New Roman" w:eastAsia="宋体" w:cs="Times New Roman"/>
                <w:i w:val="0"/>
                <w:iCs w:val="0"/>
                <w:color w:val="0000FF"/>
                <w:sz w:val="21"/>
                <w:szCs w:val="21"/>
                <w:u w:val="none"/>
              </w:rPr>
            </w:pPr>
          </w:p>
        </w:tc>
        <w:tc>
          <w:tcPr>
            <w:tcW w:w="892" w:type="dxa"/>
            <w:vMerge w:val="continue"/>
            <w:noWrap w:val="0"/>
            <w:vAlign w:val="center"/>
          </w:tcPr>
          <w:p w14:paraId="7B458346">
            <w:pPr>
              <w:jc w:val="center"/>
              <w:rPr>
                <w:rFonts w:hint="default" w:ascii="Times New Roman" w:hAnsi="Times New Roman" w:eastAsia="宋体" w:cs="Times New Roman"/>
                <w:i w:val="0"/>
                <w:iCs w:val="0"/>
                <w:color w:val="0000FF"/>
                <w:kern w:val="0"/>
                <w:sz w:val="21"/>
                <w:szCs w:val="21"/>
                <w:u w:val="none"/>
                <w:lang w:val="en-US" w:eastAsia="zh-CN" w:bidi="ar"/>
              </w:rPr>
            </w:pPr>
          </w:p>
        </w:tc>
        <w:tc>
          <w:tcPr>
            <w:tcW w:w="892" w:type="dxa"/>
            <w:noWrap w:val="0"/>
            <w:vAlign w:val="center"/>
          </w:tcPr>
          <w:p w14:paraId="79131F35">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893" w:type="dxa"/>
            <w:noWrap w:val="0"/>
            <w:vAlign w:val="center"/>
          </w:tcPr>
          <w:p w14:paraId="4C8FC1A7">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103" w:type="dxa"/>
            <w:noWrap w:val="0"/>
            <w:vAlign w:val="center"/>
          </w:tcPr>
          <w:p w14:paraId="54BDC8F6">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104" w:type="dxa"/>
            <w:noWrap w:val="0"/>
            <w:vAlign w:val="center"/>
          </w:tcPr>
          <w:p w14:paraId="5AEF07B4">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r>
    </w:tbl>
    <w:p w14:paraId="6453A386">
      <w:pPr>
        <w:autoSpaceDE w:val="0"/>
        <w:autoSpaceDN w:val="0"/>
        <w:adjustRightInd w:val="0"/>
        <w:spacing w:line="460" w:lineRule="exact"/>
        <w:jc w:val="center"/>
        <w:textAlignment w:val="baseline"/>
        <w:rPr>
          <w:rFonts w:hint="default" w:ascii="Times New Roman" w:hAnsi="Times New Roman" w:cs="Times New Roman"/>
          <w:b/>
          <w:bCs/>
          <w:color w:val="auto"/>
          <w:sz w:val="24"/>
        </w:rPr>
        <w:sectPr>
          <w:pgSz w:w="16838" w:h="11906" w:orient="landscape"/>
          <w:pgMar w:top="1531" w:right="1701" w:bottom="1531" w:left="1701" w:header="851" w:footer="851" w:gutter="0"/>
          <w:pgNumType w:fmt="decimal"/>
          <w:cols w:space="720" w:num="1"/>
          <w:docGrid w:linePitch="312" w:charSpace="0"/>
        </w:sectPr>
      </w:pPr>
    </w:p>
    <w:tbl>
      <w:tblPr>
        <w:tblStyle w:val="35"/>
        <w:tblW w:w="94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
        <w:gridCol w:w="9071"/>
      </w:tblGrid>
      <w:tr w14:paraId="67D3C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1" w:hRule="atLeast"/>
          <w:jc w:val="center"/>
        </w:trPr>
        <w:tc>
          <w:tcPr>
            <w:tcW w:w="354" w:type="dxa"/>
            <w:noWrap w:val="0"/>
            <w:vAlign w:val="center"/>
          </w:tcPr>
          <w:p w14:paraId="369944C8">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运营</w:t>
            </w:r>
          </w:p>
          <w:p w14:paraId="11C77B7F">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期环</w:t>
            </w:r>
          </w:p>
          <w:p w14:paraId="07D07EAB">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境影</w:t>
            </w:r>
          </w:p>
          <w:p w14:paraId="173E9EE4">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响和</w:t>
            </w:r>
          </w:p>
          <w:p w14:paraId="1907C067">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保护</w:t>
            </w:r>
          </w:p>
          <w:p w14:paraId="2DDAC286">
            <w:pPr>
              <w:pStyle w:val="31"/>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措施</w:t>
            </w:r>
          </w:p>
        </w:tc>
        <w:tc>
          <w:tcPr>
            <w:tcW w:w="9071" w:type="dxa"/>
            <w:noWrap w:val="0"/>
            <w:vAlign w:val="top"/>
          </w:tcPr>
          <w:p w14:paraId="22DDCD50">
            <w:pPr>
              <w:pStyle w:val="49"/>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color w:val="auto"/>
              </w:rPr>
            </w:pPr>
            <w:r>
              <w:rPr>
                <w:rFonts w:hint="default" w:ascii="Times New Roman" w:hAnsi="Times New Roman" w:cs="Times New Roman"/>
                <w:b/>
                <w:color w:val="auto"/>
              </w:rPr>
              <w:t>4.2.2.2废水处理措施及可行性分析</w:t>
            </w:r>
          </w:p>
          <w:p w14:paraId="0A3D0218">
            <w:pPr>
              <w:pStyle w:val="49"/>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auto"/>
                <w:szCs w:val="22"/>
              </w:rPr>
            </w:pPr>
            <w:r>
              <w:rPr>
                <w:rFonts w:hint="default" w:ascii="Times New Roman" w:hAnsi="Times New Roman" w:cs="Times New Roman"/>
                <w:color w:val="auto"/>
                <w:szCs w:val="22"/>
              </w:rPr>
              <w:t>（1）废水处理可行性分析</w:t>
            </w:r>
          </w:p>
          <w:p w14:paraId="72F144B8">
            <w:pPr>
              <w:pStyle w:val="49"/>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auto"/>
                <w:szCs w:val="24"/>
              </w:rPr>
            </w:pPr>
            <w:r>
              <w:rPr>
                <w:rFonts w:hint="default" w:ascii="Times New Roman" w:hAnsi="Times New Roman" w:cs="Times New Roman"/>
                <w:color w:val="auto"/>
                <w:szCs w:val="24"/>
              </w:rPr>
              <w:t>①生化池处理可行性</w:t>
            </w:r>
          </w:p>
          <w:p w14:paraId="4CB05E57">
            <w:pPr>
              <w:pStyle w:val="49"/>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auto"/>
                <w:szCs w:val="24"/>
              </w:rPr>
            </w:pPr>
            <w:r>
              <w:rPr>
                <w:rFonts w:hint="default" w:ascii="Times New Roman" w:hAnsi="Times New Roman" w:cs="Times New Roman"/>
                <w:color w:val="auto"/>
                <w:szCs w:val="24"/>
              </w:rPr>
              <w:t>本项目</w:t>
            </w:r>
            <w:r>
              <w:rPr>
                <w:rFonts w:hint="default" w:ascii="Times New Roman" w:hAnsi="Times New Roman" w:cs="Times New Roman"/>
                <w:bCs/>
                <w:color w:val="auto"/>
                <w:szCs w:val="24"/>
              </w:rPr>
              <w:t>租赁厂房已建有生化池，处理规模</w:t>
            </w:r>
            <w:r>
              <w:rPr>
                <w:rFonts w:hint="default" w:ascii="Times New Roman" w:hAnsi="Times New Roman" w:cs="Times New Roman"/>
                <w:bCs/>
                <w:color w:val="auto"/>
                <w:szCs w:val="24"/>
                <w:lang w:val="en-US" w:eastAsia="zh-CN"/>
              </w:rPr>
              <w:t>1</w:t>
            </w:r>
            <w:r>
              <w:rPr>
                <w:rFonts w:hint="default" w:ascii="Times New Roman" w:hAnsi="Times New Roman" w:cs="Times New Roman"/>
                <w:bCs/>
                <w:color w:val="auto"/>
                <w:szCs w:val="24"/>
              </w:rPr>
              <w:t>00m</w:t>
            </w:r>
            <w:r>
              <w:rPr>
                <w:rFonts w:hint="default" w:ascii="Times New Roman" w:hAnsi="Times New Roman" w:cs="Times New Roman"/>
                <w:bCs/>
                <w:color w:val="auto"/>
                <w:szCs w:val="24"/>
                <w:vertAlign w:val="superscript"/>
              </w:rPr>
              <w:t>3</w:t>
            </w:r>
            <w:r>
              <w:rPr>
                <w:rFonts w:hint="default" w:ascii="Times New Roman" w:hAnsi="Times New Roman" w:cs="Times New Roman"/>
                <w:bCs/>
                <w:color w:val="auto"/>
                <w:szCs w:val="24"/>
              </w:rPr>
              <w:t>/d。本项目排入生化池的</w:t>
            </w:r>
            <w:r>
              <w:rPr>
                <w:rFonts w:hint="default" w:ascii="Times New Roman" w:hAnsi="Times New Roman" w:cs="Times New Roman"/>
                <w:bCs/>
                <w:color w:val="auto"/>
                <w:szCs w:val="24"/>
                <w:lang w:val="en-US" w:eastAsia="zh-CN"/>
              </w:rPr>
              <w:t>每日最大</w:t>
            </w:r>
            <w:r>
              <w:rPr>
                <w:rFonts w:hint="default" w:ascii="Times New Roman" w:hAnsi="Times New Roman" w:cs="Times New Roman"/>
                <w:bCs/>
                <w:color w:val="auto"/>
                <w:szCs w:val="24"/>
              </w:rPr>
              <w:t>废水量约</w:t>
            </w:r>
            <w:r>
              <w:rPr>
                <w:rFonts w:hint="eastAsia" w:cs="Times New Roman"/>
                <w:bCs/>
                <w:color w:val="auto"/>
                <w:szCs w:val="24"/>
                <w:lang w:val="en-US" w:eastAsia="zh-CN"/>
              </w:rPr>
              <w:t>16</w:t>
            </w:r>
            <w:r>
              <w:rPr>
                <w:rFonts w:hint="default" w:ascii="Times New Roman" w:hAnsi="Times New Roman" w:cs="Times New Roman"/>
                <w:bCs/>
                <w:color w:val="auto"/>
                <w:szCs w:val="24"/>
              </w:rPr>
              <w:t>m</w:t>
            </w:r>
            <w:r>
              <w:rPr>
                <w:rFonts w:hint="default" w:ascii="Times New Roman" w:hAnsi="Times New Roman" w:cs="Times New Roman"/>
                <w:bCs/>
                <w:color w:val="auto"/>
                <w:szCs w:val="24"/>
                <w:vertAlign w:val="superscript"/>
              </w:rPr>
              <w:t>3</w:t>
            </w:r>
            <w:r>
              <w:rPr>
                <w:rFonts w:hint="default" w:ascii="Times New Roman" w:hAnsi="Times New Roman" w:cs="Times New Roman"/>
                <w:bCs/>
                <w:color w:val="auto"/>
                <w:szCs w:val="24"/>
              </w:rPr>
              <w:t>/d，本项目废水</w:t>
            </w:r>
            <w:r>
              <w:rPr>
                <w:rFonts w:hint="default" w:ascii="Times New Roman" w:hAnsi="Times New Roman" w:cs="Times New Roman"/>
                <w:color w:val="auto"/>
                <w:szCs w:val="24"/>
              </w:rPr>
              <w:t>污染因子简单，依托租赁厂房生化池可行。</w:t>
            </w:r>
          </w:p>
          <w:p w14:paraId="4EA265D3">
            <w:pPr>
              <w:pStyle w:val="49"/>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auto"/>
              </w:rPr>
            </w:pPr>
            <w:r>
              <w:rPr>
                <w:rFonts w:hint="default" w:ascii="Times New Roman" w:hAnsi="Times New Roman" w:cs="Times New Roman"/>
                <w:color w:val="auto"/>
              </w:rPr>
              <w:t>本项目污废水主要污染因子为</w:t>
            </w:r>
            <w:r>
              <w:rPr>
                <w:rFonts w:hint="default" w:ascii="Times New Roman" w:hAnsi="Times New Roman" w:eastAsia="宋体" w:cs="Times New Roman"/>
                <w:color w:val="auto"/>
                <w:highlight w:val="none"/>
                <w:lang w:val="en-US" w:eastAsia="zh-CN"/>
              </w:rPr>
              <w:t>pH、</w:t>
            </w:r>
            <w:r>
              <w:rPr>
                <w:rFonts w:hint="default" w:ascii="Times New Roman" w:hAnsi="Times New Roman" w:cs="Times New Roman"/>
                <w:color w:val="auto"/>
                <w:sz w:val="24"/>
                <w:highlight w:val="none"/>
              </w:rPr>
              <w:t>COD、BOD</w:t>
            </w:r>
            <w:r>
              <w:rPr>
                <w:rFonts w:hint="default" w:ascii="Times New Roman" w:hAnsi="Times New Roman" w:cs="Times New Roman"/>
                <w:color w:val="auto"/>
                <w:sz w:val="24"/>
                <w:highlight w:val="none"/>
                <w:vertAlign w:val="subscript"/>
              </w:rPr>
              <w:t>5</w:t>
            </w:r>
            <w:r>
              <w:rPr>
                <w:rFonts w:hint="default" w:ascii="Times New Roman" w:hAnsi="Times New Roman" w:cs="Times New Roman"/>
                <w:color w:val="auto"/>
                <w:sz w:val="24"/>
                <w:highlight w:val="none"/>
              </w:rPr>
              <w:t>、SS、氨氮</w:t>
            </w:r>
            <w:r>
              <w:rPr>
                <w:rFonts w:hint="eastAsia" w:cs="Times New Roman"/>
                <w:color w:val="auto"/>
                <w:sz w:val="24"/>
                <w:highlight w:val="none"/>
                <w:lang w:eastAsia="zh-CN"/>
              </w:rPr>
              <w:t>、</w:t>
            </w:r>
            <w:r>
              <w:rPr>
                <w:rFonts w:hint="eastAsia" w:cs="Times New Roman"/>
                <w:color w:val="auto"/>
                <w:sz w:val="24"/>
                <w:highlight w:val="none"/>
                <w:lang w:val="en-US" w:eastAsia="zh-CN"/>
              </w:rPr>
              <w:t>氯化物</w:t>
            </w:r>
            <w:r>
              <w:rPr>
                <w:rFonts w:hint="default" w:ascii="Times New Roman" w:hAnsi="Times New Roman" w:cs="Times New Roman"/>
                <w:color w:val="auto"/>
              </w:rPr>
              <w:t>。生化池处理工艺为“</w:t>
            </w:r>
            <w:r>
              <w:rPr>
                <w:rFonts w:hint="default" w:ascii="Times New Roman" w:hAnsi="Times New Roman" w:cs="Times New Roman"/>
                <w:color w:val="auto"/>
                <w:szCs w:val="21"/>
              </w:rPr>
              <w:t>格栅沉淀</w:t>
            </w:r>
            <w:r>
              <w:rPr>
                <w:rFonts w:hint="default" w:ascii="Times New Roman" w:hAnsi="Times New Roman" w:cs="Times New Roman"/>
                <w:color w:val="auto"/>
              </w:rPr>
              <w:t>+水解酸化</w:t>
            </w:r>
            <w:r>
              <w:rPr>
                <w:rFonts w:hint="default" w:ascii="Times New Roman" w:hAnsi="Times New Roman" w:cs="Times New Roman"/>
                <w:color w:val="auto"/>
                <w:lang w:val="en-US" w:eastAsia="zh-CN"/>
              </w:rPr>
              <w:t>+沉淀</w:t>
            </w:r>
            <w:r>
              <w:rPr>
                <w:rFonts w:hint="default" w:ascii="Times New Roman" w:hAnsi="Times New Roman" w:cs="Times New Roman"/>
                <w:color w:val="auto"/>
              </w:rPr>
              <w:t>”，处理工艺满足</w:t>
            </w:r>
            <w:r>
              <w:rPr>
                <w:rFonts w:hint="default" w:ascii="Times New Roman" w:hAnsi="Times New Roman" w:cs="Times New Roman"/>
                <w:color w:val="auto"/>
                <w:szCs w:val="24"/>
              </w:rPr>
              <w:t>要求。</w:t>
            </w:r>
          </w:p>
          <w:p w14:paraId="739F2279">
            <w:pPr>
              <w:pStyle w:val="49"/>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auto"/>
              </w:rPr>
            </w:pPr>
            <w:r>
              <w:rPr>
                <w:rFonts w:hint="default" w:ascii="Times New Roman" w:hAnsi="Times New Roman" w:cs="Times New Roman"/>
                <w:color w:val="auto"/>
              </w:rPr>
              <w:t>生化池环境责任主体为厂房运行管理方（</w:t>
            </w:r>
            <w:r>
              <w:rPr>
                <w:rFonts w:hint="default" w:ascii="Times New Roman" w:hAnsi="Times New Roman" w:cs="Times New Roman"/>
                <w:color w:val="auto"/>
                <w:lang w:val="en-US" w:eastAsia="zh-CN"/>
              </w:rPr>
              <w:t>四川宏智川渝合作建设投资有限公司</w:t>
            </w:r>
            <w:r>
              <w:rPr>
                <w:rFonts w:hint="default" w:ascii="Times New Roman" w:hAnsi="Times New Roman" w:cs="Times New Roman"/>
                <w:color w:val="auto"/>
              </w:rPr>
              <w:t>），由厂房运行管理方负责日常检查、维护和监控。若生化池出现环境问题，由厂房运行管理方负责。</w:t>
            </w:r>
          </w:p>
          <w:p w14:paraId="3C551653">
            <w:pPr>
              <w:pStyle w:val="49"/>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auto"/>
                <w:szCs w:val="22"/>
              </w:rPr>
            </w:pPr>
            <w:r>
              <w:rPr>
                <w:rFonts w:hint="default" w:ascii="Times New Roman" w:hAnsi="Times New Roman" w:cs="Times New Roman"/>
                <w:color w:val="auto"/>
              </w:rPr>
              <w:t>②</w:t>
            </w:r>
            <w:r>
              <w:rPr>
                <w:rFonts w:hint="default" w:ascii="Times New Roman" w:hAnsi="Times New Roman" w:cs="Times New Roman"/>
                <w:color w:val="auto"/>
                <w:szCs w:val="22"/>
              </w:rPr>
              <w:t>污水处理厂依托合理性分析</w:t>
            </w:r>
          </w:p>
          <w:p w14:paraId="50A8D912">
            <w:pPr>
              <w:pStyle w:val="49"/>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szCs w:val="22"/>
                <w:lang w:val="en-US" w:eastAsia="zh-CN"/>
              </w:rPr>
            </w:pPr>
            <w:r>
              <w:rPr>
                <w:rFonts w:hint="default" w:ascii="Times New Roman" w:hAnsi="Times New Roman" w:cs="Times New Roman"/>
                <w:color w:val="auto"/>
                <w:szCs w:val="22"/>
                <w:lang w:val="en-US" w:eastAsia="zh-CN"/>
              </w:rPr>
              <w:t>1、大竹县工业园区污水处理厂简介</w:t>
            </w:r>
          </w:p>
          <w:p w14:paraId="6BBC012F">
            <w:pPr>
              <w:pStyle w:val="25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大竹县工业园区污水处理厂位于大竹经济开发区原大硅锰合金厂上游西南侧300m处，占地22.5亩。根据规划，污水处理厂总规模为2万m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eastAsia="zh-CN"/>
              </w:rPr>
              <w:t>d，分期建设，近期、远期处理规模各1万m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eastAsia="zh-CN"/>
              </w:rPr>
              <w:t>/d。近期工程项目于2016年8月启动，2017年8月完成招投标，处理规模为1万m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eastAsia="zh-CN"/>
              </w:rPr>
              <w:t>/d，同时新建厂外污水收集管网2.75km，总投资3750万</w:t>
            </w:r>
            <w:r>
              <w:rPr>
                <w:rFonts w:hint="eastAsia" w:ascii="Times New Roman" w:hAnsi="Times New Roman" w:cs="Times New Roman"/>
                <w:color w:val="auto"/>
                <w:sz w:val="24"/>
                <w:szCs w:val="24"/>
                <w:lang w:val="en-US" w:eastAsia="zh-CN"/>
              </w:rPr>
              <w:t>元</w:t>
            </w:r>
            <w:r>
              <w:rPr>
                <w:rFonts w:hint="default" w:ascii="Times New Roman" w:hAnsi="Times New Roman" w:cs="Times New Roman"/>
                <w:color w:val="auto"/>
                <w:sz w:val="24"/>
                <w:szCs w:val="24"/>
                <w:lang w:eastAsia="zh-CN"/>
              </w:rPr>
              <w:t>，污水处理厂采用“预处理+水解酸化+A</w:t>
            </w:r>
            <w:r>
              <w:rPr>
                <w:rFonts w:hint="default" w:ascii="Times New Roman" w:hAnsi="Times New Roman" w:cs="Times New Roman"/>
                <w:color w:val="auto"/>
                <w:sz w:val="24"/>
                <w:szCs w:val="24"/>
                <w:vertAlign w:val="baseline"/>
                <w:lang w:eastAsia="zh-CN"/>
              </w:rPr>
              <w:t>2</w:t>
            </w:r>
            <w:r>
              <w:rPr>
                <w:rFonts w:hint="default" w:ascii="Times New Roman" w:hAnsi="Times New Roman" w:cs="Times New Roman"/>
                <w:color w:val="auto"/>
                <w:sz w:val="24"/>
                <w:szCs w:val="24"/>
                <w:lang w:eastAsia="zh-CN"/>
              </w:rPr>
              <w:t>/0生化处理+絮凝沉淀+过滤+紫外线消毒”工艺作为污水处理工艺，出水水质为《城镇污水处理厂污染物排放标准》(GB18918-2002)中的一级A标准，进入东柳河。</w:t>
            </w:r>
          </w:p>
          <w:p w14:paraId="1F2DA38D">
            <w:pPr>
              <w:pStyle w:val="25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大竹县工业园区污水处理厂纳污范围</w:t>
            </w:r>
          </w:p>
          <w:p w14:paraId="6E57CE62">
            <w:pPr>
              <w:pStyle w:val="25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FF"/>
                <w:sz w:val="24"/>
                <w:szCs w:val="24"/>
                <w:lang w:eastAsia="zh-CN"/>
              </w:rPr>
            </w:pPr>
            <w:r>
              <w:rPr>
                <w:rFonts w:hint="default" w:ascii="Times New Roman" w:hAnsi="Times New Roman" w:cs="Times New Roman"/>
                <w:color w:val="0000FF"/>
                <w:sz w:val="24"/>
                <w:szCs w:val="24"/>
                <w:lang w:eastAsia="zh-CN"/>
              </w:rPr>
              <w:t>根据《四川大竹经济开发区总体规划环境影响报告书》，园区污水处理厂近期服务范围为西至竹风大道，东至环城东路，南至凤山东路，北至青春路，服务面积1246.2</w:t>
            </w:r>
            <w:r>
              <w:rPr>
                <w:rFonts w:hint="eastAsia" w:ascii="Times New Roman" w:hAnsi="Times New Roman" w:cs="Times New Roman"/>
                <w:color w:val="0000FF"/>
                <w:sz w:val="24"/>
                <w:szCs w:val="24"/>
                <w:lang w:val="en-US" w:eastAsia="zh-CN"/>
              </w:rPr>
              <w:t>hm</w:t>
            </w:r>
            <w:r>
              <w:rPr>
                <w:rFonts w:hint="eastAsia" w:ascii="Times New Roman" w:hAnsi="Times New Roman" w:cs="Times New Roman"/>
                <w:color w:val="0000FF"/>
                <w:sz w:val="24"/>
                <w:szCs w:val="24"/>
                <w:vertAlign w:val="superscript"/>
                <w:lang w:val="en-US" w:eastAsia="zh-CN"/>
              </w:rPr>
              <w:t>2</w:t>
            </w:r>
            <w:r>
              <w:rPr>
                <w:rFonts w:hint="default" w:ascii="Times New Roman" w:hAnsi="Times New Roman" w:cs="Times New Roman"/>
                <w:color w:val="0000FF"/>
                <w:sz w:val="24"/>
                <w:szCs w:val="24"/>
                <w:lang w:eastAsia="zh-CN"/>
              </w:rPr>
              <w:t>；远期服务范围为西至竹凤大道，东至环城东路，南至凤山东路，北至行知路，服务面积为1691.9</w:t>
            </w:r>
            <w:r>
              <w:rPr>
                <w:rFonts w:hint="eastAsia" w:ascii="Times New Roman" w:hAnsi="Times New Roman" w:cs="Times New Roman"/>
                <w:color w:val="0000FF"/>
                <w:sz w:val="24"/>
                <w:szCs w:val="24"/>
                <w:lang w:val="en-US" w:eastAsia="zh-CN"/>
              </w:rPr>
              <w:t>hm</w:t>
            </w:r>
            <w:r>
              <w:rPr>
                <w:rFonts w:hint="eastAsia" w:ascii="Times New Roman" w:hAnsi="Times New Roman" w:cs="Times New Roman"/>
                <w:color w:val="0000FF"/>
                <w:sz w:val="24"/>
                <w:szCs w:val="24"/>
                <w:vertAlign w:val="superscript"/>
                <w:lang w:val="en-US" w:eastAsia="zh-CN"/>
              </w:rPr>
              <w:t>2</w:t>
            </w:r>
            <w:r>
              <w:rPr>
                <w:rFonts w:hint="default" w:ascii="Times New Roman" w:hAnsi="Times New Roman" w:cs="Times New Roman"/>
                <w:color w:val="0000FF"/>
                <w:sz w:val="24"/>
                <w:szCs w:val="24"/>
                <w:lang w:eastAsia="zh-CN"/>
              </w:rPr>
              <w:t>。目前，已开发建成区现状排水体制为雨、污分流制，雨水通过地表径流经道路两侧排水沟排入东柳河，部分工业废水自行处理达相关标准后排入园区污水管道通过大竹县园区</w:t>
            </w:r>
            <w:r>
              <w:rPr>
                <w:rFonts w:hint="eastAsia" w:ascii="Times New Roman" w:hAnsi="Times New Roman" w:cs="Times New Roman"/>
                <w:color w:val="0000FF"/>
                <w:sz w:val="24"/>
                <w:szCs w:val="24"/>
                <w:lang w:val="en-US" w:eastAsia="zh-CN"/>
              </w:rPr>
              <w:t>污水处理厂</w:t>
            </w:r>
            <w:r>
              <w:rPr>
                <w:rFonts w:hint="default" w:ascii="Times New Roman" w:hAnsi="Times New Roman" w:cs="Times New Roman"/>
                <w:color w:val="0000FF"/>
                <w:sz w:val="24"/>
                <w:szCs w:val="24"/>
                <w:lang w:eastAsia="zh-CN"/>
              </w:rPr>
              <w:t>处理后排入水体。</w:t>
            </w:r>
          </w:p>
          <w:p w14:paraId="7FFF2D3D">
            <w:pPr>
              <w:pStyle w:val="25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本项目位于大竹县工业园区内，在园区污水处理厂的纳污范围内，项目雨、污管网已纳入市域排水规划体系。</w:t>
            </w:r>
            <w:r>
              <w:rPr>
                <w:rFonts w:hint="eastAsia" w:ascii="Times New Roman" w:hAnsi="Times New Roman" w:cs="Times New Roman"/>
                <w:color w:val="auto"/>
                <w:sz w:val="24"/>
                <w:szCs w:val="24"/>
                <w:lang w:val="en-US" w:eastAsia="zh-CN"/>
              </w:rPr>
              <w:t>根据现场踏勘</w:t>
            </w:r>
            <w:r>
              <w:rPr>
                <w:rFonts w:hint="default" w:ascii="Times New Roman" w:hAnsi="Times New Roman" w:cs="Times New Roman"/>
                <w:color w:val="auto"/>
                <w:sz w:val="24"/>
                <w:szCs w:val="24"/>
                <w:lang w:eastAsia="zh-CN"/>
              </w:rPr>
              <w:t>，项目区已建成的园区道路，已配套建设了园区雨污分流管网，污水管道也接入了大竹县园区污水处理厂，项目的污水</w:t>
            </w:r>
            <w:r>
              <w:rPr>
                <w:rFonts w:hint="default" w:ascii="Times New Roman" w:hAnsi="Times New Roman" w:cs="Times New Roman"/>
                <w:color w:val="auto"/>
                <w:sz w:val="24"/>
                <w:szCs w:val="24"/>
                <w:lang w:val="en-US" w:eastAsia="zh-CN"/>
              </w:rPr>
              <w:t>经过生化池处理达标后</w:t>
            </w:r>
            <w:r>
              <w:rPr>
                <w:rFonts w:hint="default" w:ascii="Times New Roman" w:hAnsi="Times New Roman" w:cs="Times New Roman"/>
                <w:color w:val="auto"/>
                <w:sz w:val="24"/>
                <w:szCs w:val="24"/>
                <w:lang w:eastAsia="zh-CN"/>
              </w:rPr>
              <w:t>方可排入大竹县工业园区污水处理厂。</w:t>
            </w:r>
          </w:p>
          <w:p w14:paraId="0798D09E">
            <w:pPr>
              <w:pStyle w:val="49"/>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rPr>
            </w:pPr>
            <w:r>
              <w:rPr>
                <w:rFonts w:hint="default" w:ascii="Times New Roman" w:hAnsi="Times New Roman" w:cs="Times New Roman"/>
                <w:color w:val="auto"/>
                <w:lang w:val="en-US" w:eastAsia="zh-CN"/>
              </w:rPr>
              <w:t>3、</w:t>
            </w:r>
            <w:r>
              <w:rPr>
                <w:rFonts w:hint="default" w:ascii="Times New Roman" w:hAnsi="Times New Roman" w:cs="Times New Roman"/>
                <w:color w:val="auto"/>
              </w:rPr>
              <w:t>污水处理规模的可行性</w:t>
            </w:r>
          </w:p>
          <w:p w14:paraId="13FC2D18">
            <w:pPr>
              <w:pStyle w:val="49"/>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auto"/>
              </w:rPr>
            </w:pPr>
            <w:r>
              <w:rPr>
                <w:rFonts w:hint="default" w:ascii="Times New Roman" w:hAnsi="Times New Roman" w:cs="Times New Roman"/>
                <w:color w:val="auto"/>
              </w:rPr>
              <w:t>大竹县工业园区污水处理厂的设计处理规模为1万m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rPr>
              <w:t>/d</w:t>
            </w:r>
            <w:r>
              <w:rPr>
                <w:rFonts w:hint="default" w:ascii="Times New Roman" w:hAnsi="Times New Roman" w:cs="Times New Roman"/>
                <w:color w:val="auto"/>
                <w:lang w:eastAsia="zh-CN"/>
              </w:rPr>
              <w:t>，</w:t>
            </w:r>
            <w:r>
              <w:rPr>
                <w:rFonts w:hint="default" w:ascii="Times New Roman" w:hAnsi="Times New Roman" w:cs="Times New Roman"/>
                <w:color w:val="auto"/>
              </w:rPr>
              <w:t>而本项目运营期的废水</w:t>
            </w:r>
            <w:r>
              <w:rPr>
                <w:rFonts w:hint="default" w:ascii="Times New Roman" w:hAnsi="Times New Roman" w:cs="Times New Roman"/>
                <w:color w:val="auto"/>
                <w:lang w:val="en-US" w:eastAsia="zh-CN"/>
              </w:rPr>
              <w:t>最大</w:t>
            </w:r>
            <w:r>
              <w:rPr>
                <w:rFonts w:hint="default" w:ascii="Times New Roman" w:hAnsi="Times New Roman" w:cs="Times New Roman"/>
                <w:color w:val="auto"/>
              </w:rPr>
              <w:t>排放量</w:t>
            </w:r>
            <w:r>
              <w:rPr>
                <w:rFonts w:hint="eastAsia" w:ascii="Times New Roman" w:hAnsi="Times New Roman" w:cs="Times New Roman"/>
                <w:color w:val="auto"/>
                <w:lang w:val="en-US" w:eastAsia="zh-CN"/>
              </w:rPr>
              <w:t>约</w:t>
            </w:r>
            <w:r>
              <w:rPr>
                <w:rFonts w:hint="default" w:ascii="Times New Roman" w:hAnsi="Times New Roman" w:cs="Times New Roman"/>
                <w:color w:val="auto"/>
              </w:rPr>
              <w:t>为</w:t>
            </w:r>
            <w:r>
              <w:rPr>
                <w:rFonts w:hint="eastAsia" w:cs="Times New Roman"/>
                <w:color w:val="auto"/>
                <w:lang w:val="en-US" w:eastAsia="zh-CN"/>
              </w:rPr>
              <w:t>16</w:t>
            </w:r>
            <w:r>
              <w:rPr>
                <w:rFonts w:hint="default" w:ascii="Times New Roman" w:hAnsi="Times New Roman" w:cs="Times New Roman"/>
                <w:color w:val="auto"/>
              </w:rPr>
              <w:t>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rPr>
              <w:t>/d，仅占大竹县工业园区污水处理厂处理能力的0.</w:t>
            </w:r>
            <w:r>
              <w:rPr>
                <w:rFonts w:hint="eastAsia" w:ascii="Times New Roman" w:hAnsi="Times New Roman" w:cs="Times New Roman"/>
                <w:color w:val="auto"/>
                <w:lang w:val="en-US" w:eastAsia="zh-CN"/>
              </w:rPr>
              <w:t>1</w:t>
            </w:r>
            <w:r>
              <w:rPr>
                <w:rFonts w:hint="eastAsia" w:cs="Times New Roman"/>
                <w:color w:val="auto"/>
                <w:lang w:val="en-US" w:eastAsia="zh-CN"/>
              </w:rPr>
              <w:t>6</w:t>
            </w:r>
            <w:r>
              <w:rPr>
                <w:rFonts w:hint="default" w:ascii="Times New Roman" w:hAnsi="Times New Roman" w:cs="Times New Roman"/>
                <w:color w:val="auto"/>
              </w:rPr>
              <w:t>%，属于可接受程度范围之内。</w:t>
            </w:r>
          </w:p>
          <w:p w14:paraId="46A3FDA2">
            <w:pPr>
              <w:pStyle w:val="49"/>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auto"/>
              </w:rPr>
            </w:pPr>
            <w:r>
              <w:rPr>
                <w:rFonts w:hint="default" w:ascii="Times New Roman" w:hAnsi="Times New Roman" w:cs="Times New Roman"/>
                <w:color w:val="auto"/>
              </w:rPr>
              <w:t>综上所述，只要保证各环保设施的正常运行，本项目产生的废水对地表水环境的影响不大。</w:t>
            </w:r>
          </w:p>
          <w:p w14:paraId="478FF28B">
            <w:pPr>
              <w:pStyle w:val="49"/>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cs="Times New Roman"/>
                <w:b/>
                <w:color w:val="auto"/>
              </w:rPr>
            </w:pPr>
            <w:r>
              <w:rPr>
                <w:rFonts w:hint="default" w:ascii="Times New Roman" w:hAnsi="Times New Roman" w:cs="Times New Roman"/>
                <w:b/>
                <w:color w:val="auto"/>
              </w:rPr>
              <w:t>4.2.2.3废水达标排放分析</w:t>
            </w:r>
          </w:p>
          <w:p w14:paraId="0EEB06F8">
            <w:pPr>
              <w:pStyle w:val="10"/>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baseline"/>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表4.2-1</w:t>
            </w:r>
            <w:r>
              <w:rPr>
                <w:rFonts w:hint="default" w:ascii="Times New Roman" w:hAnsi="Times New Roman" w:eastAsia="宋体" w:cs="Times New Roman"/>
                <w:b/>
                <w:bCs/>
                <w:color w:val="auto"/>
                <w:sz w:val="24"/>
                <w:szCs w:val="24"/>
                <w:lang w:val="en-US" w:eastAsia="zh-CN"/>
              </w:rPr>
              <w:t>8</w:t>
            </w:r>
            <w:r>
              <w:rPr>
                <w:rFonts w:hint="default" w:ascii="Times New Roman" w:hAnsi="Times New Roman" w:eastAsia="宋体" w:cs="Times New Roman"/>
                <w:b/>
                <w:bCs/>
                <w:color w:val="auto"/>
                <w:sz w:val="24"/>
                <w:szCs w:val="24"/>
              </w:rPr>
              <w:t xml:space="preserve">  废水排放口达标排放分析表</w:t>
            </w:r>
          </w:p>
          <w:tbl>
            <w:tblPr>
              <w:tblStyle w:val="35"/>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842"/>
              <w:gridCol w:w="882"/>
              <w:gridCol w:w="1087"/>
              <w:gridCol w:w="1050"/>
              <w:gridCol w:w="1137"/>
              <w:gridCol w:w="1935"/>
              <w:gridCol w:w="671"/>
            </w:tblGrid>
            <w:tr w14:paraId="0AFDA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00" w:type="dxa"/>
                  <w:vMerge w:val="restart"/>
                  <w:noWrap w:val="0"/>
                  <w:vAlign w:val="center"/>
                </w:tcPr>
                <w:p w14:paraId="1AE0882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废水排放口编号</w:t>
                  </w:r>
                </w:p>
              </w:tc>
              <w:tc>
                <w:tcPr>
                  <w:tcW w:w="842" w:type="dxa"/>
                  <w:vMerge w:val="restart"/>
                  <w:noWrap w:val="0"/>
                  <w:vAlign w:val="center"/>
                </w:tcPr>
                <w:p w14:paraId="504A2DB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排放废水量m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/a</w:t>
                  </w:r>
                </w:p>
              </w:tc>
              <w:tc>
                <w:tcPr>
                  <w:tcW w:w="3019" w:type="dxa"/>
                  <w:gridSpan w:val="3"/>
                  <w:noWrap w:val="0"/>
                  <w:vAlign w:val="center"/>
                </w:tcPr>
                <w:p w14:paraId="57AFE4A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排放量</w:t>
                  </w:r>
                </w:p>
              </w:tc>
              <w:tc>
                <w:tcPr>
                  <w:tcW w:w="3072" w:type="dxa"/>
                  <w:gridSpan w:val="2"/>
                  <w:noWrap w:val="0"/>
                  <w:vAlign w:val="center"/>
                </w:tcPr>
                <w:p w14:paraId="4B27890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排放标准</w:t>
                  </w:r>
                </w:p>
              </w:tc>
              <w:tc>
                <w:tcPr>
                  <w:tcW w:w="671" w:type="dxa"/>
                  <w:vMerge w:val="restart"/>
                  <w:noWrap w:val="0"/>
                  <w:vAlign w:val="center"/>
                </w:tcPr>
                <w:p w14:paraId="17C4753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达标情况</w:t>
                  </w:r>
                </w:p>
              </w:tc>
            </w:tr>
            <w:tr w14:paraId="38DCE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00" w:type="dxa"/>
                  <w:vMerge w:val="continue"/>
                  <w:noWrap w:val="0"/>
                  <w:vAlign w:val="center"/>
                </w:tcPr>
                <w:p w14:paraId="1EDF435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842" w:type="dxa"/>
                  <w:vMerge w:val="continue"/>
                  <w:noWrap w:val="0"/>
                  <w:vAlign w:val="center"/>
                </w:tcPr>
                <w:p w14:paraId="3F53545D">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882" w:type="dxa"/>
                  <w:noWrap w:val="0"/>
                  <w:vAlign w:val="center"/>
                </w:tcPr>
                <w:p w14:paraId="4C85042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污染</w:t>
                  </w:r>
                </w:p>
                <w:p w14:paraId="30A0F25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因子</w:t>
                  </w:r>
                </w:p>
              </w:tc>
              <w:tc>
                <w:tcPr>
                  <w:tcW w:w="1087" w:type="dxa"/>
                  <w:noWrap w:val="0"/>
                  <w:vAlign w:val="center"/>
                </w:tcPr>
                <w:p w14:paraId="4B1C866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排放浓度mg/m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050" w:type="dxa"/>
                  <w:noWrap w:val="0"/>
                  <w:vAlign w:val="center"/>
                </w:tcPr>
                <w:p w14:paraId="52A2CCC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排放量t/a</w:t>
                  </w:r>
                </w:p>
              </w:tc>
              <w:tc>
                <w:tcPr>
                  <w:tcW w:w="1137" w:type="dxa"/>
                  <w:noWrap w:val="0"/>
                  <w:vAlign w:val="center"/>
                </w:tcPr>
                <w:p w14:paraId="4AA8856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标准限值mg/m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1935" w:type="dxa"/>
                  <w:noWrap w:val="0"/>
                  <w:vAlign w:val="center"/>
                </w:tcPr>
                <w:p w14:paraId="5D58D99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标准文号</w:t>
                  </w:r>
                </w:p>
              </w:tc>
              <w:tc>
                <w:tcPr>
                  <w:tcW w:w="671" w:type="dxa"/>
                  <w:vMerge w:val="continue"/>
                  <w:noWrap w:val="0"/>
                  <w:vAlign w:val="center"/>
                </w:tcPr>
                <w:p w14:paraId="3CCB6F98">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r>
            <w:tr w14:paraId="51E3B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00" w:type="dxa"/>
                  <w:vMerge w:val="restart"/>
                  <w:noWrap w:val="0"/>
                  <w:vAlign w:val="center"/>
                </w:tcPr>
                <w:p w14:paraId="58C454D3">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DW001（依托生化池排放口）</w:t>
                  </w:r>
                </w:p>
              </w:tc>
              <w:tc>
                <w:tcPr>
                  <w:tcW w:w="842" w:type="dxa"/>
                  <w:vMerge w:val="restart"/>
                  <w:noWrap w:val="0"/>
                  <w:vAlign w:val="center"/>
                </w:tcPr>
                <w:p w14:paraId="1353DE4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4800.0005</w:t>
                  </w:r>
                </w:p>
              </w:tc>
              <w:tc>
                <w:tcPr>
                  <w:tcW w:w="882" w:type="dxa"/>
                  <w:noWrap w:val="0"/>
                  <w:vAlign w:val="center"/>
                </w:tcPr>
                <w:p w14:paraId="668D9F9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COD</w:t>
                  </w:r>
                </w:p>
              </w:tc>
              <w:tc>
                <w:tcPr>
                  <w:tcW w:w="1087" w:type="dxa"/>
                  <w:noWrap w:val="0"/>
                  <w:vAlign w:val="center"/>
                </w:tcPr>
                <w:p w14:paraId="5526946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400</w:t>
                  </w:r>
                </w:p>
              </w:tc>
              <w:tc>
                <w:tcPr>
                  <w:tcW w:w="1050" w:type="dxa"/>
                  <w:noWrap w:val="0"/>
                  <w:vAlign w:val="center"/>
                </w:tcPr>
                <w:p w14:paraId="50FA115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 xml:space="preserve">1.9200 </w:t>
                  </w:r>
                </w:p>
              </w:tc>
              <w:tc>
                <w:tcPr>
                  <w:tcW w:w="1137" w:type="dxa"/>
                  <w:noWrap w:val="0"/>
                  <w:vAlign w:val="center"/>
                </w:tcPr>
                <w:p w14:paraId="70FA8B3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500</w:t>
                  </w:r>
                </w:p>
              </w:tc>
              <w:tc>
                <w:tcPr>
                  <w:tcW w:w="1935" w:type="dxa"/>
                  <w:vMerge w:val="restart"/>
                  <w:noWrap w:val="0"/>
                  <w:vAlign w:val="center"/>
                </w:tcPr>
                <w:p w14:paraId="665626A5">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《污水综合排放标准》（GB8978-1996）三级标准，园区污水处理厂接管要求</w:t>
                  </w:r>
                </w:p>
              </w:tc>
              <w:tc>
                <w:tcPr>
                  <w:tcW w:w="671" w:type="dxa"/>
                  <w:noWrap w:val="0"/>
                  <w:vAlign w:val="center"/>
                </w:tcPr>
                <w:p w14:paraId="0A3EE32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7D734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00" w:type="dxa"/>
                  <w:vMerge w:val="continue"/>
                  <w:noWrap w:val="0"/>
                  <w:vAlign w:val="center"/>
                </w:tcPr>
                <w:p w14:paraId="7E46F623">
                  <w:pPr>
                    <w:keepNext w:val="0"/>
                    <w:keepLines w:val="0"/>
                    <w:pageBreakBefore w:val="0"/>
                    <w:kinsoku/>
                    <w:wordWrap/>
                    <w:overflowPunct/>
                    <w:topLinePunct w:val="0"/>
                    <w:autoSpaceDE/>
                    <w:autoSpaceDN/>
                    <w:bidi w:val="0"/>
                    <w:adjustRightInd/>
                    <w:snapToGrid/>
                    <w:jc w:val="both"/>
                    <w:rPr>
                      <w:rFonts w:hint="default" w:ascii="Times New Roman" w:hAnsi="Times New Roman" w:eastAsia="宋体" w:cs="Times New Roman"/>
                      <w:i w:val="0"/>
                      <w:iCs w:val="0"/>
                      <w:color w:val="auto"/>
                      <w:sz w:val="21"/>
                      <w:szCs w:val="21"/>
                      <w:u w:val="none"/>
                    </w:rPr>
                  </w:pPr>
                </w:p>
              </w:tc>
              <w:tc>
                <w:tcPr>
                  <w:tcW w:w="842" w:type="dxa"/>
                  <w:vMerge w:val="continue"/>
                  <w:noWrap w:val="0"/>
                  <w:vAlign w:val="center"/>
                </w:tcPr>
                <w:p w14:paraId="6D0C6092">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0000FF"/>
                      <w:sz w:val="21"/>
                      <w:szCs w:val="21"/>
                      <w:u w:val="none"/>
                    </w:rPr>
                  </w:pPr>
                </w:p>
              </w:tc>
              <w:tc>
                <w:tcPr>
                  <w:tcW w:w="882" w:type="dxa"/>
                  <w:noWrap w:val="0"/>
                  <w:vAlign w:val="center"/>
                </w:tcPr>
                <w:p w14:paraId="61F9693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BOD</w:t>
                  </w:r>
                  <w:r>
                    <w:rPr>
                      <w:rFonts w:hint="default" w:ascii="Times New Roman" w:hAnsi="Times New Roman" w:eastAsia="宋体" w:cs="Times New Roman"/>
                      <w:i w:val="0"/>
                      <w:iCs w:val="0"/>
                      <w:color w:val="0000FF"/>
                      <w:kern w:val="0"/>
                      <w:sz w:val="21"/>
                      <w:szCs w:val="21"/>
                      <w:u w:val="none"/>
                      <w:vertAlign w:val="subscript"/>
                      <w:lang w:val="en-US" w:eastAsia="zh-CN" w:bidi="ar"/>
                    </w:rPr>
                    <w:t>5</w:t>
                  </w:r>
                </w:p>
              </w:tc>
              <w:tc>
                <w:tcPr>
                  <w:tcW w:w="1087" w:type="dxa"/>
                  <w:noWrap w:val="0"/>
                  <w:vAlign w:val="center"/>
                </w:tcPr>
                <w:p w14:paraId="3414F0D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200</w:t>
                  </w:r>
                </w:p>
              </w:tc>
              <w:tc>
                <w:tcPr>
                  <w:tcW w:w="1050" w:type="dxa"/>
                  <w:noWrap w:val="0"/>
                  <w:vAlign w:val="center"/>
                </w:tcPr>
                <w:p w14:paraId="5A18571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 xml:space="preserve">0.9600 </w:t>
                  </w:r>
                </w:p>
              </w:tc>
              <w:tc>
                <w:tcPr>
                  <w:tcW w:w="1137" w:type="dxa"/>
                  <w:noWrap w:val="0"/>
                  <w:vAlign w:val="center"/>
                </w:tcPr>
                <w:p w14:paraId="4CC711F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300</w:t>
                  </w:r>
                </w:p>
              </w:tc>
              <w:tc>
                <w:tcPr>
                  <w:tcW w:w="1935" w:type="dxa"/>
                  <w:vMerge w:val="continue"/>
                  <w:noWrap w:val="0"/>
                  <w:vAlign w:val="center"/>
                </w:tcPr>
                <w:p w14:paraId="5891244A">
                  <w:pPr>
                    <w:keepNext w:val="0"/>
                    <w:keepLines w:val="0"/>
                    <w:pageBreakBefore w:val="0"/>
                    <w:kinsoku/>
                    <w:wordWrap/>
                    <w:overflowPunct/>
                    <w:topLinePunct w:val="0"/>
                    <w:autoSpaceDE/>
                    <w:autoSpaceDN/>
                    <w:bidi w:val="0"/>
                    <w:adjustRightInd/>
                    <w:snapToGrid/>
                    <w:jc w:val="both"/>
                    <w:rPr>
                      <w:rFonts w:hint="default" w:ascii="Times New Roman" w:hAnsi="Times New Roman" w:eastAsia="宋体" w:cs="Times New Roman"/>
                      <w:i w:val="0"/>
                      <w:iCs w:val="0"/>
                      <w:color w:val="auto"/>
                      <w:sz w:val="21"/>
                      <w:szCs w:val="21"/>
                      <w:u w:val="none"/>
                    </w:rPr>
                  </w:pPr>
                </w:p>
              </w:tc>
              <w:tc>
                <w:tcPr>
                  <w:tcW w:w="671" w:type="dxa"/>
                  <w:noWrap w:val="0"/>
                  <w:vAlign w:val="center"/>
                </w:tcPr>
                <w:p w14:paraId="25A9FA3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3F3D6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900" w:type="dxa"/>
                  <w:vMerge w:val="continue"/>
                  <w:noWrap w:val="0"/>
                  <w:vAlign w:val="center"/>
                </w:tcPr>
                <w:p w14:paraId="17B7BEF3">
                  <w:pPr>
                    <w:keepNext w:val="0"/>
                    <w:keepLines w:val="0"/>
                    <w:pageBreakBefore w:val="0"/>
                    <w:kinsoku/>
                    <w:wordWrap/>
                    <w:overflowPunct/>
                    <w:topLinePunct w:val="0"/>
                    <w:autoSpaceDE/>
                    <w:autoSpaceDN/>
                    <w:bidi w:val="0"/>
                    <w:adjustRightInd/>
                    <w:snapToGrid/>
                    <w:jc w:val="both"/>
                    <w:rPr>
                      <w:rFonts w:hint="default" w:ascii="Times New Roman" w:hAnsi="Times New Roman" w:eastAsia="宋体" w:cs="Times New Roman"/>
                      <w:i w:val="0"/>
                      <w:iCs w:val="0"/>
                      <w:color w:val="auto"/>
                      <w:sz w:val="21"/>
                      <w:szCs w:val="21"/>
                      <w:u w:val="none"/>
                    </w:rPr>
                  </w:pPr>
                </w:p>
              </w:tc>
              <w:tc>
                <w:tcPr>
                  <w:tcW w:w="842" w:type="dxa"/>
                  <w:vMerge w:val="continue"/>
                  <w:noWrap w:val="0"/>
                  <w:vAlign w:val="center"/>
                </w:tcPr>
                <w:p w14:paraId="5126DD38">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0000FF"/>
                      <w:sz w:val="21"/>
                      <w:szCs w:val="21"/>
                      <w:u w:val="none"/>
                    </w:rPr>
                  </w:pPr>
                </w:p>
              </w:tc>
              <w:tc>
                <w:tcPr>
                  <w:tcW w:w="882" w:type="dxa"/>
                  <w:noWrap w:val="0"/>
                  <w:vAlign w:val="center"/>
                </w:tcPr>
                <w:p w14:paraId="37DE2DC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SS</w:t>
                  </w:r>
                </w:p>
              </w:tc>
              <w:tc>
                <w:tcPr>
                  <w:tcW w:w="1087" w:type="dxa"/>
                  <w:noWrap w:val="0"/>
                  <w:vAlign w:val="center"/>
                </w:tcPr>
                <w:p w14:paraId="5DE541F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300</w:t>
                  </w:r>
                </w:p>
              </w:tc>
              <w:tc>
                <w:tcPr>
                  <w:tcW w:w="1050" w:type="dxa"/>
                  <w:noWrap w:val="0"/>
                  <w:vAlign w:val="center"/>
                </w:tcPr>
                <w:p w14:paraId="334589E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 xml:space="preserve">1.4400 </w:t>
                  </w:r>
                </w:p>
              </w:tc>
              <w:tc>
                <w:tcPr>
                  <w:tcW w:w="1137" w:type="dxa"/>
                  <w:noWrap w:val="0"/>
                  <w:vAlign w:val="center"/>
                </w:tcPr>
                <w:p w14:paraId="094CB75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400</w:t>
                  </w:r>
                </w:p>
              </w:tc>
              <w:tc>
                <w:tcPr>
                  <w:tcW w:w="1935" w:type="dxa"/>
                  <w:vMerge w:val="continue"/>
                  <w:noWrap w:val="0"/>
                  <w:vAlign w:val="center"/>
                </w:tcPr>
                <w:p w14:paraId="5C67213A">
                  <w:pPr>
                    <w:keepNext w:val="0"/>
                    <w:keepLines w:val="0"/>
                    <w:pageBreakBefore w:val="0"/>
                    <w:kinsoku/>
                    <w:wordWrap/>
                    <w:overflowPunct/>
                    <w:topLinePunct w:val="0"/>
                    <w:autoSpaceDE/>
                    <w:autoSpaceDN/>
                    <w:bidi w:val="0"/>
                    <w:adjustRightInd/>
                    <w:snapToGrid/>
                    <w:jc w:val="both"/>
                    <w:rPr>
                      <w:rFonts w:hint="default" w:ascii="Times New Roman" w:hAnsi="Times New Roman" w:eastAsia="宋体" w:cs="Times New Roman"/>
                      <w:i w:val="0"/>
                      <w:iCs w:val="0"/>
                      <w:color w:val="auto"/>
                      <w:sz w:val="21"/>
                      <w:szCs w:val="21"/>
                      <w:u w:val="none"/>
                    </w:rPr>
                  </w:pPr>
                </w:p>
              </w:tc>
              <w:tc>
                <w:tcPr>
                  <w:tcW w:w="671" w:type="dxa"/>
                  <w:noWrap w:val="0"/>
                  <w:vAlign w:val="center"/>
                </w:tcPr>
                <w:p w14:paraId="126A1C1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3C60D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0" w:type="dxa"/>
                  <w:vMerge w:val="continue"/>
                  <w:noWrap w:val="0"/>
                  <w:vAlign w:val="center"/>
                </w:tcPr>
                <w:p w14:paraId="08B89928">
                  <w:pPr>
                    <w:keepNext w:val="0"/>
                    <w:keepLines w:val="0"/>
                    <w:pageBreakBefore w:val="0"/>
                    <w:kinsoku/>
                    <w:wordWrap/>
                    <w:overflowPunct/>
                    <w:topLinePunct w:val="0"/>
                    <w:autoSpaceDE/>
                    <w:autoSpaceDN/>
                    <w:bidi w:val="0"/>
                    <w:adjustRightInd/>
                    <w:snapToGrid/>
                    <w:jc w:val="both"/>
                    <w:rPr>
                      <w:rFonts w:hint="default" w:ascii="Times New Roman" w:hAnsi="Times New Roman" w:eastAsia="宋体" w:cs="Times New Roman"/>
                      <w:i w:val="0"/>
                      <w:iCs w:val="0"/>
                      <w:color w:val="auto"/>
                      <w:sz w:val="21"/>
                      <w:szCs w:val="21"/>
                      <w:u w:val="none"/>
                    </w:rPr>
                  </w:pPr>
                </w:p>
              </w:tc>
              <w:tc>
                <w:tcPr>
                  <w:tcW w:w="842" w:type="dxa"/>
                  <w:vMerge w:val="continue"/>
                  <w:noWrap w:val="0"/>
                  <w:vAlign w:val="center"/>
                </w:tcPr>
                <w:p w14:paraId="555FAF9C">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0000FF"/>
                      <w:sz w:val="21"/>
                      <w:szCs w:val="21"/>
                      <w:u w:val="none"/>
                    </w:rPr>
                  </w:pPr>
                </w:p>
              </w:tc>
              <w:tc>
                <w:tcPr>
                  <w:tcW w:w="882" w:type="dxa"/>
                  <w:noWrap w:val="0"/>
                  <w:vAlign w:val="center"/>
                </w:tcPr>
                <w:p w14:paraId="34D7B91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NH</w:t>
                  </w:r>
                  <w:r>
                    <w:rPr>
                      <w:rFonts w:hint="default" w:ascii="Times New Roman" w:hAnsi="Times New Roman" w:eastAsia="宋体" w:cs="Times New Roman"/>
                      <w:i w:val="0"/>
                      <w:iCs w:val="0"/>
                      <w:color w:val="0000FF"/>
                      <w:kern w:val="0"/>
                      <w:sz w:val="21"/>
                      <w:szCs w:val="21"/>
                      <w:u w:val="none"/>
                      <w:vertAlign w:val="subscript"/>
                      <w:lang w:val="en-US" w:eastAsia="zh-CN" w:bidi="ar"/>
                    </w:rPr>
                    <w:t>3</w:t>
                  </w:r>
                  <w:r>
                    <w:rPr>
                      <w:rFonts w:hint="default" w:ascii="Times New Roman" w:hAnsi="Times New Roman" w:eastAsia="宋体" w:cs="Times New Roman"/>
                      <w:i w:val="0"/>
                      <w:iCs w:val="0"/>
                      <w:color w:val="0000FF"/>
                      <w:kern w:val="0"/>
                      <w:sz w:val="21"/>
                      <w:szCs w:val="21"/>
                      <w:u w:val="none"/>
                      <w:lang w:val="en-US" w:eastAsia="zh-CN" w:bidi="ar"/>
                    </w:rPr>
                    <w:t>-N</w:t>
                  </w:r>
                </w:p>
              </w:tc>
              <w:tc>
                <w:tcPr>
                  <w:tcW w:w="1087" w:type="dxa"/>
                  <w:noWrap w:val="0"/>
                  <w:vAlign w:val="center"/>
                </w:tcPr>
                <w:p w14:paraId="50E2812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40</w:t>
                  </w:r>
                </w:p>
              </w:tc>
              <w:tc>
                <w:tcPr>
                  <w:tcW w:w="1050" w:type="dxa"/>
                  <w:noWrap w:val="0"/>
                  <w:vAlign w:val="center"/>
                </w:tcPr>
                <w:p w14:paraId="0EF8319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 xml:space="preserve">0.1920 </w:t>
                  </w:r>
                </w:p>
              </w:tc>
              <w:tc>
                <w:tcPr>
                  <w:tcW w:w="1137" w:type="dxa"/>
                  <w:noWrap w:val="0"/>
                  <w:vAlign w:val="center"/>
                </w:tcPr>
                <w:p w14:paraId="5BF78D5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45</w:t>
                  </w:r>
                </w:p>
              </w:tc>
              <w:tc>
                <w:tcPr>
                  <w:tcW w:w="1935" w:type="dxa"/>
                  <w:vMerge w:val="continue"/>
                  <w:noWrap w:val="0"/>
                  <w:vAlign w:val="center"/>
                </w:tcPr>
                <w:p w14:paraId="32A852B7">
                  <w:pPr>
                    <w:keepNext w:val="0"/>
                    <w:keepLines w:val="0"/>
                    <w:pageBreakBefore w:val="0"/>
                    <w:kinsoku/>
                    <w:wordWrap/>
                    <w:overflowPunct/>
                    <w:topLinePunct w:val="0"/>
                    <w:autoSpaceDE/>
                    <w:autoSpaceDN/>
                    <w:bidi w:val="0"/>
                    <w:adjustRightInd/>
                    <w:snapToGrid/>
                    <w:jc w:val="both"/>
                    <w:rPr>
                      <w:rFonts w:hint="default" w:ascii="Times New Roman" w:hAnsi="Times New Roman" w:eastAsia="宋体" w:cs="Times New Roman"/>
                      <w:i w:val="0"/>
                      <w:iCs w:val="0"/>
                      <w:color w:val="auto"/>
                      <w:sz w:val="21"/>
                      <w:szCs w:val="21"/>
                      <w:u w:val="none"/>
                    </w:rPr>
                  </w:pPr>
                </w:p>
              </w:tc>
              <w:tc>
                <w:tcPr>
                  <w:tcW w:w="671" w:type="dxa"/>
                  <w:noWrap w:val="0"/>
                  <w:vAlign w:val="center"/>
                </w:tcPr>
                <w:p w14:paraId="1A80D1F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03267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0" w:type="dxa"/>
                  <w:vMerge w:val="continue"/>
                  <w:noWrap w:val="0"/>
                  <w:vAlign w:val="center"/>
                </w:tcPr>
                <w:p w14:paraId="0AA261CE">
                  <w:pPr>
                    <w:keepNext w:val="0"/>
                    <w:keepLines w:val="0"/>
                    <w:pageBreakBefore w:val="0"/>
                    <w:kinsoku/>
                    <w:wordWrap/>
                    <w:overflowPunct/>
                    <w:topLinePunct w:val="0"/>
                    <w:autoSpaceDE/>
                    <w:autoSpaceDN/>
                    <w:bidi w:val="0"/>
                    <w:adjustRightInd/>
                    <w:snapToGrid/>
                    <w:jc w:val="both"/>
                    <w:rPr>
                      <w:rFonts w:hint="default" w:ascii="Times New Roman" w:hAnsi="Times New Roman" w:eastAsia="宋体" w:cs="Times New Roman"/>
                      <w:i w:val="0"/>
                      <w:iCs w:val="0"/>
                      <w:color w:val="auto"/>
                      <w:sz w:val="21"/>
                      <w:szCs w:val="21"/>
                      <w:u w:val="none"/>
                    </w:rPr>
                  </w:pPr>
                </w:p>
              </w:tc>
              <w:tc>
                <w:tcPr>
                  <w:tcW w:w="842" w:type="dxa"/>
                  <w:vMerge w:val="continue"/>
                  <w:noWrap w:val="0"/>
                  <w:vAlign w:val="center"/>
                </w:tcPr>
                <w:p w14:paraId="1508AD9B">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0000FF"/>
                      <w:sz w:val="21"/>
                      <w:szCs w:val="21"/>
                      <w:u w:val="none"/>
                    </w:rPr>
                  </w:pPr>
                </w:p>
              </w:tc>
              <w:tc>
                <w:tcPr>
                  <w:tcW w:w="882" w:type="dxa"/>
                  <w:noWrap w:val="0"/>
                  <w:vAlign w:val="center"/>
                </w:tcPr>
                <w:p w14:paraId="39CE547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i w:val="0"/>
                      <w:iCs w:val="0"/>
                      <w:color w:val="0000FF"/>
                      <w:kern w:val="0"/>
                      <w:sz w:val="21"/>
                      <w:szCs w:val="21"/>
                      <w:u w:val="none"/>
                      <w:lang w:val="en-US" w:eastAsia="zh-CN" w:bidi="ar"/>
                    </w:rPr>
                    <w:t>TP</w:t>
                  </w:r>
                </w:p>
              </w:tc>
              <w:tc>
                <w:tcPr>
                  <w:tcW w:w="1087" w:type="dxa"/>
                  <w:noWrap w:val="0"/>
                  <w:vAlign w:val="center"/>
                </w:tcPr>
                <w:p w14:paraId="1D0C024B">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7</w:t>
                  </w:r>
                </w:p>
              </w:tc>
              <w:tc>
                <w:tcPr>
                  <w:tcW w:w="1050" w:type="dxa"/>
                  <w:noWrap w:val="0"/>
                  <w:vAlign w:val="center"/>
                </w:tcPr>
                <w:p w14:paraId="300FD08A">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 xml:space="preserve">0.0336 </w:t>
                  </w:r>
                </w:p>
              </w:tc>
              <w:tc>
                <w:tcPr>
                  <w:tcW w:w="1137" w:type="dxa"/>
                  <w:noWrap w:val="0"/>
                  <w:vAlign w:val="center"/>
                </w:tcPr>
                <w:p w14:paraId="36AE642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i w:val="0"/>
                      <w:iCs w:val="0"/>
                      <w:color w:val="0000FF"/>
                      <w:kern w:val="0"/>
                      <w:sz w:val="21"/>
                      <w:szCs w:val="21"/>
                      <w:u w:val="none"/>
                      <w:lang w:val="en-US" w:eastAsia="zh-CN" w:bidi="ar"/>
                    </w:rPr>
                    <w:t>8</w:t>
                  </w:r>
                </w:p>
              </w:tc>
              <w:tc>
                <w:tcPr>
                  <w:tcW w:w="1935" w:type="dxa"/>
                  <w:vMerge w:val="continue"/>
                  <w:noWrap w:val="0"/>
                  <w:vAlign w:val="center"/>
                </w:tcPr>
                <w:p w14:paraId="357DB41F">
                  <w:pPr>
                    <w:keepNext w:val="0"/>
                    <w:keepLines w:val="0"/>
                    <w:pageBreakBefore w:val="0"/>
                    <w:kinsoku/>
                    <w:wordWrap/>
                    <w:overflowPunct/>
                    <w:topLinePunct w:val="0"/>
                    <w:autoSpaceDE/>
                    <w:autoSpaceDN/>
                    <w:bidi w:val="0"/>
                    <w:adjustRightInd/>
                    <w:snapToGrid/>
                    <w:jc w:val="both"/>
                    <w:rPr>
                      <w:rFonts w:hint="default" w:ascii="Times New Roman" w:hAnsi="Times New Roman" w:eastAsia="宋体" w:cs="Times New Roman"/>
                      <w:i w:val="0"/>
                      <w:iCs w:val="0"/>
                      <w:color w:val="auto"/>
                      <w:sz w:val="21"/>
                      <w:szCs w:val="21"/>
                      <w:u w:val="none"/>
                    </w:rPr>
                  </w:pPr>
                </w:p>
              </w:tc>
              <w:tc>
                <w:tcPr>
                  <w:tcW w:w="671" w:type="dxa"/>
                  <w:noWrap w:val="0"/>
                  <w:vAlign w:val="center"/>
                </w:tcPr>
                <w:p w14:paraId="2F19F51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达标</w:t>
                  </w:r>
                </w:p>
              </w:tc>
            </w:tr>
          </w:tbl>
          <w:p w14:paraId="2878A420">
            <w:pPr>
              <w:pStyle w:val="49"/>
              <w:keepNext w:val="0"/>
              <w:keepLines w:val="0"/>
              <w:pageBreakBefore w:val="0"/>
              <w:kinsoku/>
              <w:wordWrap/>
              <w:overflowPunct/>
              <w:topLinePunct w:val="0"/>
              <w:autoSpaceDE/>
              <w:autoSpaceDN/>
              <w:bidi w:val="0"/>
              <w:ind w:firstLine="480"/>
              <w:rPr>
                <w:rFonts w:hint="default" w:ascii="Times New Roman" w:hAnsi="Times New Roman" w:cs="Times New Roman"/>
                <w:color w:val="0000FF"/>
              </w:rPr>
            </w:pPr>
            <w:r>
              <w:rPr>
                <w:rFonts w:hint="default" w:ascii="Times New Roman" w:hAnsi="Times New Roman" w:cs="Times New Roman"/>
                <w:color w:val="0000FF"/>
                <w:kern w:val="0"/>
              </w:rPr>
              <w:t>本项目废水污染物</w:t>
            </w:r>
            <w:r>
              <w:rPr>
                <w:rFonts w:hint="default" w:ascii="Times New Roman" w:hAnsi="Times New Roman" w:cs="Times New Roman"/>
                <w:bCs/>
                <w:color w:val="0000FF"/>
              </w:rPr>
              <w:t>COD、SS、BOD</w:t>
            </w:r>
            <w:r>
              <w:rPr>
                <w:rFonts w:hint="default" w:ascii="Times New Roman" w:hAnsi="Times New Roman" w:cs="Times New Roman"/>
                <w:bCs/>
                <w:color w:val="0000FF"/>
                <w:vertAlign w:val="subscript"/>
              </w:rPr>
              <w:t>5</w:t>
            </w:r>
            <w:r>
              <w:rPr>
                <w:rFonts w:hint="default" w:ascii="Times New Roman" w:hAnsi="Times New Roman" w:cs="Times New Roman"/>
                <w:bCs/>
                <w:color w:val="0000FF"/>
              </w:rPr>
              <w:t>均满足《污水综合排放标准》(GB8978-1996)三级标准，</w:t>
            </w:r>
            <w:r>
              <w:rPr>
                <w:rFonts w:hint="eastAsia" w:cs="Times New Roman"/>
                <w:bCs/>
                <w:color w:val="0000FF"/>
                <w:lang w:val="en-US" w:eastAsia="zh-CN"/>
              </w:rPr>
              <w:t>化学需氧量、五日生化需氧量、悬浮物、</w:t>
            </w:r>
            <w:r>
              <w:rPr>
                <w:rFonts w:hint="default" w:ascii="Times New Roman" w:hAnsi="Times New Roman" w:cs="Times New Roman"/>
                <w:bCs/>
                <w:color w:val="0000FF"/>
              </w:rPr>
              <w:t>氨氮</w:t>
            </w:r>
            <w:r>
              <w:rPr>
                <w:rFonts w:hint="eastAsia" w:ascii="Times New Roman" w:hAnsi="Times New Roman" w:cs="Times New Roman"/>
                <w:bCs/>
                <w:color w:val="0000FF"/>
                <w:lang w:eastAsia="zh-CN"/>
              </w:rPr>
              <w:t>、</w:t>
            </w:r>
            <w:r>
              <w:rPr>
                <w:rFonts w:hint="eastAsia" w:ascii="Times New Roman" w:hAnsi="Times New Roman" w:cs="Times New Roman"/>
                <w:bCs/>
                <w:color w:val="0000FF"/>
                <w:lang w:val="en-US" w:eastAsia="zh-CN"/>
              </w:rPr>
              <w:t>总磷</w:t>
            </w:r>
            <w:r>
              <w:rPr>
                <w:rFonts w:hint="default" w:ascii="Times New Roman" w:hAnsi="Times New Roman" w:cs="Times New Roman"/>
                <w:bCs/>
                <w:color w:val="0000FF"/>
              </w:rPr>
              <w:t>满足《污水排入城镇下水道水质标准》（GB/T31962-2015）限值要求</w:t>
            </w:r>
            <w:r>
              <w:rPr>
                <w:rFonts w:hint="default" w:ascii="Times New Roman" w:hAnsi="Times New Roman" w:cs="Times New Roman"/>
                <w:color w:val="0000FF"/>
                <w:kern w:val="0"/>
              </w:rPr>
              <w:t>。</w:t>
            </w:r>
          </w:p>
          <w:p w14:paraId="781A8563">
            <w:pPr>
              <w:pStyle w:val="49"/>
              <w:keepNext w:val="0"/>
              <w:keepLines w:val="0"/>
              <w:pageBreakBefore w:val="0"/>
              <w:kinsoku/>
              <w:wordWrap/>
              <w:overflowPunct/>
              <w:topLinePunct w:val="0"/>
              <w:autoSpaceDE/>
              <w:autoSpaceDN/>
              <w:bidi w:val="0"/>
              <w:ind w:firstLine="0" w:firstLineChars="0"/>
              <w:rPr>
                <w:rFonts w:hint="default" w:ascii="Times New Roman" w:hAnsi="Times New Roman" w:cs="Times New Roman"/>
                <w:b/>
                <w:color w:val="auto"/>
              </w:rPr>
            </w:pPr>
            <w:r>
              <w:rPr>
                <w:rFonts w:hint="default" w:ascii="Times New Roman" w:hAnsi="Times New Roman" w:cs="Times New Roman"/>
                <w:b/>
                <w:color w:val="auto"/>
              </w:rPr>
              <w:t>4.2.3 噪声</w:t>
            </w:r>
          </w:p>
          <w:p w14:paraId="71B07C36">
            <w:pPr>
              <w:pStyle w:val="49"/>
              <w:keepNext w:val="0"/>
              <w:keepLines w:val="0"/>
              <w:pageBreakBefore w:val="0"/>
              <w:kinsoku/>
              <w:wordWrap/>
              <w:overflowPunct/>
              <w:topLinePunct w:val="0"/>
              <w:autoSpaceDE/>
              <w:autoSpaceDN/>
              <w:bidi w:val="0"/>
              <w:ind w:firstLine="0" w:firstLineChars="0"/>
              <w:rPr>
                <w:rFonts w:hint="default" w:ascii="Times New Roman" w:hAnsi="Times New Roman" w:cs="Times New Roman"/>
                <w:b/>
                <w:color w:val="auto"/>
              </w:rPr>
            </w:pPr>
            <w:r>
              <w:rPr>
                <w:rFonts w:hint="default" w:ascii="Times New Roman" w:hAnsi="Times New Roman" w:cs="Times New Roman"/>
                <w:b/>
                <w:color w:val="auto"/>
              </w:rPr>
              <w:t>4.2.3.1营运期噪声源强及治理措施</w:t>
            </w:r>
          </w:p>
          <w:p w14:paraId="4A1E8CCF">
            <w:pPr>
              <w:keepNext w:val="0"/>
              <w:keepLines w:val="0"/>
              <w:pageBreakBefore w:val="0"/>
              <w:kinsoku/>
              <w:wordWrap/>
              <w:overflowPunct/>
              <w:topLinePunct w:val="0"/>
              <w:autoSpaceDE/>
              <w:autoSpaceDN/>
              <w:bidi w:val="0"/>
              <w:adjustRightInd w:val="0"/>
              <w:snapToGrid w:val="0"/>
              <w:spacing w:line="360" w:lineRule="auto"/>
              <w:ind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1、噪声源强</w:t>
            </w:r>
          </w:p>
          <w:p w14:paraId="6F650595">
            <w:pPr>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cs="Times New Roman"/>
                <w:b/>
                <w:bCs/>
                <w:color w:val="auto"/>
                <w:sz w:val="24"/>
              </w:rPr>
            </w:pPr>
            <w:r>
              <w:rPr>
                <w:rFonts w:hint="default" w:ascii="Times New Roman" w:hAnsi="Times New Roman" w:eastAsia="宋体" w:cs="Times New Roman"/>
                <w:color w:val="auto"/>
                <w:kern w:val="0"/>
                <w:sz w:val="24"/>
                <w:highlight w:val="none"/>
                <w:lang w:val="en-US" w:eastAsia="zh-CN"/>
              </w:rPr>
              <w:t>本项目噪声源主要为生产设备运行</w:t>
            </w:r>
            <w:r>
              <w:rPr>
                <w:rFonts w:hint="default" w:ascii="Times New Roman" w:hAnsi="Times New Roman" w:eastAsia="宋体" w:cs="Times New Roman"/>
                <w:color w:val="auto"/>
                <w:sz w:val="24"/>
                <w:highlight w:val="none"/>
              </w:rPr>
              <w:t>时产生的设备噪声</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项目注塑机、移印机的</w:t>
            </w:r>
            <w:r>
              <w:rPr>
                <w:rFonts w:hint="default" w:ascii="Times New Roman" w:hAnsi="Times New Roman" w:eastAsia="宋体" w:cs="Times New Roman"/>
                <w:color w:val="auto"/>
                <w:sz w:val="24"/>
                <w:highlight w:val="none"/>
              </w:rPr>
              <w:t>噪声源强在</w:t>
            </w:r>
            <w:r>
              <w:rPr>
                <w:rFonts w:hint="default" w:ascii="Times New Roman" w:hAnsi="Times New Roman" w:eastAsia="宋体" w:cs="Times New Roman"/>
                <w:color w:val="auto"/>
                <w:sz w:val="24"/>
                <w:highlight w:val="none"/>
                <w:lang w:val="en-US" w:eastAsia="zh-CN"/>
              </w:rPr>
              <w:t>70</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90</w:t>
            </w:r>
            <w:r>
              <w:rPr>
                <w:rFonts w:hint="default" w:ascii="Times New Roman" w:hAnsi="Times New Roman" w:eastAsia="宋体" w:cs="Times New Roman"/>
                <w:color w:val="auto"/>
                <w:sz w:val="24"/>
                <w:highlight w:val="none"/>
              </w:rPr>
              <w:t>dB（A）</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冷却塔</w:t>
            </w:r>
            <w:r>
              <w:rPr>
                <w:rFonts w:hint="default" w:ascii="Times New Roman" w:hAnsi="Times New Roman" w:eastAsia="宋体" w:cs="Times New Roman"/>
                <w:color w:val="auto"/>
                <w:sz w:val="24"/>
                <w:highlight w:val="none"/>
                <w:lang w:val="en-US" w:eastAsia="zh-CN"/>
              </w:rPr>
              <w:t>的</w:t>
            </w:r>
            <w:r>
              <w:rPr>
                <w:rFonts w:hint="default" w:ascii="Times New Roman" w:hAnsi="Times New Roman" w:eastAsia="宋体" w:cs="Times New Roman"/>
                <w:color w:val="auto"/>
                <w:sz w:val="24"/>
                <w:highlight w:val="none"/>
              </w:rPr>
              <w:t>噪声源强在</w:t>
            </w:r>
            <w:r>
              <w:rPr>
                <w:rFonts w:hint="eastAsia" w:ascii="Times New Roman" w:hAnsi="Times New Roman" w:eastAsia="宋体" w:cs="Times New Roman"/>
                <w:color w:val="auto"/>
                <w:sz w:val="24"/>
                <w:highlight w:val="none"/>
                <w:lang w:val="en-US" w:eastAsia="zh-CN"/>
              </w:rPr>
              <w:t>80</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9</w:t>
            </w:r>
            <w:r>
              <w:rPr>
                <w:rFonts w:hint="eastAsia"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dB（A）</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空压机的</w:t>
            </w:r>
            <w:r>
              <w:rPr>
                <w:rFonts w:hint="default" w:ascii="Times New Roman" w:hAnsi="Times New Roman" w:eastAsia="宋体" w:cs="Times New Roman"/>
                <w:color w:val="auto"/>
                <w:sz w:val="24"/>
                <w:highlight w:val="none"/>
              </w:rPr>
              <w:t>噪声源强在</w:t>
            </w:r>
            <w:r>
              <w:rPr>
                <w:rFonts w:hint="default" w:ascii="Times New Roman" w:hAnsi="Times New Roman" w:eastAsia="宋体" w:cs="Times New Roman"/>
                <w:color w:val="auto"/>
                <w:sz w:val="24"/>
                <w:highlight w:val="none"/>
                <w:lang w:val="en-US" w:eastAsia="zh-CN"/>
              </w:rPr>
              <w:t>7</w:t>
            </w:r>
            <w:r>
              <w:rPr>
                <w:rFonts w:hint="eastAsia"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lang w:val="en-US" w:eastAsia="zh-CN"/>
              </w:rPr>
              <w:t>85</w:t>
            </w:r>
            <w:r>
              <w:rPr>
                <w:rFonts w:hint="default" w:ascii="Times New Roman" w:hAnsi="Times New Roman" w:eastAsia="宋体" w:cs="Times New Roman"/>
                <w:color w:val="auto"/>
                <w:sz w:val="24"/>
                <w:highlight w:val="none"/>
              </w:rPr>
              <w:t>dB（A）</w:t>
            </w:r>
            <w:r>
              <w:rPr>
                <w:rFonts w:hint="default" w:ascii="Times New Roman" w:hAnsi="Times New Roman" w:eastAsia="宋体" w:cs="Times New Roman"/>
                <w:color w:val="auto"/>
                <w:sz w:val="24"/>
                <w:highlight w:val="none"/>
                <w:lang w:eastAsia="zh-CN"/>
              </w:rPr>
              <w:t>。</w:t>
            </w:r>
          </w:p>
          <w:p w14:paraId="6AB48255">
            <w:pPr>
              <w:keepNext w:val="0"/>
              <w:keepLines w:val="0"/>
              <w:pageBreakBefore w:val="0"/>
              <w:kinsoku/>
              <w:wordWrap/>
              <w:overflowPunct/>
              <w:topLinePunct w:val="0"/>
              <w:autoSpaceDE/>
              <w:autoSpaceDN/>
              <w:bidi w:val="0"/>
              <w:spacing w:line="360" w:lineRule="auto"/>
              <w:ind w:firstLine="482" w:firstLineChars="200"/>
              <w:textAlignment w:val="baseline"/>
              <w:rPr>
                <w:rFonts w:hint="default" w:ascii="Times New Roman" w:hAnsi="Times New Roman" w:cs="Times New Roman"/>
                <w:b/>
                <w:bCs/>
                <w:color w:val="auto"/>
                <w:sz w:val="24"/>
              </w:rPr>
            </w:pPr>
            <w:r>
              <w:rPr>
                <w:rFonts w:hint="default" w:ascii="Times New Roman" w:hAnsi="Times New Roman" w:cs="Times New Roman"/>
                <w:b/>
                <w:bCs/>
                <w:color w:val="auto"/>
                <w:sz w:val="24"/>
              </w:rPr>
              <w:t>2、噪声防治措施</w:t>
            </w:r>
          </w:p>
          <w:p w14:paraId="5D5FE492">
            <w:pPr>
              <w:keepNext w:val="0"/>
              <w:keepLines w:val="0"/>
              <w:pageBreakBefore w:val="0"/>
              <w:kinsoku/>
              <w:wordWrap/>
              <w:overflowPunct/>
              <w:topLinePunct w:val="0"/>
              <w:autoSpaceDE/>
              <w:autoSpaceDN/>
              <w:bidi w:val="0"/>
              <w:spacing w:line="360" w:lineRule="auto"/>
              <w:ind w:firstLine="480"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为了减小项目运营期噪声对周边环境的影响，应当</w:t>
            </w:r>
            <w:r>
              <w:rPr>
                <w:rFonts w:hint="eastAsia" w:ascii="Times New Roman" w:hAnsi="Times New Roman" w:cs="Times New Roman"/>
                <w:color w:val="auto"/>
                <w:sz w:val="24"/>
                <w:lang w:val="en-US" w:eastAsia="zh-CN"/>
              </w:rPr>
              <w:t>选用</w:t>
            </w:r>
            <w:r>
              <w:rPr>
                <w:rFonts w:hint="default" w:ascii="Times New Roman" w:hAnsi="Times New Roman" w:cs="Times New Roman"/>
                <w:color w:val="auto"/>
                <w:sz w:val="24"/>
              </w:rPr>
              <w:t>低噪声设备、基础减振、厂房隔声、距离衰减等噪声防治措施：</w:t>
            </w:r>
          </w:p>
          <w:p w14:paraId="233B485F">
            <w:pPr>
              <w:pStyle w:val="49"/>
              <w:keepNext w:val="0"/>
              <w:keepLines w:val="0"/>
              <w:pageBreakBefore w:val="0"/>
              <w:kinsoku/>
              <w:wordWrap/>
              <w:overflowPunct/>
              <w:topLinePunct w:val="0"/>
              <w:autoSpaceDE/>
              <w:autoSpaceDN/>
              <w:bidi w:val="0"/>
              <w:adjustRightInd/>
              <w:ind w:firstLine="0" w:firstLineChars="0"/>
              <w:rPr>
                <w:rFonts w:hint="default" w:ascii="Times New Roman" w:hAnsi="Times New Roman" w:cs="Times New Roman"/>
                <w:b/>
                <w:color w:val="auto"/>
              </w:rPr>
            </w:pPr>
            <w:r>
              <w:rPr>
                <w:rFonts w:hint="default" w:ascii="Times New Roman" w:hAnsi="Times New Roman" w:cs="Times New Roman"/>
                <w:b/>
                <w:color w:val="auto"/>
              </w:rPr>
              <w:t>4.2.3.2厂界达标情况分析</w:t>
            </w:r>
          </w:p>
          <w:p w14:paraId="23F48935">
            <w:pPr>
              <w:pStyle w:val="14"/>
              <w:keepNext w:val="0"/>
              <w:keepLines w:val="0"/>
              <w:pageBreakBefore w:val="0"/>
              <w:kinsoku/>
              <w:wordWrap/>
              <w:overflowPunct/>
              <w:topLinePunct w:val="0"/>
              <w:autoSpaceDE/>
              <w:autoSpaceDN/>
              <w:bidi w:val="0"/>
              <w:adjustRightInd/>
              <w:spacing w:before="0" w:after="0" w:line="360" w:lineRule="auto"/>
              <w:ind w:right="0" w:firstLine="482" w:firstLineChars="200"/>
              <w:rPr>
                <w:rFonts w:hint="default" w:ascii="Times New Roman" w:hAnsi="Times New Roman" w:cs="Times New Roman"/>
                <w:b/>
                <w:bCs/>
                <w:color w:val="auto"/>
                <w:sz w:val="24"/>
                <w:szCs w:val="24"/>
              </w:rPr>
            </w:pPr>
            <w:r>
              <w:rPr>
                <w:rFonts w:hint="default" w:ascii="Times New Roman" w:hAnsi="Times New Roman" w:cs="Times New Roman"/>
                <w:b/>
                <w:bCs/>
                <w:color w:val="auto"/>
                <w:sz w:val="24"/>
              </w:rPr>
              <w:t>（1）</w:t>
            </w:r>
            <w:r>
              <w:rPr>
                <w:rFonts w:hint="default" w:ascii="Times New Roman" w:hAnsi="Times New Roman" w:cs="Times New Roman"/>
                <w:b/>
                <w:bCs/>
                <w:color w:val="auto"/>
                <w:sz w:val="24"/>
                <w:szCs w:val="24"/>
              </w:rPr>
              <w:t>预测思路</w:t>
            </w:r>
          </w:p>
          <w:p w14:paraId="14571829">
            <w:pPr>
              <w:keepNext w:val="0"/>
              <w:keepLines w:val="0"/>
              <w:pageBreakBefore w:val="0"/>
              <w:kinsoku/>
              <w:wordWrap/>
              <w:overflowPunct/>
              <w:topLinePunct w:val="0"/>
              <w:autoSpaceDE/>
              <w:autoSpaceDN/>
              <w:bidi w:val="0"/>
              <w:adjustRightInd/>
              <w:spacing w:line="360" w:lineRule="auto"/>
              <w:ind w:firstLine="480"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①为了分析本项目产噪设备对周围声环境的影响，本次评价将项目厂界作为评价点，预测本项目实施后噪声源对四周厂界的声级贡献值，说明项目噪声源对厂界声环境的影响。本次评价对厂界北侧、东侧、西侧</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南侧</w:t>
            </w:r>
            <w:r>
              <w:rPr>
                <w:rFonts w:hint="default" w:ascii="Times New Roman" w:hAnsi="Times New Roman" w:cs="Times New Roman"/>
                <w:color w:val="auto"/>
                <w:sz w:val="24"/>
              </w:rPr>
              <w:t>进行噪声预测。</w:t>
            </w:r>
          </w:p>
          <w:p w14:paraId="7B5CCAC3">
            <w:pPr>
              <w:keepNext w:val="0"/>
              <w:keepLines w:val="0"/>
              <w:pageBreakBefore w:val="0"/>
              <w:kinsoku/>
              <w:wordWrap/>
              <w:overflowPunct/>
              <w:topLinePunct w:val="0"/>
              <w:autoSpaceDE/>
              <w:autoSpaceDN/>
              <w:bidi w:val="0"/>
              <w:adjustRightInd/>
              <w:spacing w:line="360" w:lineRule="auto"/>
              <w:ind w:firstLine="480"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②根据《关于租赁经营企业厂界适用标准的复函》（国家环境保护总局局函，环函</w:t>
            </w:r>
            <w:r>
              <w:rPr>
                <w:rFonts w:hint="eastAsia" w:cs="Times New Roman"/>
                <w:color w:val="auto"/>
                <w:sz w:val="24"/>
                <w:lang w:eastAsia="zh-CN"/>
              </w:rPr>
              <w:t>〔2005〕59号</w:t>
            </w:r>
            <w:r>
              <w:rPr>
                <w:rFonts w:hint="default" w:ascii="Times New Roman" w:hAnsi="Times New Roman" w:cs="Times New Roman"/>
                <w:color w:val="auto"/>
                <w:sz w:val="24"/>
              </w:rPr>
              <w:t>）：承租协议中明确了租用设施和边界的，可将协议中的边界定为厂界；未明确厂界的，可将各承租单位的厂房外墙或厂房外裸设备占地边界确定为厂界。本项目租赁合同中未明确厂界。因此，本次评价预测中各噪声源距离厂界距离以租用厂房厂界距离核算。</w:t>
            </w:r>
          </w:p>
          <w:p w14:paraId="51AC9BE1">
            <w:pPr>
              <w:keepNext w:val="0"/>
              <w:keepLines w:val="0"/>
              <w:pageBreakBefore w:val="0"/>
              <w:kinsoku/>
              <w:wordWrap/>
              <w:overflowPunct/>
              <w:topLinePunct w:val="0"/>
              <w:autoSpaceDE/>
              <w:autoSpaceDN/>
              <w:bidi w:val="0"/>
              <w:adjustRightInd/>
              <w:spacing w:line="360" w:lineRule="auto"/>
              <w:ind w:firstLine="480"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（2）预测模式</w:t>
            </w:r>
          </w:p>
          <w:p w14:paraId="66A2DCA1">
            <w:pPr>
              <w:keepNext w:val="0"/>
              <w:keepLines w:val="0"/>
              <w:pageBreakBefore w:val="0"/>
              <w:kinsoku/>
              <w:wordWrap/>
              <w:overflowPunct/>
              <w:topLinePunct w:val="0"/>
              <w:autoSpaceDE/>
              <w:autoSpaceDN/>
              <w:bidi w:val="0"/>
              <w:adjustRightInd/>
              <w:spacing w:line="360" w:lineRule="auto"/>
              <w:ind w:firstLine="480"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本评价采用《环境影响评价技术导则声环境》（HJ2.4-2021）噪声预测模型模式。</w:t>
            </w:r>
          </w:p>
          <w:p w14:paraId="7FE76C39">
            <w:pPr>
              <w:keepNext w:val="0"/>
              <w:keepLines w:val="0"/>
              <w:pageBreakBefore w:val="0"/>
              <w:kinsoku/>
              <w:wordWrap/>
              <w:overflowPunct/>
              <w:topLinePunct w:val="0"/>
              <w:autoSpaceDE/>
              <w:autoSpaceDN/>
              <w:bidi w:val="0"/>
              <w:adjustRightInd/>
              <w:spacing w:line="360" w:lineRule="auto"/>
              <w:ind w:firstLine="480"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本评价采用《环境影响评价技术导则声环境》（HJ 2.4-2021）噪声预测模型模式。</w:t>
            </w:r>
          </w:p>
          <w:p w14:paraId="4AB4B984">
            <w:pPr>
              <w:keepNext w:val="0"/>
              <w:keepLines w:val="0"/>
              <w:pageBreakBefore w:val="0"/>
              <w:kinsoku/>
              <w:wordWrap/>
              <w:overflowPunct/>
              <w:topLinePunct w:val="0"/>
              <w:autoSpaceDE/>
              <w:autoSpaceDN/>
              <w:bidi w:val="0"/>
              <w:adjustRightInd/>
              <w:spacing w:line="360" w:lineRule="auto"/>
              <w:ind w:firstLine="480"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①室内声源：项目所有设备均位于生产车间内。室内声源可采用等效室外声源声功率级法进行计算。</w:t>
            </w:r>
          </w:p>
          <w:p w14:paraId="0C3948A0">
            <w:pPr>
              <w:keepNext w:val="0"/>
              <w:keepLines w:val="0"/>
              <w:pageBreakBefore w:val="0"/>
              <w:kinsoku/>
              <w:wordWrap/>
              <w:overflowPunct/>
              <w:topLinePunct w:val="0"/>
              <w:autoSpaceDE/>
              <w:autoSpaceDN/>
              <w:bidi w:val="0"/>
              <w:adjustRightInd/>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根据下式计算某一室内声源靠近围栏结构处产生的倍频带声压级或A声级：</w:t>
            </w:r>
          </w:p>
          <w:p w14:paraId="177DBACD">
            <w:pPr>
              <w:keepNext w:val="0"/>
              <w:keepLines w:val="0"/>
              <w:pageBreakBefore w:val="0"/>
              <w:kinsoku/>
              <w:wordWrap/>
              <w:overflowPunct/>
              <w:topLinePunct w:val="0"/>
              <w:autoSpaceDE/>
              <w:autoSpaceDN/>
              <w:bidi w:val="0"/>
              <w:adjustRightInd/>
              <w:spacing w:line="360" w:lineRule="auto"/>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1929765" cy="426085"/>
                  <wp:effectExtent l="0" t="0" r="13335" b="12065"/>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22"/>
                          <a:stretch>
                            <a:fillRect/>
                          </a:stretch>
                        </pic:blipFill>
                        <pic:spPr>
                          <a:xfrm>
                            <a:off x="0" y="0"/>
                            <a:ext cx="1929765" cy="426085"/>
                          </a:xfrm>
                          <a:prstGeom prst="rect">
                            <a:avLst/>
                          </a:prstGeom>
                          <a:noFill/>
                          <a:ln>
                            <a:noFill/>
                          </a:ln>
                        </pic:spPr>
                      </pic:pic>
                    </a:graphicData>
                  </a:graphic>
                </wp:inline>
              </w:drawing>
            </w:r>
          </w:p>
          <w:p w14:paraId="7B9ED620">
            <w:pPr>
              <w:keepNext w:val="0"/>
              <w:keepLines w:val="0"/>
              <w:pageBreakBefore w:val="0"/>
              <w:kinsoku/>
              <w:wordWrap/>
              <w:overflowPunct/>
              <w:topLinePunct w:val="0"/>
              <w:autoSpaceDE/>
              <w:autoSpaceDN/>
              <w:bidi w:val="0"/>
              <w:adjustRightInd/>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式中：L</w:t>
            </w:r>
            <w:r>
              <w:rPr>
                <w:rFonts w:hint="default" w:ascii="Times New Roman" w:hAnsi="Times New Roman" w:cs="Times New Roman"/>
                <w:color w:val="auto"/>
                <w:sz w:val="24"/>
                <w:vertAlign w:val="subscript"/>
              </w:rPr>
              <w:t>P1</w:t>
            </w:r>
            <w:r>
              <w:rPr>
                <w:rFonts w:hint="default" w:ascii="Times New Roman" w:hAnsi="Times New Roman" w:cs="Times New Roman"/>
                <w:color w:val="auto"/>
                <w:sz w:val="24"/>
              </w:rPr>
              <w:t>——靠近开口处（或窗户）室内某倍频带的声压级或A声级，dB；</w:t>
            </w:r>
          </w:p>
          <w:p w14:paraId="7C0CD974">
            <w:pPr>
              <w:keepNext w:val="0"/>
              <w:keepLines w:val="0"/>
              <w:pageBreakBefore w:val="0"/>
              <w:kinsoku/>
              <w:wordWrap/>
              <w:overflowPunct/>
              <w:topLinePunct w:val="0"/>
              <w:autoSpaceDE/>
              <w:autoSpaceDN/>
              <w:bidi w:val="0"/>
              <w:adjustRightInd/>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W</w:t>
            </w:r>
            <w:r>
              <w:rPr>
                <w:rFonts w:hint="default" w:ascii="Times New Roman" w:hAnsi="Times New Roman" w:cs="Times New Roman"/>
                <w:color w:val="auto"/>
                <w:sz w:val="24"/>
              </w:rPr>
              <w:t>——点声源声功率级（A计权或倍频带），dB；</w:t>
            </w:r>
          </w:p>
          <w:p w14:paraId="3C774758">
            <w:pPr>
              <w:keepNext w:val="0"/>
              <w:keepLines w:val="0"/>
              <w:pageBreakBefore w:val="0"/>
              <w:kinsoku/>
              <w:wordWrap/>
              <w:overflowPunct/>
              <w:topLinePunct w:val="0"/>
              <w:autoSpaceDE/>
              <w:autoSpaceDN/>
              <w:bidi w:val="0"/>
              <w:adjustRightInd/>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Q——指向性因数；通常对无指向性声源，当声源放在房间中心时，Q=1；当放在一面墙中心时，Q=2；当放在两面墙夹角处时，Q=4；当放在三面墙夹角处时，Q=8；</w:t>
            </w:r>
          </w:p>
          <w:p w14:paraId="6192A5B8">
            <w:pPr>
              <w:keepNext w:val="0"/>
              <w:keepLines w:val="0"/>
              <w:pageBreakBefore w:val="0"/>
              <w:kinsoku/>
              <w:wordWrap/>
              <w:overflowPunct/>
              <w:topLinePunct w:val="0"/>
              <w:autoSpaceDE/>
              <w:autoSpaceDN/>
              <w:bidi w:val="0"/>
              <w:adjustRightInd/>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R——房间常数；R=Sα/(1-α)，S为房间内表面面积，m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；α为平均吸声系数。项目厂房采用经粉刷后的混凝土墙，生产车间内表面面积约</w:t>
            </w:r>
            <w:r>
              <w:rPr>
                <w:rFonts w:hint="default" w:ascii="Times New Roman" w:hAnsi="Times New Roman" w:cs="Times New Roman"/>
                <w:color w:val="auto"/>
                <w:sz w:val="24"/>
                <w:lang w:val="en-US" w:eastAsia="zh-CN"/>
              </w:rPr>
              <w:t>3383</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，平均吸声系数取0.06</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经核算，房间常数为215.94。</w:t>
            </w:r>
          </w:p>
          <w:p w14:paraId="0D5FA85B">
            <w:pPr>
              <w:keepNext w:val="0"/>
              <w:keepLines w:val="0"/>
              <w:pageBreakBefore w:val="0"/>
              <w:kinsoku/>
              <w:wordWrap/>
              <w:overflowPunct/>
              <w:topLinePunct w:val="0"/>
              <w:autoSpaceDE/>
              <w:autoSpaceDN/>
              <w:bidi w:val="0"/>
              <w:adjustRightInd/>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r——声源到靠近围栏结构某点处的距离，m。</w:t>
            </w:r>
          </w:p>
          <w:p w14:paraId="557F4D1C">
            <w:pPr>
              <w:keepNext w:val="0"/>
              <w:keepLines w:val="0"/>
              <w:pageBreakBefore w:val="0"/>
              <w:kinsoku/>
              <w:wordWrap/>
              <w:overflowPunct/>
              <w:topLinePunct w:val="0"/>
              <w:autoSpaceDE/>
              <w:autoSpaceDN/>
              <w:bidi w:val="0"/>
              <w:adjustRightInd/>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然后按下式计算出所有室内声源在围护结构处产生的i倍频带叠加声压级：</w:t>
            </w:r>
          </w:p>
          <w:p w14:paraId="43C2B12A">
            <w:pPr>
              <w:keepNext w:val="0"/>
              <w:keepLines w:val="0"/>
              <w:pageBreakBefore w:val="0"/>
              <w:kinsoku/>
              <w:wordWrap/>
              <w:overflowPunct/>
              <w:topLinePunct w:val="0"/>
              <w:autoSpaceDE/>
              <w:autoSpaceDN/>
              <w:bidi w:val="0"/>
              <w:adjustRightInd/>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object>
                <v:shape id="_x0000_i1031" o:spt="75" type="#_x0000_t75" style="height:35.65pt;width:136pt;" o:ole="t" filled="f" o:preferrelative="t" stroked="f" coordsize="21600,21600">
                  <v:path/>
                  <v:fill on="f" focussize="0,0"/>
                  <v:stroke on="f"/>
                  <v:imagedata r:id="rId24" o:title=""/>
                  <o:lock v:ext="edit" aspectratio="t"/>
                  <w10:wrap type="none"/>
                  <w10:anchorlock/>
                </v:shape>
                <o:OLEObject Type="Embed" ProgID="Equation.3" ShapeID="_x0000_i1031" DrawAspect="Content" ObjectID="_1468075729" r:id="rId23">
                  <o:LockedField>false</o:LockedField>
                </o:OLEObject>
              </w:object>
            </w:r>
          </w:p>
          <w:p w14:paraId="5EC277F4">
            <w:pPr>
              <w:keepNext w:val="0"/>
              <w:keepLines w:val="0"/>
              <w:pageBreakBefore w:val="0"/>
              <w:kinsoku/>
              <w:wordWrap/>
              <w:overflowPunct/>
              <w:topLinePunct w:val="0"/>
              <w:autoSpaceDE/>
              <w:autoSpaceDN/>
              <w:bidi w:val="0"/>
              <w:adjustRightInd/>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 xml:space="preserve">式中：Lpli（T）——靠近围护结构处室内N个声源i倍频带的叠加声压级，dB； </w:t>
            </w:r>
          </w:p>
          <w:p w14:paraId="6F8E6567">
            <w:pPr>
              <w:keepNext w:val="0"/>
              <w:keepLines w:val="0"/>
              <w:pageBreakBefore w:val="0"/>
              <w:kinsoku/>
              <w:wordWrap/>
              <w:overflowPunct/>
              <w:topLinePunct w:val="0"/>
              <w:autoSpaceDE/>
              <w:autoSpaceDN/>
              <w:bidi w:val="0"/>
              <w:adjustRightInd/>
              <w:spacing w:line="360" w:lineRule="auto"/>
              <w:ind w:firstLine="1159" w:firstLineChars="483"/>
              <w:rPr>
                <w:rFonts w:hint="default" w:ascii="Times New Roman" w:hAnsi="Times New Roman" w:cs="Times New Roman"/>
                <w:color w:val="auto"/>
                <w:sz w:val="24"/>
              </w:rPr>
            </w:pPr>
            <w:r>
              <w:rPr>
                <w:rFonts w:hint="default" w:ascii="Times New Roman" w:hAnsi="Times New Roman" w:cs="Times New Roman"/>
                <w:color w:val="auto"/>
                <w:sz w:val="24"/>
              </w:rPr>
              <w:t>Lplij——室内j声源i倍频带的声压级，dB；</w:t>
            </w:r>
          </w:p>
          <w:p w14:paraId="2B80DFD7">
            <w:pPr>
              <w:keepNext w:val="0"/>
              <w:keepLines w:val="0"/>
              <w:pageBreakBefore w:val="0"/>
              <w:kinsoku/>
              <w:wordWrap/>
              <w:overflowPunct/>
              <w:topLinePunct w:val="0"/>
              <w:autoSpaceDE/>
              <w:autoSpaceDN/>
              <w:bidi w:val="0"/>
              <w:adjustRightInd/>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N——室内声源总数。</w:t>
            </w:r>
          </w:p>
          <w:p w14:paraId="343863F6">
            <w:pPr>
              <w:keepNext w:val="0"/>
              <w:keepLines w:val="0"/>
              <w:pageBreakBefore w:val="0"/>
              <w:kinsoku/>
              <w:wordWrap/>
              <w:overflowPunct/>
              <w:topLinePunct w:val="0"/>
              <w:autoSpaceDE/>
              <w:autoSpaceDN/>
              <w:bidi w:val="0"/>
              <w:adjustRightInd/>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在室内近似为扩散声场时，按下式计算出靠近室外围护结构处的声压级：</w:t>
            </w:r>
          </w:p>
          <w:p w14:paraId="5E58BC00">
            <w:pPr>
              <w:keepNext w:val="0"/>
              <w:keepLines w:val="0"/>
              <w:pageBreakBefore w:val="0"/>
              <w:kinsoku/>
              <w:wordWrap/>
              <w:overflowPunct/>
              <w:topLinePunct w:val="0"/>
              <w:autoSpaceDE/>
              <w:autoSpaceDN/>
              <w:bidi w:val="0"/>
              <w:adjustRightInd/>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object>
                <v:shape id="_x0000_i1032" o:spt="75" type="#_x0000_t75" style="height:17.5pt;width:150.8pt;" o:ole="t" filled="f" o:preferrelative="t" stroked="f" coordsize="21600,21600">
                  <v:path/>
                  <v:fill on="f" focussize="0,0"/>
                  <v:stroke on="f"/>
                  <v:imagedata r:id="rId26" o:title=""/>
                  <o:lock v:ext="edit" aspectratio="t"/>
                  <w10:wrap type="none"/>
                  <w10:anchorlock/>
                </v:shape>
                <o:OLEObject Type="Embed" ProgID="Equation.3" ShapeID="_x0000_i1032" DrawAspect="Content" ObjectID="_1468075730" r:id="rId25">
                  <o:LockedField>false</o:LockedField>
                </o:OLEObject>
              </w:object>
            </w:r>
          </w:p>
          <w:p w14:paraId="1D579920">
            <w:pPr>
              <w:keepNext w:val="0"/>
              <w:keepLines w:val="0"/>
              <w:pageBreakBefore w:val="0"/>
              <w:kinsoku/>
              <w:wordWrap/>
              <w:overflowPunct/>
              <w:topLinePunct w:val="0"/>
              <w:autoSpaceDE/>
              <w:autoSpaceDN/>
              <w:bidi w:val="0"/>
              <w:adjustRightInd/>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式中：L</w:t>
            </w:r>
            <w:r>
              <w:rPr>
                <w:rFonts w:hint="default" w:ascii="Times New Roman" w:hAnsi="Times New Roman" w:cs="Times New Roman"/>
                <w:color w:val="auto"/>
                <w:sz w:val="24"/>
                <w:vertAlign w:val="subscript"/>
              </w:rPr>
              <w:t>p2i</w:t>
            </w:r>
            <w:r>
              <w:rPr>
                <w:rFonts w:hint="default" w:ascii="Times New Roman" w:hAnsi="Times New Roman" w:cs="Times New Roman"/>
                <w:color w:val="auto"/>
                <w:sz w:val="24"/>
              </w:rPr>
              <w:t>（T——靠近围护结构处室外N个声源i倍频带的叠加声压级，dB；</w:t>
            </w:r>
          </w:p>
          <w:p w14:paraId="12DDF99F">
            <w:pPr>
              <w:keepNext w:val="0"/>
              <w:keepLines w:val="0"/>
              <w:pageBreakBefore w:val="0"/>
              <w:kinsoku/>
              <w:wordWrap/>
              <w:overflowPunct/>
              <w:topLinePunct w:val="0"/>
              <w:autoSpaceDE/>
              <w:autoSpaceDN/>
              <w:bidi w:val="0"/>
              <w:adjustRightInd/>
              <w:spacing w:line="360" w:lineRule="auto"/>
              <w:ind w:firstLine="1200" w:firstLineChars="500"/>
              <w:rPr>
                <w:rFonts w:hint="default" w:ascii="Times New Roman" w:hAnsi="Times New Roman" w:cs="Times New Roman"/>
                <w:color w:val="auto"/>
                <w:sz w:val="24"/>
              </w:rPr>
            </w:pPr>
            <w:r>
              <w:rPr>
                <w:rFonts w:hint="default" w:ascii="Times New Roman" w:hAnsi="Times New Roman" w:cs="Times New Roman"/>
                <w:color w:val="auto"/>
                <w:sz w:val="24"/>
              </w:rPr>
              <w:t>TLi——围护结构i倍频带的隔声量，dB。</w:t>
            </w:r>
          </w:p>
          <w:p w14:paraId="5362416F">
            <w:pPr>
              <w:keepNext w:val="0"/>
              <w:keepLines w:val="0"/>
              <w:pageBreakBefore w:val="0"/>
              <w:kinsoku/>
              <w:wordWrap/>
              <w:overflowPunct/>
              <w:topLinePunct w:val="0"/>
              <w:autoSpaceDE/>
              <w:autoSpaceDN/>
              <w:bidi w:val="0"/>
              <w:adjustRightInd/>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然后按下式将室外声源的声压级和透过面积换算成等效的室外声源，计算出中心位置位于透声面积（S）处的等效声源的倍频带声功率级：</w:t>
            </w:r>
          </w:p>
          <w:p w14:paraId="6AB98144">
            <w:pPr>
              <w:keepNext w:val="0"/>
              <w:keepLines w:val="0"/>
              <w:pageBreakBefore w:val="0"/>
              <w:kinsoku/>
              <w:wordWrap/>
              <w:overflowPunct/>
              <w:topLinePunct w:val="0"/>
              <w:autoSpaceDE/>
              <w:autoSpaceDN/>
              <w:bidi w:val="0"/>
              <w:adjustRightInd/>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t>Lw=L</w:t>
            </w:r>
            <w:r>
              <w:rPr>
                <w:rFonts w:hint="default" w:ascii="Times New Roman" w:hAnsi="Times New Roman" w:cs="Times New Roman"/>
                <w:color w:val="auto"/>
                <w:sz w:val="24"/>
                <w:vertAlign w:val="subscript"/>
              </w:rPr>
              <w:t>P2</w:t>
            </w:r>
            <w:r>
              <w:rPr>
                <w:rFonts w:hint="default" w:ascii="Times New Roman" w:hAnsi="Times New Roman" w:cs="Times New Roman"/>
                <w:color w:val="auto"/>
                <w:sz w:val="24"/>
              </w:rPr>
              <w:t>（T）+10lgS</w:t>
            </w:r>
          </w:p>
          <w:p w14:paraId="6512A2E8">
            <w:pPr>
              <w:keepNext w:val="0"/>
              <w:keepLines w:val="0"/>
              <w:pageBreakBefore w:val="0"/>
              <w:kinsoku/>
              <w:wordWrap/>
              <w:overflowPunct/>
              <w:topLinePunct w:val="0"/>
              <w:autoSpaceDE/>
              <w:autoSpaceDN/>
              <w:bidi w:val="0"/>
              <w:adjustRightInd/>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式中：Lw—中心位置位于透声面积（S）处的等效声源的倍频带声功率级，dB；</w:t>
            </w:r>
          </w:p>
          <w:p w14:paraId="75037C4D">
            <w:pPr>
              <w:keepNext w:val="0"/>
              <w:keepLines w:val="0"/>
              <w:pageBreakBefore w:val="0"/>
              <w:kinsoku/>
              <w:wordWrap/>
              <w:overflowPunct/>
              <w:topLinePunct w:val="0"/>
              <w:autoSpaceDE/>
              <w:autoSpaceDN/>
              <w:bidi w:val="0"/>
              <w:adjustRightInd/>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p2</w:t>
            </w:r>
            <w:r>
              <w:rPr>
                <w:rFonts w:hint="default" w:ascii="Times New Roman" w:hAnsi="Times New Roman" w:cs="Times New Roman"/>
                <w:color w:val="auto"/>
                <w:sz w:val="24"/>
              </w:rPr>
              <w:t>（T）—靠近围护结构处室外声源的声压级，dB；</w:t>
            </w:r>
          </w:p>
          <w:p w14:paraId="5B996AC2">
            <w:pPr>
              <w:keepNext w:val="0"/>
              <w:keepLines w:val="0"/>
              <w:pageBreakBefore w:val="0"/>
              <w:kinsoku/>
              <w:wordWrap/>
              <w:overflowPunct/>
              <w:topLinePunct w:val="0"/>
              <w:autoSpaceDE/>
              <w:autoSpaceDN/>
              <w:bidi w:val="0"/>
              <w:adjustRightInd/>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S—透声面积，m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w:t>
            </w:r>
          </w:p>
          <w:p w14:paraId="786B83FB">
            <w:pPr>
              <w:keepNext w:val="0"/>
              <w:keepLines w:val="0"/>
              <w:pageBreakBefore w:val="0"/>
              <w:kinsoku/>
              <w:wordWrap/>
              <w:overflowPunct/>
              <w:topLinePunct w:val="0"/>
              <w:autoSpaceDE/>
              <w:autoSpaceDN/>
              <w:bidi w:val="0"/>
              <w:adjustRightInd/>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然后按照室外声源预测方法计算预测点处的A声级。</w:t>
            </w:r>
          </w:p>
          <w:p w14:paraId="28501D41">
            <w:pPr>
              <w:keepNext w:val="0"/>
              <w:keepLines w:val="0"/>
              <w:pageBreakBefore w:val="0"/>
              <w:kinsoku/>
              <w:wordWrap/>
              <w:overflowPunct/>
              <w:topLinePunct w:val="0"/>
              <w:autoSpaceDE/>
              <w:autoSpaceDN/>
              <w:bidi w:val="0"/>
              <w:adjustRightInd/>
              <w:spacing w:line="360" w:lineRule="auto"/>
              <w:ind w:firstLine="480" w:firstLineChars="200"/>
              <w:textAlignment w:val="baseline"/>
              <w:rPr>
                <w:rFonts w:hint="default" w:ascii="Times New Roman" w:hAnsi="Times New Roman" w:cs="Times New Roman"/>
                <w:color w:val="auto"/>
                <w:sz w:val="24"/>
              </w:rPr>
            </w:pPr>
            <w:r>
              <w:rPr>
                <w:rFonts w:hint="default" w:ascii="Times New Roman" w:hAnsi="Times New Roman" w:cs="Times New Roman"/>
                <w:bCs/>
                <w:color w:val="auto"/>
                <w:sz w:val="24"/>
              </w:rPr>
              <w:t>②户外传播衰减计算：</w:t>
            </w:r>
          </w:p>
          <w:p w14:paraId="25AE9FA3">
            <w:pPr>
              <w:keepNext w:val="0"/>
              <w:keepLines w:val="0"/>
              <w:pageBreakBefore w:val="0"/>
              <w:kinsoku/>
              <w:wordWrap/>
              <w:overflowPunct/>
              <w:topLinePunct w:val="0"/>
              <w:autoSpaceDE/>
              <w:autoSpaceDN/>
              <w:bidi w:val="0"/>
              <w:adjustRightInd/>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按下式将室外声源的声压级和透过面积换算成等效的室外声源，计算出中心位置位于透声面积（S）处的等效声源的倍频带声功率级。</w:t>
            </w:r>
          </w:p>
          <w:p w14:paraId="7EB8AEDB">
            <w:pPr>
              <w:keepNext w:val="0"/>
              <w:keepLines w:val="0"/>
              <w:pageBreakBefore w:val="0"/>
              <w:kinsoku/>
              <w:wordWrap/>
              <w:overflowPunct/>
              <w:topLinePunct w:val="0"/>
              <w:autoSpaceDE/>
              <w:autoSpaceDN/>
              <w:bidi w:val="0"/>
              <w:adjustRightInd/>
              <w:spacing w:line="360" w:lineRule="auto"/>
              <w:ind w:firstLine="480" w:firstLineChars="200"/>
              <w:jc w:val="center"/>
              <w:rPr>
                <w:rFonts w:hint="default" w:ascii="Times New Roman" w:hAnsi="Times New Roman" w:cs="Times New Roman"/>
                <w:color w:val="auto"/>
                <w:sz w:val="24"/>
              </w:rPr>
            </w:pPr>
            <w:r>
              <w:rPr>
                <w:rFonts w:hint="default" w:ascii="Times New Roman" w:hAnsi="Times New Roman" w:cs="Times New Roman"/>
                <w:color w:val="auto"/>
                <w:sz w:val="24"/>
              </w:rPr>
              <w:object>
                <v:shape id="_x0000_i1033" o:spt="75" type="#_x0000_t75" style="height:18pt;width:98.7pt;" o:ole="t" filled="f" o:preferrelative="t" stroked="f" coordsize="21600,21600">
                  <v:path/>
                  <v:fill on="f" focussize="0,0"/>
                  <v:stroke on="f"/>
                  <v:imagedata r:id="rId28" o:title=""/>
                  <o:lock v:ext="edit" aspectratio="t"/>
                  <w10:wrap type="none"/>
                  <w10:anchorlock/>
                </v:shape>
                <o:OLEObject Type="Embed" ProgID="Equation.3" ShapeID="_x0000_i1033" DrawAspect="Content" ObjectID="_1468075731" r:id="rId27">
                  <o:LockedField>false</o:LockedField>
                </o:OLEObject>
              </w:object>
            </w:r>
          </w:p>
          <w:p w14:paraId="56F53F03">
            <w:pPr>
              <w:keepNext w:val="0"/>
              <w:keepLines w:val="0"/>
              <w:pageBreakBefore w:val="0"/>
              <w:kinsoku/>
              <w:wordWrap/>
              <w:overflowPunct/>
              <w:topLinePunct w:val="0"/>
              <w:autoSpaceDE/>
              <w:autoSpaceDN/>
              <w:bidi w:val="0"/>
              <w:adjustRightInd/>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然后按室外声源预测方法计算预测点处的A声级。</w:t>
            </w:r>
          </w:p>
          <w:p w14:paraId="19070764">
            <w:pPr>
              <w:keepNext w:val="0"/>
              <w:keepLines w:val="0"/>
              <w:pageBreakBefore w:val="0"/>
              <w:kinsoku/>
              <w:wordWrap/>
              <w:overflowPunct/>
              <w:topLinePunct w:val="0"/>
              <w:autoSpaceDE/>
              <w:autoSpaceDN/>
              <w:bidi w:val="0"/>
              <w:adjustRightInd/>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面声源的几何发散衰减：当预测点和面声源中心距离r处于以下条件时，可按下述方法近似计算：当r＜a/π时，几乎不衰减（Adiv≈0）；当a/π＜r＜b/π，距离加倍衰减3dB左右，类似线声源衰减特性[Adiv≈10lg（r/r0）]；当r＞b/π，距离加倍衰减趋近于6dB，类似点声源衰减特性[Adiv≈20lg（r/r0）]。</w:t>
            </w:r>
          </w:p>
          <w:p w14:paraId="51BBFE96">
            <w:pPr>
              <w:keepNext w:val="0"/>
              <w:keepLines w:val="0"/>
              <w:pageBreakBefore w:val="0"/>
              <w:kinsoku/>
              <w:wordWrap/>
              <w:overflowPunct/>
              <w:topLinePunct w:val="0"/>
              <w:autoSpaceDE/>
              <w:autoSpaceDN/>
              <w:bidi w:val="0"/>
              <w:adjustRightInd/>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户外声传播衰减包括几何发散（Adiv）、大气吸收（Aatm）、地面效应（Agr）、屏障屏蔽（Abar）、其它多方面效应（Amisc）引起的衰减。距声源点r处的A声级按下式计算：</w:t>
            </w:r>
          </w:p>
          <w:p w14:paraId="3E525425">
            <w:pPr>
              <w:keepNext w:val="0"/>
              <w:keepLines w:val="0"/>
              <w:pageBreakBefore w:val="0"/>
              <w:kinsoku/>
              <w:wordWrap/>
              <w:overflowPunct/>
              <w:topLinePunct w:val="0"/>
              <w:autoSpaceDE/>
              <w:autoSpaceDN/>
              <w:bidi w:val="0"/>
              <w:adjustRightInd/>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rPr>
              <w:drawing>
                <wp:inline distT="0" distB="0" distL="114300" distR="114300">
                  <wp:extent cx="3368040" cy="271145"/>
                  <wp:effectExtent l="0" t="0" r="3810" b="14605"/>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pic:cNvPicPr>
                            <a:picLocks noChangeAspect="1"/>
                          </pic:cNvPicPr>
                        </pic:nvPicPr>
                        <pic:blipFill>
                          <a:blip r:embed="rId29"/>
                          <a:stretch>
                            <a:fillRect/>
                          </a:stretch>
                        </pic:blipFill>
                        <pic:spPr>
                          <a:xfrm>
                            <a:off x="0" y="0"/>
                            <a:ext cx="3368040" cy="271145"/>
                          </a:xfrm>
                          <a:prstGeom prst="rect">
                            <a:avLst/>
                          </a:prstGeom>
                          <a:noFill/>
                          <a:ln>
                            <a:noFill/>
                          </a:ln>
                        </pic:spPr>
                      </pic:pic>
                    </a:graphicData>
                  </a:graphic>
                </wp:inline>
              </w:drawing>
            </w:r>
          </w:p>
          <w:p w14:paraId="798B2B3E">
            <w:pPr>
              <w:keepNext w:val="0"/>
              <w:keepLines w:val="0"/>
              <w:pageBreakBefore w:val="0"/>
              <w:kinsoku/>
              <w:wordWrap/>
              <w:overflowPunct/>
              <w:topLinePunct w:val="0"/>
              <w:autoSpaceDE/>
              <w:autoSpaceDN/>
              <w:bidi w:val="0"/>
              <w:adjustRightInd/>
              <w:spacing w:line="360" w:lineRule="auto"/>
              <w:ind w:firstLine="420" w:firstLineChars="200"/>
              <w:jc w:val="left"/>
              <w:rPr>
                <w:rFonts w:hint="default" w:ascii="Times New Roman" w:hAnsi="Times New Roman" w:cs="Times New Roman"/>
                <w:color w:val="auto"/>
                <w:sz w:val="24"/>
              </w:rPr>
            </w:pPr>
            <w:r>
              <w:rPr>
                <w:rFonts w:hint="default" w:ascii="Times New Roman" w:hAnsi="Times New Roman" w:cs="Times New Roman"/>
                <w:color w:val="auto"/>
              </w:rPr>
              <w:drawing>
                <wp:anchor distT="0" distB="0" distL="114300" distR="114300" simplePos="0" relativeHeight="251659264" behindDoc="0" locked="0" layoutInCell="1" allowOverlap="1">
                  <wp:simplePos x="0" y="0"/>
                  <wp:positionH relativeFrom="column">
                    <wp:posOffset>1642110</wp:posOffset>
                  </wp:positionH>
                  <wp:positionV relativeFrom="paragraph">
                    <wp:posOffset>306070</wp:posOffset>
                  </wp:positionV>
                  <wp:extent cx="1713865" cy="401955"/>
                  <wp:effectExtent l="0" t="0" r="0" b="17145"/>
                  <wp:wrapTopAndBottom/>
                  <wp:docPr id="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6"/>
                          <pic:cNvPicPr>
                            <a:picLocks noChangeAspect="1"/>
                          </pic:cNvPicPr>
                        </pic:nvPicPr>
                        <pic:blipFill>
                          <a:blip r:embed="rId30"/>
                          <a:stretch>
                            <a:fillRect/>
                          </a:stretch>
                        </pic:blipFill>
                        <pic:spPr>
                          <a:xfrm>
                            <a:off x="0" y="0"/>
                            <a:ext cx="1713865" cy="401955"/>
                          </a:xfrm>
                          <a:prstGeom prst="rect">
                            <a:avLst/>
                          </a:prstGeom>
                          <a:noFill/>
                          <a:ln>
                            <a:noFill/>
                          </a:ln>
                        </pic:spPr>
                      </pic:pic>
                    </a:graphicData>
                  </a:graphic>
                </wp:anchor>
              </w:drawing>
            </w:r>
            <w:r>
              <w:rPr>
                <w:rFonts w:hint="default" w:ascii="Times New Roman" w:hAnsi="Times New Roman" w:cs="Times New Roman"/>
                <w:color w:val="auto"/>
                <w:sz w:val="24"/>
              </w:rPr>
              <w:t>影响预测的复合声压采用噪声叠加公式：</w:t>
            </w:r>
          </w:p>
          <w:p w14:paraId="22BD019B">
            <w:pPr>
              <w:keepNext w:val="0"/>
              <w:keepLines w:val="0"/>
              <w:pageBreakBefore w:val="0"/>
              <w:kinsoku/>
              <w:wordWrap/>
              <w:overflowPunct/>
              <w:topLinePunct w:val="0"/>
              <w:autoSpaceDE/>
              <w:autoSpaceDN/>
              <w:bidi w:val="0"/>
              <w:adjustRightInd/>
              <w:spacing w:line="360" w:lineRule="auto"/>
              <w:ind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式中：L——某点噪声总叠加值，dB(A)；</w:t>
            </w:r>
          </w:p>
          <w:p w14:paraId="3EA0FCC0">
            <w:pPr>
              <w:keepNext w:val="0"/>
              <w:keepLines w:val="0"/>
              <w:pageBreakBefore w:val="0"/>
              <w:kinsoku/>
              <w:wordWrap/>
              <w:overflowPunct/>
              <w:topLinePunct w:val="0"/>
              <w:autoSpaceDE/>
              <w:autoSpaceDN/>
              <w:bidi w:val="0"/>
              <w:adjustRightInd/>
              <w:spacing w:line="360" w:lineRule="auto"/>
              <w:ind w:firstLine="1200" w:firstLineChars="500"/>
              <w:jc w:val="left"/>
              <w:rPr>
                <w:rFonts w:hint="default" w:ascii="Times New Roman" w:hAnsi="Times New Roman" w:cs="Times New Roman"/>
                <w:color w:val="auto"/>
                <w:sz w:val="24"/>
              </w:rPr>
            </w:pPr>
            <w:r>
              <w:rPr>
                <w:rFonts w:hint="default" w:ascii="Times New Roman" w:hAnsi="Times New Roman" w:cs="Times New Roman"/>
                <w:color w:val="auto"/>
                <w:sz w:val="24"/>
              </w:rPr>
              <w:t>Li——第i声源的噪声值，dB(A)；</w:t>
            </w:r>
          </w:p>
          <w:p w14:paraId="09A731D7">
            <w:pPr>
              <w:keepNext w:val="0"/>
              <w:keepLines w:val="0"/>
              <w:pageBreakBefore w:val="0"/>
              <w:kinsoku/>
              <w:wordWrap/>
              <w:overflowPunct/>
              <w:topLinePunct w:val="0"/>
              <w:autoSpaceDE/>
              <w:autoSpaceDN/>
              <w:bidi w:val="0"/>
              <w:adjustRightInd/>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color w:val="auto"/>
                <w:sz w:val="24"/>
                <w:szCs w:val="24"/>
              </w:rPr>
              <w:t>n——声源个数。</w:t>
            </w:r>
          </w:p>
          <w:p w14:paraId="5EE3B551">
            <w:pPr>
              <w:pStyle w:val="14"/>
              <w:keepNext w:val="0"/>
              <w:keepLines w:val="0"/>
              <w:pageBreakBefore w:val="0"/>
              <w:kinsoku/>
              <w:wordWrap/>
              <w:overflowPunct/>
              <w:topLinePunct w:val="0"/>
              <w:autoSpaceDE/>
              <w:autoSpaceDN/>
              <w:bidi w:val="0"/>
              <w:adjustRightInd/>
              <w:spacing w:before="0" w:after="0" w:line="360" w:lineRule="auto"/>
              <w:ind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rPr>
              <w:t>项目噪声源强调查清单见表4.2-1</w:t>
            </w:r>
            <w:r>
              <w:rPr>
                <w:rFonts w:hint="eastAsia" w:ascii="Times New Roman" w:hAnsi="Times New Roman" w:cs="Times New Roman"/>
                <w:color w:val="auto"/>
                <w:sz w:val="24"/>
                <w:lang w:val="en-US" w:eastAsia="zh-CN"/>
              </w:rPr>
              <w:t>9和</w:t>
            </w:r>
            <w:r>
              <w:rPr>
                <w:rFonts w:hint="default" w:ascii="Times New Roman" w:hAnsi="Times New Roman" w:cs="Times New Roman"/>
                <w:color w:val="auto"/>
                <w:sz w:val="24"/>
              </w:rPr>
              <w:t>4.2-</w:t>
            </w:r>
            <w:r>
              <w:rPr>
                <w:rFonts w:hint="eastAsia" w:ascii="Times New Roman" w:hAnsi="Times New Roman" w:cs="Times New Roman"/>
                <w:color w:val="auto"/>
                <w:sz w:val="24"/>
                <w:lang w:val="en-US" w:eastAsia="zh-CN"/>
              </w:rPr>
              <w:t>20</w:t>
            </w:r>
            <w:r>
              <w:rPr>
                <w:rFonts w:hint="default" w:ascii="Times New Roman" w:hAnsi="Times New Roman" w:cs="Times New Roman"/>
                <w:color w:val="auto"/>
                <w:sz w:val="24"/>
              </w:rPr>
              <w:t>。</w:t>
            </w:r>
          </w:p>
          <w:p w14:paraId="13C05E5F">
            <w:pPr>
              <w:pStyle w:val="245"/>
              <w:spacing w:line="360" w:lineRule="auto"/>
              <w:ind w:firstLine="480" w:firstLineChars="200"/>
              <w:jc w:val="both"/>
              <w:rPr>
                <w:rFonts w:hint="default" w:ascii="Times New Roman" w:hAnsi="Times New Roman" w:cs="Times New Roman"/>
                <w:color w:val="auto"/>
              </w:rPr>
            </w:pPr>
          </w:p>
          <w:p w14:paraId="23A5592C">
            <w:pPr>
              <w:pStyle w:val="245"/>
              <w:spacing w:line="360" w:lineRule="auto"/>
              <w:ind w:firstLine="480" w:firstLineChars="200"/>
              <w:jc w:val="both"/>
              <w:rPr>
                <w:rFonts w:hint="default" w:ascii="Times New Roman" w:hAnsi="Times New Roman" w:cs="Times New Roman"/>
                <w:color w:val="auto"/>
              </w:rPr>
            </w:pPr>
          </w:p>
          <w:p w14:paraId="2AAE845F">
            <w:pPr>
              <w:pStyle w:val="245"/>
              <w:spacing w:line="360" w:lineRule="auto"/>
              <w:ind w:firstLine="480" w:firstLineChars="200"/>
              <w:jc w:val="both"/>
              <w:rPr>
                <w:rFonts w:hint="default" w:ascii="Times New Roman" w:hAnsi="Times New Roman" w:cs="Times New Roman"/>
                <w:color w:val="auto"/>
              </w:rPr>
            </w:pPr>
          </w:p>
          <w:p w14:paraId="1CE69498">
            <w:pPr>
              <w:pStyle w:val="245"/>
              <w:spacing w:line="360" w:lineRule="auto"/>
              <w:ind w:firstLine="480" w:firstLineChars="200"/>
              <w:jc w:val="both"/>
              <w:rPr>
                <w:rFonts w:hint="default" w:ascii="Times New Roman" w:hAnsi="Times New Roman" w:cs="Times New Roman"/>
                <w:color w:val="auto"/>
              </w:rPr>
            </w:pPr>
          </w:p>
          <w:p w14:paraId="231EEAF3">
            <w:pPr>
              <w:pStyle w:val="245"/>
              <w:spacing w:line="360" w:lineRule="auto"/>
              <w:ind w:firstLine="480" w:firstLineChars="200"/>
              <w:jc w:val="both"/>
              <w:rPr>
                <w:rFonts w:hint="default" w:ascii="Times New Roman" w:hAnsi="Times New Roman" w:cs="Times New Roman"/>
                <w:color w:val="auto"/>
              </w:rPr>
            </w:pPr>
          </w:p>
          <w:p w14:paraId="18619E09">
            <w:pPr>
              <w:pStyle w:val="245"/>
              <w:spacing w:line="360" w:lineRule="auto"/>
              <w:ind w:firstLine="480" w:firstLineChars="200"/>
              <w:jc w:val="both"/>
              <w:rPr>
                <w:rFonts w:hint="default" w:ascii="Times New Roman" w:hAnsi="Times New Roman" w:cs="Times New Roman"/>
                <w:color w:val="auto"/>
              </w:rPr>
            </w:pPr>
          </w:p>
          <w:p w14:paraId="50459871">
            <w:pPr>
              <w:pStyle w:val="245"/>
              <w:spacing w:line="360" w:lineRule="auto"/>
              <w:ind w:firstLine="480" w:firstLineChars="200"/>
              <w:jc w:val="both"/>
              <w:rPr>
                <w:rFonts w:hint="default" w:ascii="Times New Roman" w:hAnsi="Times New Roman" w:cs="Times New Roman"/>
                <w:color w:val="auto"/>
              </w:rPr>
            </w:pPr>
          </w:p>
          <w:p w14:paraId="7D728C60">
            <w:pPr>
              <w:pStyle w:val="245"/>
              <w:spacing w:line="360" w:lineRule="auto"/>
              <w:ind w:firstLine="480" w:firstLineChars="200"/>
              <w:jc w:val="both"/>
              <w:rPr>
                <w:rFonts w:hint="default" w:ascii="Times New Roman" w:hAnsi="Times New Roman" w:cs="Times New Roman"/>
                <w:color w:val="auto"/>
              </w:rPr>
            </w:pPr>
          </w:p>
          <w:p w14:paraId="13DF959D">
            <w:pPr>
              <w:pStyle w:val="245"/>
              <w:spacing w:line="360" w:lineRule="auto"/>
              <w:ind w:firstLine="480" w:firstLineChars="200"/>
              <w:jc w:val="both"/>
              <w:rPr>
                <w:rFonts w:hint="default" w:ascii="Times New Roman" w:hAnsi="Times New Roman" w:cs="Times New Roman"/>
                <w:color w:val="auto"/>
              </w:rPr>
            </w:pPr>
          </w:p>
          <w:p w14:paraId="6345AA01">
            <w:pPr>
              <w:pStyle w:val="245"/>
              <w:spacing w:line="360" w:lineRule="auto"/>
              <w:ind w:firstLine="480" w:firstLineChars="200"/>
              <w:jc w:val="both"/>
              <w:rPr>
                <w:rFonts w:hint="default" w:ascii="Times New Roman" w:hAnsi="Times New Roman" w:cs="Times New Roman"/>
                <w:color w:val="auto"/>
              </w:rPr>
            </w:pPr>
          </w:p>
          <w:p w14:paraId="3CB8D906">
            <w:pPr>
              <w:pStyle w:val="245"/>
              <w:spacing w:line="360" w:lineRule="auto"/>
              <w:ind w:firstLine="480" w:firstLineChars="200"/>
              <w:jc w:val="both"/>
              <w:rPr>
                <w:rFonts w:hint="default" w:ascii="Times New Roman" w:hAnsi="Times New Roman" w:cs="Times New Roman"/>
                <w:color w:val="auto"/>
              </w:rPr>
            </w:pPr>
          </w:p>
          <w:p w14:paraId="48EC3F6B">
            <w:pPr>
              <w:pStyle w:val="245"/>
              <w:spacing w:line="360" w:lineRule="auto"/>
              <w:ind w:firstLine="480" w:firstLineChars="200"/>
              <w:jc w:val="both"/>
              <w:rPr>
                <w:rFonts w:hint="default" w:ascii="Times New Roman" w:hAnsi="Times New Roman" w:cs="Times New Roman"/>
                <w:color w:val="auto"/>
              </w:rPr>
            </w:pPr>
          </w:p>
          <w:p w14:paraId="72DE828A">
            <w:pPr>
              <w:pStyle w:val="245"/>
              <w:spacing w:line="360" w:lineRule="auto"/>
              <w:ind w:firstLine="480" w:firstLineChars="200"/>
              <w:jc w:val="both"/>
              <w:rPr>
                <w:rFonts w:hint="default" w:ascii="Times New Roman" w:hAnsi="Times New Roman" w:cs="Times New Roman"/>
                <w:color w:val="auto"/>
              </w:rPr>
            </w:pPr>
          </w:p>
          <w:p w14:paraId="7AB7D16D">
            <w:pPr>
              <w:pStyle w:val="245"/>
              <w:spacing w:line="360" w:lineRule="auto"/>
              <w:ind w:firstLine="480" w:firstLineChars="200"/>
              <w:jc w:val="both"/>
              <w:rPr>
                <w:rFonts w:hint="default" w:ascii="Times New Roman" w:hAnsi="Times New Roman" w:cs="Times New Roman"/>
                <w:color w:val="auto"/>
              </w:rPr>
            </w:pPr>
          </w:p>
          <w:p w14:paraId="0D9F7BBE">
            <w:pPr>
              <w:pStyle w:val="245"/>
              <w:spacing w:line="360" w:lineRule="auto"/>
              <w:ind w:firstLine="480" w:firstLineChars="200"/>
              <w:jc w:val="both"/>
              <w:rPr>
                <w:rFonts w:hint="default" w:ascii="Times New Roman" w:hAnsi="Times New Roman" w:cs="Times New Roman"/>
                <w:color w:val="auto"/>
              </w:rPr>
            </w:pPr>
          </w:p>
          <w:p w14:paraId="500E2B57">
            <w:pPr>
              <w:pStyle w:val="245"/>
              <w:spacing w:line="360" w:lineRule="auto"/>
              <w:ind w:firstLine="480" w:firstLineChars="200"/>
              <w:jc w:val="both"/>
              <w:rPr>
                <w:rFonts w:hint="default" w:ascii="Times New Roman" w:hAnsi="Times New Roman" w:cs="Times New Roman"/>
                <w:color w:val="auto"/>
              </w:rPr>
            </w:pPr>
          </w:p>
          <w:p w14:paraId="50C92C1C">
            <w:pPr>
              <w:pStyle w:val="245"/>
              <w:spacing w:line="360" w:lineRule="auto"/>
              <w:ind w:firstLine="480" w:firstLineChars="200"/>
              <w:jc w:val="both"/>
              <w:rPr>
                <w:rFonts w:hint="default" w:ascii="Times New Roman" w:hAnsi="Times New Roman" w:cs="Times New Roman"/>
                <w:color w:val="auto"/>
              </w:rPr>
            </w:pPr>
          </w:p>
          <w:p w14:paraId="3C6D83E1">
            <w:pPr>
              <w:pStyle w:val="245"/>
              <w:spacing w:line="360" w:lineRule="auto"/>
              <w:ind w:firstLine="480" w:firstLineChars="200"/>
              <w:jc w:val="both"/>
              <w:rPr>
                <w:rFonts w:hint="default" w:ascii="Times New Roman" w:hAnsi="Times New Roman" w:cs="Times New Roman"/>
                <w:color w:val="auto"/>
              </w:rPr>
            </w:pPr>
          </w:p>
          <w:p w14:paraId="3A55E702">
            <w:pPr>
              <w:pStyle w:val="245"/>
              <w:spacing w:line="360" w:lineRule="auto"/>
              <w:ind w:firstLine="480" w:firstLineChars="200"/>
              <w:jc w:val="both"/>
              <w:rPr>
                <w:rFonts w:hint="default" w:ascii="Times New Roman" w:hAnsi="Times New Roman" w:cs="Times New Roman"/>
                <w:color w:val="auto"/>
              </w:rPr>
            </w:pPr>
          </w:p>
          <w:p w14:paraId="0985E642">
            <w:pPr>
              <w:pStyle w:val="245"/>
              <w:spacing w:line="360" w:lineRule="auto"/>
              <w:ind w:firstLine="480" w:firstLineChars="200"/>
              <w:jc w:val="both"/>
              <w:rPr>
                <w:rFonts w:hint="default" w:ascii="Times New Roman" w:hAnsi="Times New Roman" w:cs="Times New Roman"/>
                <w:color w:val="auto"/>
              </w:rPr>
            </w:pPr>
          </w:p>
          <w:p w14:paraId="39DD613F">
            <w:pPr>
              <w:pStyle w:val="245"/>
              <w:spacing w:line="360" w:lineRule="auto"/>
              <w:jc w:val="both"/>
              <w:rPr>
                <w:rFonts w:hint="default" w:ascii="Times New Roman" w:hAnsi="Times New Roman" w:cs="Times New Roman"/>
                <w:color w:val="auto"/>
              </w:rPr>
            </w:pPr>
          </w:p>
        </w:tc>
      </w:tr>
    </w:tbl>
    <w:p w14:paraId="3AC07E62">
      <w:pPr>
        <w:autoSpaceDE w:val="0"/>
        <w:autoSpaceDN w:val="0"/>
        <w:adjustRightInd w:val="0"/>
        <w:spacing w:line="460" w:lineRule="exact"/>
        <w:jc w:val="center"/>
        <w:textAlignment w:val="baseline"/>
        <w:rPr>
          <w:rFonts w:hint="default" w:ascii="Times New Roman" w:hAnsi="Times New Roman" w:cs="Times New Roman"/>
          <w:b/>
          <w:bCs/>
          <w:color w:val="auto"/>
          <w:sz w:val="24"/>
        </w:rPr>
        <w:sectPr>
          <w:pgSz w:w="11906" w:h="16838"/>
          <w:pgMar w:top="1701" w:right="1531" w:bottom="1701" w:left="1531" w:header="851" w:footer="851" w:gutter="0"/>
          <w:pgNumType w:fmt="decimal"/>
          <w:cols w:space="720" w:num="1"/>
          <w:docGrid w:linePitch="312" w:charSpace="0"/>
        </w:sectPr>
      </w:pPr>
    </w:p>
    <w:p w14:paraId="6A487969">
      <w:pPr>
        <w:autoSpaceDE w:val="0"/>
        <w:autoSpaceDN w:val="0"/>
        <w:adjustRightInd w:val="0"/>
        <w:spacing w:line="240" w:lineRule="auto"/>
        <w:jc w:val="center"/>
        <w:textAlignment w:val="baseline"/>
        <w:rPr>
          <w:rFonts w:hint="default" w:ascii="Times New Roman" w:hAnsi="Times New Roman" w:cs="Times New Roman"/>
          <w:b/>
          <w:bCs/>
          <w:color w:val="auto"/>
          <w:sz w:val="24"/>
        </w:rPr>
      </w:pPr>
      <w:r>
        <w:rPr>
          <w:rFonts w:hint="default" w:ascii="Times New Roman" w:hAnsi="Times New Roman" w:cs="Times New Roman"/>
          <w:b/>
          <w:bCs/>
          <w:color w:val="auto"/>
          <w:sz w:val="24"/>
        </w:rPr>
        <w:t>表4.2-1</w:t>
      </w:r>
      <w:r>
        <w:rPr>
          <w:rFonts w:hint="default" w:ascii="Times New Roman" w:hAnsi="Times New Roman" w:cs="Times New Roman"/>
          <w:b/>
          <w:bCs/>
          <w:color w:val="auto"/>
          <w:sz w:val="24"/>
          <w:lang w:val="en-US" w:eastAsia="zh-CN"/>
        </w:rPr>
        <w:t>9</w:t>
      </w:r>
      <w:r>
        <w:rPr>
          <w:rFonts w:hint="default" w:ascii="Times New Roman" w:hAnsi="Times New Roman" w:cs="Times New Roman"/>
          <w:b/>
          <w:bCs/>
          <w:color w:val="auto"/>
          <w:sz w:val="24"/>
        </w:rPr>
        <w:t xml:space="preserve">  工业企业噪声源强调查清单（室内声源）</w:t>
      </w:r>
    </w:p>
    <w:tbl>
      <w:tblPr>
        <w:tblStyle w:val="35"/>
        <w:tblW w:w="1383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81"/>
        <w:gridCol w:w="1367"/>
        <w:gridCol w:w="794"/>
        <w:gridCol w:w="726"/>
        <w:gridCol w:w="496"/>
        <w:gridCol w:w="496"/>
        <w:gridCol w:w="480"/>
        <w:gridCol w:w="427"/>
        <w:gridCol w:w="427"/>
        <w:gridCol w:w="427"/>
        <w:gridCol w:w="585"/>
        <w:gridCol w:w="427"/>
        <w:gridCol w:w="427"/>
        <w:gridCol w:w="427"/>
        <w:gridCol w:w="427"/>
        <w:gridCol w:w="860"/>
        <w:gridCol w:w="1291"/>
        <w:gridCol w:w="427"/>
        <w:gridCol w:w="427"/>
        <w:gridCol w:w="427"/>
        <w:gridCol w:w="427"/>
        <w:gridCol w:w="1357"/>
      </w:tblGrid>
      <w:tr w14:paraId="473F5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830" w:type="dxa"/>
            <w:gridSpan w:val="22"/>
            <w:shd w:val="clear" w:color="auto" w:fill="auto"/>
            <w:vAlign w:val="center"/>
          </w:tcPr>
          <w:p w14:paraId="2893551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室内声源</w:t>
            </w:r>
          </w:p>
        </w:tc>
      </w:tr>
      <w:tr w14:paraId="1665F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81" w:type="dxa"/>
            <w:vMerge w:val="restart"/>
            <w:shd w:val="clear" w:color="auto" w:fill="auto"/>
            <w:vAlign w:val="center"/>
          </w:tcPr>
          <w:p w14:paraId="5803A26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建筑物</w:t>
            </w:r>
          </w:p>
        </w:tc>
        <w:tc>
          <w:tcPr>
            <w:tcW w:w="1367" w:type="dxa"/>
            <w:vMerge w:val="restart"/>
            <w:shd w:val="clear" w:color="auto" w:fill="auto"/>
            <w:vAlign w:val="center"/>
          </w:tcPr>
          <w:p w14:paraId="17AD2ED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声源名称</w:t>
            </w:r>
          </w:p>
        </w:tc>
        <w:tc>
          <w:tcPr>
            <w:tcW w:w="794" w:type="dxa"/>
            <w:vMerge w:val="restart"/>
            <w:shd w:val="clear" w:color="auto" w:fill="auto"/>
            <w:vAlign w:val="center"/>
          </w:tcPr>
          <w:p w14:paraId="3AFD9346">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声源源强（距声源1m处的声压级）/dB（A）</w:t>
            </w:r>
          </w:p>
        </w:tc>
        <w:tc>
          <w:tcPr>
            <w:tcW w:w="726" w:type="dxa"/>
            <w:vMerge w:val="restart"/>
            <w:shd w:val="clear" w:color="auto" w:fill="auto"/>
            <w:vAlign w:val="center"/>
          </w:tcPr>
          <w:p w14:paraId="33C1FF01">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声源控制措施</w:t>
            </w:r>
          </w:p>
        </w:tc>
        <w:tc>
          <w:tcPr>
            <w:tcW w:w="1472" w:type="dxa"/>
            <w:gridSpan w:val="3"/>
            <w:vMerge w:val="restart"/>
            <w:shd w:val="clear" w:color="auto" w:fill="auto"/>
            <w:vAlign w:val="center"/>
          </w:tcPr>
          <w:p w14:paraId="67AEAD0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空间相对位置/m</w:t>
            </w:r>
          </w:p>
        </w:tc>
        <w:tc>
          <w:tcPr>
            <w:tcW w:w="1866" w:type="dxa"/>
            <w:gridSpan w:val="4"/>
            <w:vMerge w:val="restart"/>
            <w:shd w:val="clear" w:color="auto" w:fill="auto"/>
            <w:vAlign w:val="center"/>
          </w:tcPr>
          <w:p w14:paraId="340D3368">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距室内边界距离/m</w:t>
            </w:r>
          </w:p>
        </w:tc>
        <w:tc>
          <w:tcPr>
            <w:tcW w:w="1708" w:type="dxa"/>
            <w:gridSpan w:val="4"/>
            <w:vMerge w:val="restart"/>
            <w:shd w:val="clear" w:color="auto" w:fill="auto"/>
            <w:vAlign w:val="center"/>
          </w:tcPr>
          <w:p w14:paraId="10FE968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室内边界声级/dB(A)</w:t>
            </w:r>
          </w:p>
        </w:tc>
        <w:tc>
          <w:tcPr>
            <w:tcW w:w="860" w:type="dxa"/>
            <w:vMerge w:val="restart"/>
            <w:shd w:val="clear" w:color="auto" w:fill="auto"/>
            <w:vAlign w:val="center"/>
          </w:tcPr>
          <w:p w14:paraId="0F75F97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运行时段</w:t>
            </w:r>
          </w:p>
        </w:tc>
        <w:tc>
          <w:tcPr>
            <w:tcW w:w="1291" w:type="dxa"/>
            <w:vMerge w:val="restart"/>
            <w:shd w:val="clear" w:color="auto" w:fill="auto"/>
            <w:vAlign w:val="center"/>
          </w:tcPr>
          <w:p w14:paraId="2ABD29A9">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建筑物插入损失dB（A）</w:t>
            </w:r>
          </w:p>
        </w:tc>
        <w:tc>
          <w:tcPr>
            <w:tcW w:w="3065" w:type="dxa"/>
            <w:gridSpan w:val="5"/>
            <w:shd w:val="clear" w:color="auto" w:fill="auto"/>
            <w:vAlign w:val="center"/>
          </w:tcPr>
          <w:p w14:paraId="099B67A7">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建筑外噪声</w:t>
            </w:r>
          </w:p>
        </w:tc>
      </w:tr>
      <w:tr w14:paraId="39E61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1" w:type="dxa"/>
            <w:vMerge w:val="continue"/>
            <w:shd w:val="clear" w:color="auto" w:fill="auto"/>
            <w:vAlign w:val="center"/>
          </w:tcPr>
          <w:p w14:paraId="3E3D7630">
            <w:pPr>
              <w:jc w:val="center"/>
              <w:rPr>
                <w:rFonts w:hint="default" w:ascii="Times New Roman" w:hAnsi="Times New Roman" w:eastAsia="宋体" w:cs="Times New Roman"/>
                <w:b/>
                <w:bCs/>
                <w:i w:val="0"/>
                <w:iCs w:val="0"/>
                <w:color w:val="auto"/>
                <w:sz w:val="21"/>
                <w:szCs w:val="21"/>
                <w:u w:val="none"/>
              </w:rPr>
            </w:pPr>
          </w:p>
        </w:tc>
        <w:tc>
          <w:tcPr>
            <w:tcW w:w="1367" w:type="dxa"/>
            <w:vMerge w:val="continue"/>
            <w:shd w:val="clear" w:color="auto" w:fill="auto"/>
            <w:vAlign w:val="center"/>
          </w:tcPr>
          <w:p w14:paraId="4342A2CB">
            <w:pPr>
              <w:jc w:val="center"/>
              <w:rPr>
                <w:rFonts w:hint="default" w:ascii="Times New Roman" w:hAnsi="Times New Roman" w:eastAsia="宋体" w:cs="Times New Roman"/>
                <w:b/>
                <w:bCs/>
                <w:i w:val="0"/>
                <w:iCs w:val="0"/>
                <w:color w:val="auto"/>
                <w:sz w:val="21"/>
                <w:szCs w:val="21"/>
                <w:u w:val="none"/>
              </w:rPr>
            </w:pPr>
          </w:p>
        </w:tc>
        <w:tc>
          <w:tcPr>
            <w:tcW w:w="794" w:type="dxa"/>
            <w:vMerge w:val="continue"/>
            <w:shd w:val="clear" w:color="auto" w:fill="auto"/>
            <w:vAlign w:val="center"/>
          </w:tcPr>
          <w:p w14:paraId="53580197">
            <w:pPr>
              <w:jc w:val="center"/>
              <w:rPr>
                <w:rFonts w:hint="default" w:ascii="Times New Roman" w:hAnsi="Times New Roman" w:eastAsia="宋体" w:cs="Times New Roman"/>
                <w:b/>
                <w:bCs/>
                <w:i w:val="0"/>
                <w:iCs w:val="0"/>
                <w:color w:val="auto"/>
                <w:sz w:val="21"/>
                <w:szCs w:val="21"/>
                <w:u w:val="none"/>
              </w:rPr>
            </w:pPr>
          </w:p>
        </w:tc>
        <w:tc>
          <w:tcPr>
            <w:tcW w:w="726" w:type="dxa"/>
            <w:vMerge w:val="continue"/>
            <w:shd w:val="clear" w:color="auto" w:fill="auto"/>
            <w:vAlign w:val="center"/>
          </w:tcPr>
          <w:p w14:paraId="5AC766F3">
            <w:pPr>
              <w:jc w:val="center"/>
              <w:rPr>
                <w:rFonts w:hint="default" w:ascii="Times New Roman" w:hAnsi="Times New Roman" w:eastAsia="宋体" w:cs="Times New Roman"/>
                <w:b/>
                <w:bCs/>
                <w:i w:val="0"/>
                <w:iCs w:val="0"/>
                <w:color w:val="auto"/>
                <w:sz w:val="21"/>
                <w:szCs w:val="21"/>
                <w:u w:val="none"/>
              </w:rPr>
            </w:pPr>
          </w:p>
        </w:tc>
        <w:tc>
          <w:tcPr>
            <w:tcW w:w="1472" w:type="dxa"/>
            <w:gridSpan w:val="3"/>
            <w:vMerge w:val="continue"/>
            <w:shd w:val="clear" w:color="auto" w:fill="auto"/>
            <w:vAlign w:val="center"/>
          </w:tcPr>
          <w:p w14:paraId="0179F7BE">
            <w:pPr>
              <w:jc w:val="center"/>
              <w:rPr>
                <w:rFonts w:hint="default" w:ascii="Times New Roman" w:hAnsi="Times New Roman" w:eastAsia="宋体" w:cs="Times New Roman"/>
                <w:b/>
                <w:bCs/>
                <w:i w:val="0"/>
                <w:iCs w:val="0"/>
                <w:color w:val="auto"/>
                <w:sz w:val="21"/>
                <w:szCs w:val="21"/>
                <w:u w:val="none"/>
              </w:rPr>
            </w:pPr>
          </w:p>
        </w:tc>
        <w:tc>
          <w:tcPr>
            <w:tcW w:w="1866" w:type="dxa"/>
            <w:gridSpan w:val="4"/>
            <w:vMerge w:val="continue"/>
            <w:shd w:val="clear" w:color="auto" w:fill="auto"/>
            <w:vAlign w:val="center"/>
          </w:tcPr>
          <w:p w14:paraId="461B59BB">
            <w:pPr>
              <w:jc w:val="center"/>
              <w:rPr>
                <w:rFonts w:hint="default" w:ascii="Times New Roman" w:hAnsi="Times New Roman" w:eastAsia="宋体" w:cs="Times New Roman"/>
                <w:b/>
                <w:bCs/>
                <w:i w:val="0"/>
                <w:iCs w:val="0"/>
                <w:color w:val="auto"/>
                <w:sz w:val="21"/>
                <w:szCs w:val="21"/>
                <w:u w:val="none"/>
              </w:rPr>
            </w:pPr>
          </w:p>
        </w:tc>
        <w:tc>
          <w:tcPr>
            <w:tcW w:w="1708" w:type="dxa"/>
            <w:gridSpan w:val="4"/>
            <w:vMerge w:val="continue"/>
            <w:shd w:val="clear" w:color="auto" w:fill="auto"/>
            <w:vAlign w:val="center"/>
          </w:tcPr>
          <w:p w14:paraId="73709075">
            <w:pPr>
              <w:jc w:val="center"/>
              <w:rPr>
                <w:rFonts w:hint="default" w:ascii="Times New Roman" w:hAnsi="Times New Roman" w:eastAsia="宋体" w:cs="Times New Roman"/>
                <w:b/>
                <w:bCs/>
                <w:i w:val="0"/>
                <w:iCs w:val="0"/>
                <w:color w:val="auto"/>
                <w:sz w:val="21"/>
                <w:szCs w:val="21"/>
                <w:u w:val="none"/>
              </w:rPr>
            </w:pPr>
          </w:p>
        </w:tc>
        <w:tc>
          <w:tcPr>
            <w:tcW w:w="860" w:type="dxa"/>
            <w:vMerge w:val="continue"/>
            <w:shd w:val="clear" w:color="auto" w:fill="auto"/>
            <w:vAlign w:val="center"/>
          </w:tcPr>
          <w:p w14:paraId="5228CBAD">
            <w:pPr>
              <w:jc w:val="center"/>
              <w:rPr>
                <w:rFonts w:hint="default" w:ascii="Times New Roman" w:hAnsi="Times New Roman" w:eastAsia="宋体" w:cs="Times New Roman"/>
                <w:b/>
                <w:bCs/>
                <w:i w:val="0"/>
                <w:iCs w:val="0"/>
                <w:color w:val="auto"/>
                <w:sz w:val="21"/>
                <w:szCs w:val="21"/>
                <w:u w:val="none"/>
              </w:rPr>
            </w:pPr>
          </w:p>
        </w:tc>
        <w:tc>
          <w:tcPr>
            <w:tcW w:w="1291" w:type="dxa"/>
            <w:vMerge w:val="continue"/>
            <w:shd w:val="clear" w:color="auto" w:fill="auto"/>
            <w:vAlign w:val="center"/>
          </w:tcPr>
          <w:p w14:paraId="000C29E4">
            <w:pPr>
              <w:jc w:val="center"/>
              <w:rPr>
                <w:rFonts w:hint="default" w:ascii="Times New Roman" w:hAnsi="Times New Roman" w:eastAsia="宋体" w:cs="Times New Roman"/>
                <w:b/>
                <w:bCs/>
                <w:i w:val="0"/>
                <w:iCs w:val="0"/>
                <w:color w:val="auto"/>
                <w:sz w:val="21"/>
                <w:szCs w:val="21"/>
                <w:u w:val="none"/>
              </w:rPr>
            </w:pPr>
          </w:p>
        </w:tc>
        <w:tc>
          <w:tcPr>
            <w:tcW w:w="1708" w:type="dxa"/>
            <w:gridSpan w:val="4"/>
            <w:shd w:val="clear" w:color="auto" w:fill="auto"/>
            <w:vAlign w:val="center"/>
          </w:tcPr>
          <w:p w14:paraId="5E38419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声压级/dB（A）</w:t>
            </w:r>
          </w:p>
        </w:tc>
        <w:tc>
          <w:tcPr>
            <w:tcW w:w="1357" w:type="dxa"/>
            <w:vMerge w:val="restart"/>
            <w:shd w:val="clear" w:color="auto" w:fill="auto"/>
            <w:vAlign w:val="center"/>
          </w:tcPr>
          <w:p w14:paraId="13352BB6">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建筑物外距离m</w:t>
            </w:r>
          </w:p>
        </w:tc>
      </w:tr>
      <w:tr w14:paraId="34FC7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1" w:type="dxa"/>
            <w:vMerge w:val="continue"/>
            <w:shd w:val="clear" w:color="auto" w:fill="auto"/>
            <w:vAlign w:val="center"/>
          </w:tcPr>
          <w:p w14:paraId="4D7FF52E">
            <w:pPr>
              <w:jc w:val="center"/>
              <w:rPr>
                <w:rFonts w:hint="default" w:ascii="Times New Roman" w:hAnsi="Times New Roman" w:eastAsia="宋体" w:cs="Times New Roman"/>
                <w:b/>
                <w:bCs/>
                <w:i w:val="0"/>
                <w:iCs w:val="0"/>
                <w:color w:val="auto"/>
                <w:sz w:val="21"/>
                <w:szCs w:val="21"/>
                <w:u w:val="none"/>
              </w:rPr>
            </w:pPr>
          </w:p>
        </w:tc>
        <w:tc>
          <w:tcPr>
            <w:tcW w:w="1367" w:type="dxa"/>
            <w:vMerge w:val="continue"/>
            <w:shd w:val="clear" w:color="auto" w:fill="auto"/>
            <w:vAlign w:val="center"/>
          </w:tcPr>
          <w:p w14:paraId="5C289B13">
            <w:pPr>
              <w:jc w:val="center"/>
              <w:rPr>
                <w:rFonts w:hint="default" w:ascii="Times New Roman" w:hAnsi="Times New Roman" w:eastAsia="宋体" w:cs="Times New Roman"/>
                <w:b/>
                <w:bCs/>
                <w:i w:val="0"/>
                <w:iCs w:val="0"/>
                <w:color w:val="auto"/>
                <w:sz w:val="21"/>
                <w:szCs w:val="21"/>
                <w:u w:val="none"/>
              </w:rPr>
            </w:pPr>
          </w:p>
        </w:tc>
        <w:tc>
          <w:tcPr>
            <w:tcW w:w="794" w:type="dxa"/>
            <w:vMerge w:val="continue"/>
            <w:shd w:val="clear" w:color="auto" w:fill="auto"/>
            <w:vAlign w:val="center"/>
          </w:tcPr>
          <w:p w14:paraId="684B9E25">
            <w:pPr>
              <w:jc w:val="center"/>
              <w:rPr>
                <w:rFonts w:hint="default" w:ascii="Times New Roman" w:hAnsi="Times New Roman" w:eastAsia="宋体" w:cs="Times New Roman"/>
                <w:b/>
                <w:bCs/>
                <w:i w:val="0"/>
                <w:iCs w:val="0"/>
                <w:color w:val="auto"/>
                <w:sz w:val="21"/>
                <w:szCs w:val="21"/>
                <w:u w:val="none"/>
              </w:rPr>
            </w:pPr>
          </w:p>
        </w:tc>
        <w:tc>
          <w:tcPr>
            <w:tcW w:w="726" w:type="dxa"/>
            <w:vMerge w:val="continue"/>
            <w:shd w:val="clear" w:color="auto" w:fill="auto"/>
            <w:vAlign w:val="center"/>
          </w:tcPr>
          <w:p w14:paraId="4A6320FC">
            <w:pPr>
              <w:jc w:val="center"/>
              <w:rPr>
                <w:rFonts w:hint="default" w:ascii="Times New Roman" w:hAnsi="Times New Roman" w:eastAsia="宋体" w:cs="Times New Roman"/>
                <w:b/>
                <w:bCs/>
                <w:i w:val="0"/>
                <w:iCs w:val="0"/>
                <w:color w:val="auto"/>
                <w:sz w:val="21"/>
                <w:szCs w:val="21"/>
                <w:u w:val="none"/>
              </w:rPr>
            </w:pPr>
          </w:p>
        </w:tc>
        <w:tc>
          <w:tcPr>
            <w:tcW w:w="496" w:type="dxa"/>
            <w:shd w:val="clear" w:color="auto" w:fill="auto"/>
            <w:vAlign w:val="center"/>
          </w:tcPr>
          <w:p w14:paraId="751B3081">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X</w:t>
            </w:r>
          </w:p>
        </w:tc>
        <w:tc>
          <w:tcPr>
            <w:tcW w:w="496" w:type="dxa"/>
            <w:shd w:val="clear" w:color="auto" w:fill="auto"/>
            <w:vAlign w:val="center"/>
          </w:tcPr>
          <w:p w14:paraId="7A191FC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Y</w:t>
            </w:r>
          </w:p>
        </w:tc>
        <w:tc>
          <w:tcPr>
            <w:tcW w:w="480" w:type="dxa"/>
            <w:shd w:val="clear" w:color="auto" w:fill="auto"/>
            <w:vAlign w:val="center"/>
          </w:tcPr>
          <w:p w14:paraId="10EC2E1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Z</w:t>
            </w:r>
          </w:p>
        </w:tc>
        <w:tc>
          <w:tcPr>
            <w:tcW w:w="427" w:type="dxa"/>
            <w:shd w:val="clear" w:color="auto" w:fill="auto"/>
            <w:vAlign w:val="center"/>
          </w:tcPr>
          <w:p w14:paraId="299DC41E">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东</w:t>
            </w:r>
          </w:p>
        </w:tc>
        <w:tc>
          <w:tcPr>
            <w:tcW w:w="427" w:type="dxa"/>
            <w:shd w:val="clear" w:color="auto" w:fill="auto"/>
            <w:vAlign w:val="center"/>
          </w:tcPr>
          <w:p w14:paraId="2210E70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南</w:t>
            </w:r>
          </w:p>
        </w:tc>
        <w:tc>
          <w:tcPr>
            <w:tcW w:w="427" w:type="dxa"/>
            <w:shd w:val="clear" w:color="auto" w:fill="auto"/>
            <w:vAlign w:val="center"/>
          </w:tcPr>
          <w:p w14:paraId="40588DC2">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西</w:t>
            </w:r>
          </w:p>
        </w:tc>
        <w:tc>
          <w:tcPr>
            <w:tcW w:w="585" w:type="dxa"/>
            <w:shd w:val="clear" w:color="auto" w:fill="auto"/>
            <w:vAlign w:val="center"/>
          </w:tcPr>
          <w:p w14:paraId="5FA59AE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北</w:t>
            </w:r>
          </w:p>
        </w:tc>
        <w:tc>
          <w:tcPr>
            <w:tcW w:w="427" w:type="dxa"/>
            <w:shd w:val="clear" w:color="auto" w:fill="auto"/>
            <w:vAlign w:val="center"/>
          </w:tcPr>
          <w:p w14:paraId="64787E7E">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东</w:t>
            </w:r>
          </w:p>
        </w:tc>
        <w:tc>
          <w:tcPr>
            <w:tcW w:w="427" w:type="dxa"/>
            <w:shd w:val="clear" w:color="auto" w:fill="auto"/>
            <w:vAlign w:val="center"/>
          </w:tcPr>
          <w:p w14:paraId="08FFD608">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南</w:t>
            </w:r>
          </w:p>
        </w:tc>
        <w:tc>
          <w:tcPr>
            <w:tcW w:w="427" w:type="dxa"/>
            <w:shd w:val="clear" w:color="auto" w:fill="auto"/>
            <w:vAlign w:val="center"/>
          </w:tcPr>
          <w:p w14:paraId="4410E927">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西</w:t>
            </w:r>
          </w:p>
        </w:tc>
        <w:tc>
          <w:tcPr>
            <w:tcW w:w="427" w:type="dxa"/>
            <w:shd w:val="clear" w:color="auto" w:fill="auto"/>
            <w:vAlign w:val="center"/>
          </w:tcPr>
          <w:p w14:paraId="260E406A">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北</w:t>
            </w:r>
          </w:p>
        </w:tc>
        <w:tc>
          <w:tcPr>
            <w:tcW w:w="860" w:type="dxa"/>
            <w:vMerge w:val="continue"/>
            <w:shd w:val="clear" w:color="auto" w:fill="auto"/>
            <w:vAlign w:val="center"/>
          </w:tcPr>
          <w:p w14:paraId="4AB5DAFA">
            <w:pPr>
              <w:jc w:val="center"/>
              <w:rPr>
                <w:rFonts w:hint="default" w:ascii="Times New Roman" w:hAnsi="Times New Roman" w:eastAsia="宋体" w:cs="Times New Roman"/>
                <w:b/>
                <w:bCs/>
                <w:i w:val="0"/>
                <w:iCs w:val="0"/>
                <w:color w:val="auto"/>
                <w:sz w:val="21"/>
                <w:szCs w:val="21"/>
                <w:u w:val="none"/>
              </w:rPr>
            </w:pPr>
          </w:p>
        </w:tc>
        <w:tc>
          <w:tcPr>
            <w:tcW w:w="1291" w:type="dxa"/>
            <w:vMerge w:val="continue"/>
            <w:shd w:val="clear" w:color="auto" w:fill="auto"/>
            <w:vAlign w:val="center"/>
          </w:tcPr>
          <w:p w14:paraId="2ED8F8C2">
            <w:pPr>
              <w:jc w:val="center"/>
              <w:rPr>
                <w:rFonts w:hint="default" w:ascii="Times New Roman" w:hAnsi="Times New Roman" w:eastAsia="宋体" w:cs="Times New Roman"/>
                <w:b/>
                <w:bCs/>
                <w:i w:val="0"/>
                <w:iCs w:val="0"/>
                <w:color w:val="auto"/>
                <w:sz w:val="21"/>
                <w:szCs w:val="21"/>
                <w:u w:val="none"/>
              </w:rPr>
            </w:pPr>
          </w:p>
        </w:tc>
        <w:tc>
          <w:tcPr>
            <w:tcW w:w="427" w:type="dxa"/>
            <w:shd w:val="clear" w:color="auto" w:fill="auto"/>
            <w:vAlign w:val="center"/>
          </w:tcPr>
          <w:p w14:paraId="3E51844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东</w:t>
            </w:r>
          </w:p>
        </w:tc>
        <w:tc>
          <w:tcPr>
            <w:tcW w:w="427" w:type="dxa"/>
            <w:shd w:val="clear" w:color="auto" w:fill="auto"/>
            <w:vAlign w:val="center"/>
          </w:tcPr>
          <w:p w14:paraId="7420C8F7">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南</w:t>
            </w:r>
          </w:p>
        </w:tc>
        <w:tc>
          <w:tcPr>
            <w:tcW w:w="427" w:type="dxa"/>
            <w:shd w:val="clear" w:color="auto" w:fill="auto"/>
            <w:vAlign w:val="center"/>
          </w:tcPr>
          <w:p w14:paraId="72D7C08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西</w:t>
            </w:r>
          </w:p>
        </w:tc>
        <w:tc>
          <w:tcPr>
            <w:tcW w:w="427" w:type="dxa"/>
            <w:shd w:val="clear" w:color="auto" w:fill="auto"/>
            <w:vAlign w:val="center"/>
          </w:tcPr>
          <w:p w14:paraId="2E1A4E28">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北</w:t>
            </w:r>
          </w:p>
        </w:tc>
        <w:tc>
          <w:tcPr>
            <w:tcW w:w="1357" w:type="dxa"/>
            <w:vMerge w:val="continue"/>
            <w:shd w:val="clear" w:color="auto" w:fill="auto"/>
            <w:vAlign w:val="center"/>
          </w:tcPr>
          <w:p w14:paraId="2C21D3A3">
            <w:pPr>
              <w:jc w:val="center"/>
              <w:rPr>
                <w:rFonts w:hint="default" w:ascii="Times New Roman" w:hAnsi="Times New Roman" w:eastAsia="宋体" w:cs="Times New Roman"/>
                <w:b/>
                <w:bCs/>
                <w:i w:val="0"/>
                <w:iCs w:val="0"/>
                <w:color w:val="auto"/>
                <w:sz w:val="21"/>
                <w:szCs w:val="21"/>
                <w:u w:val="none"/>
              </w:rPr>
            </w:pPr>
          </w:p>
        </w:tc>
      </w:tr>
      <w:tr w14:paraId="26696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81" w:type="dxa"/>
            <w:shd w:val="clear" w:color="auto" w:fill="auto"/>
            <w:vAlign w:val="center"/>
          </w:tcPr>
          <w:p w14:paraId="617EF7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一栋</w:t>
            </w:r>
          </w:p>
        </w:tc>
        <w:tc>
          <w:tcPr>
            <w:tcW w:w="0" w:type="auto"/>
            <w:shd w:val="clear" w:color="auto" w:fill="auto"/>
            <w:noWrap/>
            <w:vAlign w:val="center"/>
          </w:tcPr>
          <w:p w14:paraId="716F24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注塑机1</w:t>
            </w:r>
          </w:p>
        </w:tc>
        <w:tc>
          <w:tcPr>
            <w:tcW w:w="0" w:type="auto"/>
            <w:shd w:val="clear" w:color="auto" w:fill="auto"/>
            <w:noWrap/>
            <w:vAlign w:val="center"/>
          </w:tcPr>
          <w:p w14:paraId="18E74B5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restart"/>
            <w:shd w:val="clear" w:color="auto" w:fill="auto"/>
            <w:vAlign w:val="center"/>
          </w:tcPr>
          <w:p w14:paraId="24BA47C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选用低噪声设备、建筑隔声、减振等</w:t>
            </w:r>
          </w:p>
        </w:tc>
        <w:tc>
          <w:tcPr>
            <w:tcW w:w="0" w:type="auto"/>
            <w:shd w:val="clear" w:color="auto" w:fill="auto"/>
            <w:noWrap/>
            <w:vAlign w:val="center"/>
          </w:tcPr>
          <w:p w14:paraId="0AC46D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96" w:type="dxa"/>
            <w:shd w:val="clear" w:color="auto" w:fill="auto"/>
            <w:noWrap/>
            <w:vAlign w:val="center"/>
          </w:tcPr>
          <w:p w14:paraId="3F5B78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w:t>
            </w:r>
          </w:p>
        </w:tc>
        <w:tc>
          <w:tcPr>
            <w:tcW w:w="480" w:type="dxa"/>
            <w:shd w:val="clear" w:color="auto" w:fill="auto"/>
            <w:noWrap/>
            <w:vAlign w:val="center"/>
          </w:tcPr>
          <w:p w14:paraId="3E373B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559E4C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427" w:type="dxa"/>
            <w:shd w:val="clear" w:color="auto" w:fill="auto"/>
            <w:vAlign w:val="center"/>
          </w:tcPr>
          <w:p w14:paraId="53F9FB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427" w:type="dxa"/>
            <w:shd w:val="clear" w:color="auto" w:fill="auto"/>
            <w:vAlign w:val="center"/>
          </w:tcPr>
          <w:p w14:paraId="05C22F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w:t>
            </w:r>
          </w:p>
        </w:tc>
        <w:tc>
          <w:tcPr>
            <w:tcW w:w="585" w:type="dxa"/>
            <w:shd w:val="clear" w:color="auto" w:fill="auto"/>
            <w:vAlign w:val="center"/>
          </w:tcPr>
          <w:p w14:paraId="37BB2E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71.2</w:t>
            </w:r>
          </w:p>
        </w:tc>
        <w:tc>
          <w:tcPr>
            <w:tcW w:w="427" w:type="dxa"/>
            <w:shd w:val="clear" w:color="auto" w:fill="auto"/>
            <w:vAlign w:val="center"/>
          </w:tcPr>
          <w:p w14:paraId="1C2727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66</w:t>
            </w:r>
          </w:p>
        </w:tc>
        <w:tc>
          <w:tcPr>
            <w:tcW w:w="427" w:type="dxa"/>
            <w:shd w:val="clear" w:color="auto" w:fill="auto"/>
            <w:vAlign w:val="center"/>
          </w:tcPr>
          <w:p w14:paraId="575031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61</w:t>
            </w:r>
          </w:p>
        </w:tc>
        <w:tc>
          <w:tcPr>
            <w:tcW w:w="427" w:type="dxa"/>
            <w:shd w:val="clear" w:color="auto" w:fill="auto"/>
            <w:vAlign w:val="center"/>
          </w:tcPr>
          <w:p w14:paraId="47054F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427" w:type="dxa"/>
            <w:shd w:val="clear" w:color="auto" w:fill="auto"/>
            <w:vAlign w:val="center"/>
          </w:tcPr>
          <w:p w14:paraId="645896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w:t>
            </w:r>
          </w:p>
        </w:tc>
        <w:tc>
          <w:tcPr>
            <w:tcW w:w="860" w:type="dxa"/>
            <w:shd w:val="clear" w:color="auto" w:fill="auto"/>
            <w:vAlign w:val="center"/>
          </w:tcPr>
          <w:p w14:paraId="7D144EB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昼夜</w:t>
            </w:r>
          </w:p>
        </w:tc>
        <w:tc>
          <w:tcPr>
            <w:tcW w:w="1291" w:type="dxa"/>
            <w:shd w:val="clear" w:color="auto" w:fill="auto"/>
            <w:vAlign w:val="center"/>
          </w:tcPr>
          <w:p w14:paraId="592E05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65A632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w:t>
            </w:r>
          </w:p>
        </w:tc>
        <w:tc>
          <w:tcPr>
            <w:tcW w:w="427" w:type="dxa"/>
            <w:shd w:val="clear" w:color="auto" w:fill="auto"/>
            <w:vAlign w:val="center"/>
          </w:tcPr>
          <w:p w14:paraId="279A40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w:t>
            </w:r>
          </w:p>
        </w:tc>
        <w:tc>
          <w:tcPr>
            <w:tcW w:w="427" w:type="dxa"/>
            <w:shd w:val="clear" w:color="auto" w:fill="auto"/>
            <w:vAlign w:val="center"/>
          </w:tcPr>
          <w:p w14:paraId="3CC006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427" w:type="dxa"/>
            <w:shd w:val="clear" w:color="auto" w:fill="auto"/>
            <w:vAlign w:val="center"/>
          </w:tcPr>
          <w:p w14:paraId="2E42BB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w:t>
            </w:r>
          </w:p>
        </w:tc>
        <w:tc>
          <w:tcPr>
            <w:tcW w:w="1357" w:type="dxa"/>
            <w:shd w:val="clear" w:color="auto" w:fill="auto"/>
            <w:vAlign w:val="center"/>
          </w:tcPr>
          <w:p w14:paraId="477C7F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334ED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81" w:type="dxa"/>
            <w:shd w:val="clear" w:color="auto" w:fill="auto"/>
            <w:vAlign w:val="center"/>
          </w:tcPr>
          <w:p w14:paraId="612F7D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一栋</w:t>
            </w:r>
          </w:p>
        </w:tc>
        <w:tc>
          <w:tcPr>
            <w:tcW w:w="0" w:type="auto"/>
            <w:shd w:val="clear" w:color="auto" w:fill="auto"/>
            <w:noWrap/>
            <w:vAlign w:val="center"/>
          </w:tcPr>
          <w:p w14:paraId="7CF49D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注塑机2</w:t>
            </w:r>
          </w:p>
        </w:tc>
        <w:tc>
          <w:tcPr>
            <w:tcW w:w="0" w:type="auto"/>
            <w:shd w:val="clear" w:color="auto" w:fill="auto"/>
            <w:noWrap/>
            <w:vAlign w:val="center"/>
          </w:tcPr>
          <w:p w14:paraId="062B32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4190E725">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4AC8B3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496" w:type="dxa"/>
            <w:shd w:val="clear" w:color="auto" w:fill="auto"/>
            <w:noWrap/>
            <w:vAlign w:val="center"/>
          </w:tcPr>
          <w:p w14:paraId="4595AB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480" w:type="dxa"/>
            <w:shd w:val="clear" w:color="auto" w:fill="auto"/>
            <w:noWrap/>
            <w:vAlign w:val="center"/>
          </w:tcPr>
          <w:p w14:paraId="5098AE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5EE076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427" w:type="dxa"/>
            <w:shd w:val="clear" w:color="auto" w:fill="auto"/>
            <w:vAlign w:val="center"/>
          </w:tcPr>
          <w:p w14:paraId="0C0356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427" w:type="dxa"/>
            <w:shd w:val="clear" w:color="auto" w:fill="auto"/>
            <w:vAlign w:val="center"/>
          </w:tcPr>
          <w:p w14:paraId="07C2EF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w:t>
            </w:r>
          </w:p>
        </w:tc>
        <w:tc>
          <w:tcPr>
            <w:tcW w:w="585" w:type="dxa"/>
            <w:shd w:val="clear" w:color="auto" w:fill="auto"/>
            <w:vAlign w:val="center"/>
          </w:tcPr>
          <w:p w14:paraId="0D45A6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69.2</w:t>
            </w:r>
          </w:p>
        </w:tc>
        <w:tc>
          <w:tcPr>
            <w:tcW w:w="427" w:type="dxa"/>
            <w:shd w:val="clear" w:color="auto" w:fill="auto"/>
            <w:vAlign w:val="center"/>
          </w:tcPr>
          <w:p w14:paraId="596799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68</w:t>
            </w:r>
          </w:p>
        </w:tc>
        <w:tc>
          <w:tcPr>
            <w:tcW w:w="427" w:type="dxa"/>
            <w:shd w:val="clear" w:color="auto" w:fill="auto"/>
            <w:vAlign w:val="center"/>
          </w:tcPr>
          <w:p w14:paraId="52E3E4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59</w:t>
            </w:r>
          </w:p>
        </w:tc>
        <w:tc>
          <w:tcPr>
            <w:tcW w:w="427" w:type="dxa"/>
            <w:shd w:val="clear" w:color="auto" w:fill="auto"/>
            <w:vAlign w:val="center"/>
          </w:tcPr>
          <w:p w14:paraId="474727E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427" w:type="dxa"/>
            <w:shd w:val="clear" w:color="auto" w:fill="auto"/>
            <w:vAlign w:val="center"/>
          </w:tcPr>
          <w:p w14:paraId="5E2926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w:t>
            </w:r>
          </w:p>
        </w:tc>
        <w:tc>
          <w:tcPr>
            <w:tcW w:w="860" w:type="dxa"/>
            <w:shd w:val="clear" w:color="auto" w:fill="auto"/>
            <w:vAlign w:val="center"/>
          </w:tcPr>
          <w:p w14:paraId="48384F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昼夜</w:t>
            </w:r>
          </w:p>
        </w:tc>
        <w:tc>
          <w:tcPr>
            <w:tcW w:w="1291" w:type="dxa"/>
            <w:shd w:val="clear" w:color="auto" w:fill="auto"/>
            <w:vAlign w:val="center"/>
          </w:tcPr>
          <w:p w14:paraId="1F38A2A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500302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w:t>
            </w:r>
          </w:p>
        </w:tc>
        <w:tc>
          <w:tcPr>
            <w:tcW w:w="427" w:type="dxa"/>
            <w:shd w:val="clear" w:color="auto" w:fill="auto"/>
            <w:vAlign w:val="center"/>
          </w:tcPr>
          <w:p w14:paraId="503056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w:t>
            </w:r>
          </w:p>
        </w:tc>
        <w:tc>
          <w:tcPr>
            <w:tcW w:w="427" w:type="dxa"/>
            <w:shd w:val="clear" w:color="auto" w:fill="auto"/>
            <w:vAlign w:val="center"/>
          </w:tcPr>
          <w:p w14:paraId="47FF47A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427" w:type="dxa"/>
            <w:shd w:val="clear" w:color="auto" w:fill="auto"/>
            <w:vAlign w:val="center"/>
          </w:tcPr>
          <w:p w14:paraId="075334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w:t>
            </w:r>
          </w:p>
        </w:tc>
        <w:tc>
          <w:tcPr>
            <w:tcW w:w="1357" w:type="dxa"/>
            <w:shd w:val="clear" w:color="auto" w:fill="auto"/>
            <w:vAlign w:val="center"/>
          </w:tcPr>
          <w:p w14:paraId="15C10BE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5587A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1" w:type="dxa"/>
            <w:shd w:val="clear" w:color="auto" w:fill="auto"/>
            <w:vAlign w:val="center"/>
          </w:tcPr>
          <w:p w14:paraId="3ECD34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一栋</w:t>
            </w:r>
          </w:p>
        </w:tc>
        <w:tc>
          <w:tcPr>
            <w:tcW w:w="0" w:type="auto"/>
            <w:shd w:val="clear" w:color="auto" w:fill="auto"/>
            <w:noWrap/>
            <w:vAlign w:val="center"/>
          </w:tcPr>
          <w:p w14:paraId="14C0781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注塑机3</w:t>
            </w:r>
          </w:p>
        </w:tc>
        <w:tc>
          <w:tcPr>
            <w:tcW w:w="0" w:type="auto"/>
            <w:shd w:val="clear" w:color="auto" w:fill="auto"/>
            <w:noWrap/>
            <w:vAlign w:val="center"/>
          </w:tcPr>
          <w:p w14:paraId="3C7858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6B3EA27C">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5D0D46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496" w:type="dxa"/>
            <w:shd w:val="clear" w:color="auto" w:fill="auto"/>
            <w:noWrap/>
            <w:vAlign w:val="center"/>
          </w:tcPr>
          <w:p w14:paraId="57BCAE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480" w:type="dxa"/>
            <w:shd w:val="clear" w:color="auto" w:fill="auto"/>
            <w:noWrap/>
            <w:vAlign w:val="center"/>
          </w:tcPr>
          <w:p w14:paraId="40AC45F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3A33C2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427" w:type="dxa"/>
            <w:shd w:val="clear" w:color="auto" w:fill="auto"/>
            <w:vAlign w:val="center"/>
          </w:tcPr>
          <w:p w14:paraId="603636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427" w:type="dxa"/>
            <w:shd w:val="clear" w:color="auto" w:fill="auto"/>
            <w:vAlign w:val="center"/>
          </w:tcPr>
          <w:p w14:paraId="446DA7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w:t>
            </w:r>
          </w:p>
        </w:tc>
        <w:tc>
          <w:tcPr>
            <w:tcW w:w="585" w:type="dxa"/>
            <w:shd w:val="clear" w:color="auto" w:fill="auto"/>
            <w:vAlign w:val="center"/>
          </w:tcPr>
          <w:p w14:paraId="4A91EF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67.2</w:t>
            </w:r>
          </w:p>
        </w:tc>
        <w:tc>
          <w:tcPr>
            <w:tcW w:w="427" w:type="dxa"/>
            <w:shd w:val="clear" w:color="auto" w:fill="auto"/>
            <w:vAlign w:val="center"/>
          </w:tcPr>
          <w:p w14:paraId="7C0721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68</w:t>
            </w:r>
          </w:p>
        </w:tc>
        <w:tc>
          <w:tcPr>
            <w:tcW w:w="427" w:type="dxa"/>
            <w:shd w:val="clear" w:color="auto" w:fill="auto"/>
            <w:vAlign w:val="center"/>
          </w:tcPr>
          <w:p w14:paraId="64F94B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58</w:t>
            </w:r>
          </w:p>
        </w:tc>
        <w:tc>
          <w:tcPr>
            <w:tcW w:w="427" w:type="dxa"/>
            <w:shd w:val="clear" w:color="auto" w:fill="auto"/>
            <w:vAlign w:val="center"/>
          </w:tcPr>
          <w:p w14:paraId="3544D0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427" w:type="dxa"/>
            <w:shd w:val="clear" w:color="auto" w:fill="auto"/>
            <w:vAlign w:val="center"/>
          </w:tcPr>
          <w:p w14:paraId="49EDE5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w:t>
            </w:r>
          </w:p>
        </w:tc>
        <w:tc>
          <w:tcPr>
            <w:tcW w:w="860" w:type="dxa"/>
            <w:shd w:val="clear" w:color="auto" w:fill="auto"/>
            <w:vAlign w:val="center"/>
          </w:tcPr>
          <w:p w14:paraId="5CFF5A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昼夜</w:t>
            </w:r>
          </w:p>
        </w:tc>
        <w:tc>
          <w:tcPr>
            <w:tcW w:w="1291" w:type="dxa"/>
            <w:shd w:val="clear" w:color="auto" w:fill="auto"/>
            <w:vAlign w:val="center"/>
          </w:tcPr>
          <w:p w14:paraId="0D96C9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6F652D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w:t>
            </w:r>
          </w:p>
        </w:tc>
        <w:tc>
          <w:tcPr>
            <w:tcW w:w="427" w:type="dxa"/>
            <w:shd w:val="clear" w:color="auto" w:fill="auto"/>
            <w:vAlign w:val="center"/>
          </w:tcPr>
          <w:p w14:paraId="2FF95EB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w:t>
            </w:r>
          </w:p>
        </w:tc>
        <w:tc>
          <w:tcPr>
            <w:tcW w:w="427" w:type="dxa"/>
            <w:shd w:val="clear" w:color="auto" w:fill="auto"/>
            <w:vAlign w:val="center"/>
          </w:tcPr>
          <w:p w14:paraId="455A90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427" w:type="dxa"/>
            <w:shd w:val="clear" w:color="auto" w:fill="auto"/>
            <w:vAlign w:val="center"/>
          </w:tcPr>
          <w:p w14:paraId="43561C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w:t>
            </w:r>
          </w:p>
        </w:tc>
        <w:tc>
          <w:tcPr>
            <w:tcW w:w="1357" w:type="dxa"/>
            <w:shd w:val="clear" w:color="auto" w:fill="auto"/>
            <w:vAlign w:val="center"/>
          </w:tcPr>
          <w:p w14:paraId="35BFEA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07DDE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81" w:type="dxa"/>
            <w:shd w:val="clear" w:color="auto" w:fill="auto"/>
            <w:vAlign w:val="center"/>
          </w:tcPr>
          <w:p w14:paraId="5C028B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一栋</w:t>
            </w:r>
          </w:p>
        </w:tc>
        <w:tc>
          <w:tcPr>
            <w:tcW w:w="0" w:type="auto"/>
            <w:shd w:val="clear" w:color="auto" w:fill="auto"/>
            <w:noWrap/>
            <w:vAlign w:val="center"/>
          </w:tcPr>
          <w:p w14:paraId="73A0B2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注塑机4</w:t>
            </w:r>
          </w:p>
        </w:tc>
        <w:tc>
          <w:tcPr>
            <w:tcW w:w="0" w:type="auto"/>
            <w:shd w:val="clear" w:color="auto" w:fill="auto"/>
            <w:noWrap/>
            <w:vAlign w:val="center"/>
          </w:tcPr>
          <w:p w14:paraId="3035C3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6E5DBE9A">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166DEA3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96" w:type="dxa"/>
            <w:shd w:val="clear" w:color="auto" w:fill="auto"/>
            <w:noWrap/>
            <w:vAlign w:val="center"/>
          </w:tcPr>
          <w:p w14:paraId="618902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480" w:type="dxa"/>
            <w:shd w:val="clear" w:color="auto" w:fill="auto"/>
            <w:noWrap/>
            <w:vAlign w:val="center"/>
          </w:tcPr>
          <w:p w14:paraId="56B5E5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464849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427" w:type="dxa"/>
            <w:shd w:val="clear" w:color="auto" w:fill="auto"/>
            <w:vAlign w:val="center"/>
          </w:tcPr>
          <w:p w14:paraId="3B863B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427" w:type="dxa"/>
            <w:shd w:val="clear" w:color="auto" w:fill="auto"/>
            <w:vAlign w:val="center"/>
          </w:tcPr>
          <w:p w14:paraId="6A5ADC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w:t>
            </w:r>
          </w:p>
        </w:tc>
        <w:tc>
          <w:tcPr>
            <w:tcW w:w="585" w:type="dxa"/>
            <w:shd w:val="clear" w:color="auto" w:fill="auto"/>
            <w:vAlign w:val="center"/>
          </w:tcPr>
          <w:p w14:paraId="4619AA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59.2</w:t>
            </w:r>
          </w:p>
        </w:tc>
        <w:tc>
          <w:tcPr>
            <w:tcW w:w="427" w:type="dxa"/>
            <w:shd w:val="clear" w:color="auto" w:fill="auto"/>
            <w:vAlign w:val="center"/>
          </w:tcPr>
          <w:p w14:paraId="17B065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66</w:t>
            </w:r>
          </w:p>
        </w:tc>
        <w:tc>
          <w:tcPr>
            <w:tcW w:w="427" w:type="dxa"/>
            <w:shd w:val="clear" w:color="auto" w:fill="auto"/>
            <w:vAlign w:val="center"/>
          </w:tcPr>
          <w:p w14:paraId="506B52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427" w:type="dxa"/>
            <w:shd w:val="clear" w:color="auto" w:fill="auto"/>
            <w:vAlign w:val="center"/>
          </w:tcPr>
          <w:p w14:paraId="2B1506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427" w:type="dxa"/>
            <w:shd w:val="clear" w:color="auto" w:fill="auto"/>
            <w:vAlign w:val="center"/>
          </w:tcPr>
          <w:p w14:paraId="4E325C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860" w:type="dxa"/>
            <w:shd w:val="clear" w:color="auto" w:fill="auto"/>
            <w:vAlign w:val="center"/>
          </w:tcPr>
          <w:p w14:paraId="11833D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昼夜</w:t>
            </w:r>
          </w:p>
        </w:tc>
        <w:tc>
          <w:tcPr>
            <w:tcW w:w="1291" w:type="dxa"/>
            <w:shd w:val="clear" w:color="auto" w:fill="auto"/>
            <w:vAlign w:val="center"/>
          </w:tcPr>
          <w:p w14:paraId="075785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7E6CCF4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w:t>
            </w:r>
          </w:p>
        </w:tc>
        <w:tc>
          <w:tcPr>
            <w:tcW w:w="427" w:type="dxa"/>
            <w:shd w:val="clear" w:color="auto" w:fill="auto"/>
            <w:vAlign w:val="center"/>
          </w:tcPr>
          <w:p w14:paraId="0193BD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427" w:type="dxa"/>
            <w:shd w:val="clear" w:color="auto" w:fill="auto"/>
            <w:vAlign w:val="center"/>
          </w:tcPr>
          <w:p w14:paraId="32B088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427" w:type="dxa"/>
            <w:shd w:val="clear" w:color="auto" w:fill="auto"/>
            <w:vAlign w:val="center"/>
          </w:tcPr>
          <w:p w14:paraId="16BFA1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w:t>
            </w:r>
          </w:p>
        </w:tc>
        <w:tc>
          <w:tcPr>
            <w:tcW w:w="1357" w:type="dxa"/>
            <w:shd w:val="clear" w:color="auto" w:fill="auto"/>
            <w:vAlign w:val="center"/>
          </w:tcPr>
          <w:p w14:paraId="510053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66E0C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1" w:type="dxa"/>
            <w:shd w:val="clear" w:color="auto" w:fill="auto"/>
            <w:vAlign w:val="center"/>
          </w:tcPr>
          <w:p w14:paraId="6F33242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一栋</w:t>
            </w:r>
          </w:p>
        </w:tc>
        <w:tc>
          <w:tcPr>
            <w:tcW w:w="0" w:type="auto"/>
            <w:shd w:val="clear" w:color="auto" w:fill="auto"/>
            <w:noWrap/>
            <w:vAlign w:val="center"/>
          </w:tcPr>
          <w:p w14:paraId="0DA014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注塑机5</w:t>
            </w:r>
          </w:p>
        </w:tc>
        <w:tc>
          <w:tcPr>
            <w:tcW w:w="0" w:type="auto"/>
            <w:shd w:val="clear" w:color="auto" w:fill="auto"/>
            <w:noWrap/>
            <w:vAlign w:val="center"/>
          </w:tcPr>
          <w:p w14:paraId="3389B4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54B86EB6">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3FD705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96" w:type="dxa"/>
            <w:shd w:val="clear" w:color="auto" w:fill="auto"/>
            <w:noWrap/>
            <w:vAlign w:val="center"/>
          </w:tcPr>
          <w:p w14:paraId="7FE830D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480" w:type="dxa"/>
            <w:shd w:val="clear" w:color="auto" w:fill="auto"/>
            <w:noWrap/>
            <w:vAlign w:val="center"/>
          </w:tcPr>
          <w:p w14:paraId="50A0ED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12BB76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427" w:type="dxa"/>
            <w:shd w:val="clear" w:color="auto" w:fill="auto"/>
            <w:vAlign w:val="center"/>
          </w:tcPr>
          <w:p w14:paraId="0906413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w:t>
            </w:r>
          </w:p>
        </w:tc>
        <w:tc>
          <w:tcPr>
            <w:tcW w:w="427" w:type="dxa"/>
            <w:shd w:val="clear" w:color="auto" w:fill="auto"/>
            <w:vAlign w:val="center"/>
          </w:tcPr>
          <w:p w14:paraId="1A95FE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w:t>
            </w:r>
          </w:p>
        </w:tc>
        <w:tc>
          <w:tcPr>
            <w:tcW w:w="585" w:type="dxa"/>
            <w:shd w:val="clear" w:color="auto" w:fill="auto"/>
            <w:vAlign w:val="center"/>
          </w:tcPr>
          <w:p w14:paraId="3995D72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53.2</w:t>
            </w:r>
          </w:p>
        </w:tc>
        <w:tc>
          <w:tcPr>
            <w:tcW w:w="427" w:type="dxa"/>
            <w:shd w:val="clear" w:color="auto" w:fill="auto"/>
            <w:vAlign w:val="center"/>
          </w:tcPr>
          <w:p w14:paraId="27F50A9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66</w:t>
            </w:r>
          </w:p>
        </w:tc>
        <w:tc>
          <w:tcPr>
            <w:tcW w:w="427" w:type="dxa"/>
            <w:shd w:val="clear" w:color="auto" w:fill="auto"/>
            <w:vAlign w:val="center"/>
          </w:tcPr>
          <w:p w14:paraId="04DEAF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w:t>
            </w:r>
          </w:p>
        </w:tc>
        <w:tc>
          <w:tcPr>
            <w:tcW w:w="427" w:type="dxa"/>
            <w:shd w:val="clear" w:color="auto" w:fill="auto"/>
            <w:vAlign w:val="center"/>
          </w:tcPr>
          <w:p w14:paraId="7868A4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427" w:type="dxa"/>
            <w:shd w:val="clear" w:color="auto" w:fill="auto"/>
            <w:vAlign w:val="center"/>
          </w:tcPr>
          <w:p w14:paraId="49A6B6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860" w:type="dxa"/>
            <w:shd w:val="clear" w:color="auto" w:fill="auto"/>
            <w:vAlign w:val="center"/>
          </w:tcPr>
          <w:p w14:paraId="713285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昼夜</w:t>
            </w:r>
          </w:p>
        </w:tc>
        <w:tc>
          <w:tcPr>
            <w:tcW w:w="1291" w:type="dxa"/>
            <w:shd w:val="clear" w:color="auto" w:fill="auto"/>
            <w:vAlign w:val="center"/>
          </w:tcPr>
          <w:p w14:paraId="6FF913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003A92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w:t>
            </w:r>
          </w:p>
        </w:tc>
        <w:tc>
          <w:tcPr>
            <w:tcW w:w="427" w:type="dxa"/>
            <w:shd w:val="clear" w:color="auto" w:fill="auto"/>
            <w:vAlign w:val="center"/>
          </w:tcPr>
          <w:p w14:paraId="1E3770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w:t>
            </w:r>
          </w:p>
        </w:tc>
        <w:tc>
          <w:tcPr>
            <w:tcW w:w="427" w:type="dxa"/>
            <w:shd w:val="clear" w:color="auto" w:fill="auto"/>
            <w:vAlign w:val="center"/>
          </w:tcPr>
          <w:p w14:paraId="0B1C4F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427" w:type="dxa"/>
            <w:shd w:val="clear" w:color="auto" w:fill="auto"/>
            <w:vAlign w:val="center"/>
          </w:tcPr>
          <w:p w14:paraId="0A686D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w:t>
            </w:r>
          </w:p>
        </w:tc>
        <w:tc>
          <w:tcPr>
            <w:tcW w:w="1357" w:type="dxa"/>
            <w:shd w:val="clear" w:color="auto" w:fill="auto"/>
            <w:vAlign w:val="center"/>
          </w:tcPr>
          <w:p w14:paraId="0E3ACF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72FBE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81" w:type="dxa"/>
            <w:shd w:val="clear" w:color="auto" w:fill="auto"/>
            <w:vAlign w:val="center"/>
          </w:tcPr>
          <w:p w14:paraId="11DB79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一栋</w:t>
            </w:r>
          </w:p>
        </w:tc>
        <w:tc>
          <w:tcPr>
            <w:tcW w:w="0" w:type="auto"/>
            <w:shd w:val="clear" w:color="auto" w:fill="auto"/>
            <w:noWrap/>
            <w:vAlign w:val="center"/>
          </w:tcPr>
          <w:p w14:paraId="0C4021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注塑机6</w:t>
            </w:r>
          </w:p>
        </w:tc>
        <w:tc>
          <w:tcPr>
            <w:tcW w:w="0" w:type="auto"/>
            <w:shd w:val="clear" w:color="auto" w:fill="auto"/>
            <w:noWrap/>
            <w:vAlign w:val="center"/>
          </w:tcPr>
          <w:p w14:paraId="71CD78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54D53FF8">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1CD490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496" w:type="dxa"/>
            <w:shd w:val="clear" w:color="auto" w:fill="auto"/>
            <w:noWrap/>
            <w:vAlign w:val="center"/>
          </w:tcPr>
          <w:p w14:paraId="6BD5D9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480" w:type="dxa"/>
            <w:shd w:val="clear" w:color="auto" w:fill="auto"/>
            <w:noWrap/>
            <w:vAlign w:val="center"/>
          </w:tcPr>
          <w:p w14:paraId="67EC7A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181C9E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427" w:type="dxa"/>
            <w:shd w:val="clear" w:color="auto" w:fill="auto"/>
            <w:vAlign w:val="center"/>
          </w:tcPr>
          <w:p w14:paraId="6B08B3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427" w:type="dxa"/>
            <w:shd w:val="clear" w:color="auto" w:fill="auto"/>
            <w:vAlign w:val="center"/>
          </w:tcPr>
          <w:p w14:paraId="74B9955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w:t>
            </w:r>
          </w:p>
        </w:tc>
        <w:tc>
          <w:tcPr>
            <w:tcW w:w="585" w:type="dxa"/>
            <w:shd w:val="clear" w:color="auto" w:fill="auto"/>
            <w:vAlign w:val="center"/>
          </w:tcPr>
          <w:p w14:paraId="5D92140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50.2</w:t>
            </w:r>
          </w:p>
        </w:tc>
        <w:tc>
          <w:tcPr>
            <w:tcW w:w="427" w:type="dxa"/>
            <w:shd w:val="clear" w:color="auto" w:fill="auto"/>
            <w:vAlign w:val="center"/>
          </w:tcPr>
          <w:p w14:paraId="2A68D59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70</w:t>
            </w:r>
          </w:p>
        </w:tc>
        <w:tc>
          <w:tcPr>
            <w:tcW w:w="427" w:type="dxa"/>
            <w:shd w:val="clear" w:color="auto" w:fill="auto"/>
            <w:vAlign w:val="center"/>
          </w:tcPr>
          <w:p w14:paraId="6A10BD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427" w:type="dxa"/>
            <w:shd w:val="clear" w:color="auto" w:fill="auto"/>
            <w:vAlign w:val="center"/>
          </w:tcPr>
          <w:p w14:paraId="73B7EE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427" w:type="dxa"/>
            <w:shd w:val="clear" w:color="auto" w:fill="auto"/>
            <w:vAlign w:val="center"/>
          </w:tcPr>
          <w:p w14:paraId="4434046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w:t>
            </w:r>
          </w:p>
        </w:tc>
        <w:tc>
          <w:tcPr>
            <w:tcW w:w="860" w:type="dxa"/>
            <w:shd w:val="clear" w:color="auto" w:fill="auto"/>
            <w:vAlign w:val="center"/>
          </w:tcPr>
          <w:p w14:paraId="4B6653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昼夜</w:t>
            </w:r>
          </w:p>
        </w:tc>
        <w:tc>
          <w:tcPr>
            <w:tcW w:w="1291" w:type="dxa"/>
            <w:shd w:val="clear" w:color="auto" w:fill="auto"/>
            <w:vAlign w:val="center"/>
          </w:tcPr>
          <w:p w14:paraId="1A1CD6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6827EA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w:t>
            </w:r>
          </w:p>
        </w:tc>
        <w:tc>
          <w:tcPr>
            <w:tcW w:w="427" w:type="dxa"/>
            <w:shd w:val="clear" w:color="auto" w:fill="auto"/>
            <w:vAlign w:val="center"/>
          </w:tcPr>
          <w:p w14:paraId="660F0C3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427" w:type="dxa"/>
            <w:shd w:val="clear" w:color="auto" w:fill="auto"/>
            <w:vAlign w:val="center"/>
          </w:tcPr>
          <w:p w14:paraId="1AC4BDB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427" w:type="dxa"/>
            <w:shd w:val="clear" w:color="auto" w:fill="auto"/>
            <w:vAlign w:val="center"/>
          </w:tcPr>
          <w:p w14:paraId="7DB7BE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357" w:type="dxa"/>
            <w:shd w:val="clear" w:color="auto" w:fill="auto"/>
            <w:vAlign w:val="center"/>
          </w:tcPr>
          <w:p w14:paraId="46CD89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1327C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81" w:type="dxa"/>
            <w:shd w:val="clear" w:color="auto" w:fill="auto"/>
            <w:vAlign w:val="center"/>
          </w:tcPr>
          <w:p w14:paraId="0D539C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一栋</w:t>
            </w:r>
          </w:p>
        </w:tc>
        <w:tc>
          <w:tcPr>
            <w:tcW w:w="0" w:type="auto"/>
            <w:shd w:val="clear" w:color="auto" w:fill="auto"/>
            <w:noWrap/>
            <w:vAlign w:val="center"/>
          </w:tcPr>
          <w:p w14:paraId="447643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注塑机7</w:t>
            </w:r>
          </w:p>
        </w:tc>
        <w:tc>
          <w:tcPr>
            <w:tcW w:w="0" w:type="auto"/>
            <w:shd w:val="clear" w:color="auto" w:fill="auto"/>
            <w:noWrap/>
            <w:vAlign w:val="center"/>
          </w:tcPr>
          <w:p w14:paraId="72D722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333B5D8D">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0408BCC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496" w:type="dxa"/>
            <w:shd w:val="clear" w:color="auto" w:fill="auto"/>
            <w:noWrap/>
            <w:vAlign w:val="center"/>
          </w:tcPr>
          <w:p w14:paraId="6778BC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480" w:type="dxa"/>
            <w:shd w:val="clear" w:color="auto" w:fill="auto"/>
            <w:noWrap/>
            <w:vAlign w:val="center"/>
          </w:tcPr>
          <w:p w14:paraId="6EF63AF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2FECE7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427" w:type="dxa"/>
            <w:shd w:val="clear" w:color="auto" w:fill="auto"/>
            <w:vAlign w:val="center"/>
          </w:tcPr>
          <w:p w14:paraId="5520D3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w:t>
            </w:r>
          </w:p>
        </w:tc>
        <w:tc>
          <w:tcPr>
            <w:tcW w:w="427" w:type="dxa"/>
            <w:shd w:val="clear" w:color="auto" w:fill="auto"/>
            <w:vAlign w:val="center"/>
          </w:tcPr>
          <w:p w14:paraId="325241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w:t>
            </w:r>
          </w:p>
        </w:tc>
        <w:tc>
          <w:tcPr>
            <w:tcW w:w="585" w:type="dxa"/>
            <w:shd w:val="clear" w:color="auto" w:fill="auto"/>
            <w:vAlign w:val="center"/>
          </w:tcPr>
          <w:p w14:paraId="5C9BB69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47.2</w:t>
            </w:r>
          </w:p>
        </w:tc>
        <w:tc>
          <w:tcPr>
            <w:tcW w:w="427" w:type="dxa"/>
            <w:shd w:val="clear" w:color="auto" w:fill="auto"/>
            <w:vAlign w:val="center"/>
          </w:tcPr>
          <w:p w14:paraId="51D11A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68</w:t>
            </w:r>
          </w:p>
        </w:tc>
        <w:tc>
          <w:tcPr>
            <w:tcW w:w="427" w:type="dxa"/>
            <w:shd w:val="clear" w:color="auto" w:fill="auto"/>
            <w:vAlign w:val="center"/>
          </w:tcPr>
          <w:p w14:paraId="49368E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427" w:type="dxa"/>
            <w:shd w:val="clear" w:color="auto" w:fill="auto"/>
            <w:vAlign w:val="center"/>
          </w:tcPr>
          <w:p w14:paraId="67FFC4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427" w:type="dxa"/>
            <w:shd w:val="clear" w:color="auto" w:fill="auto"/>
            <w:vAlign w:val="center"/>
          </w:tcPr>
          <w:p w14:paraId="6D6169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w:t>
            </w:r>
          </w:p>
        </w:tc>
        <w:tc>
          <w:tcPr>
            <w:tcW w:w="860" w:type="dxa"/>
            <w:shd w:val="clear" w:color="auto" w:fill="auto"/>
            <w:vAlign w:val="center"/>
          </w:tcPr>
          <w:p w14:paraId="58C6A33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昼夜</w:t>
            </w:r>
          </w:p>
        </w:tc>
        <w:tc>
          <w:tcPr>
            <w:tcW w:w="1291" w:type="dxa"/>
            <w:shd w:val="clear" w:color="auto" w:fill="auto"/>
            <w:vAlign w:val="center"/>
          </w:tcPr>
          <w:p w14:paraId="657B1AB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15B56A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w:t>
            </w:r>
          </w:p>
        </w:tc>
        <w:tc>
          <w:tcPr>
            <w:tcW w:w="427" w:type="dxa"/>
            <w:shd w:val="clear" w:color="auto" w:fill="auto"/>
            <w:vAlign w:val="center"/>
          </w:tcPr>
          <w:p w14:paraId="7D4208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427" w:type="dxa"/>
            <w:shd w:val="clear" w:color="auto" w:fill="auto"/>
            <w:vAlign w:val="center"/>
          </w:tcPr>
          <w:p w14:paraId="771D8F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427" w:type="dxa"/>
            <w:shd w:val="clear" w:color="auto" w:fill="auto"/>
            <w:vAlign w:val="center"/>
          </w:tcPr>
          <w:p w14:paraId="47D9B4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1357" w:type="dxa"/>
            <w:shd w:val="clear" w:color="auto" w:fill="auto"/>
            <w:vAlign w:val="center"/>
          </w:tcPr>
          <w:p w14:paraId="2EEC8E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57C31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81" w:type="dxa"/>
            <w:shd w:val="clear" w:color="auto" w:fill="auto"/>
            <w:vAlign w:val="center"/>
          </w:tcPr>
          <w:p w14:paraId="38A604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一栋</w:t>
            </w:r>
          </w:p>
        </w:tc>
        <w:tc>
          <w:tcPr>
            <w:tcW w:w="0" w:type="auto"/>
            <w:shd w:val="clear" w:color="auto" w:fill="auto"/>
            <w:noWrap/>
            <w:vAlign w:val="center"/>
          </w:tcPr>
          <w:p w14:paraId="3B2700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注塑机8</w:t>
            </w:r>
          </w:p>
        </w:tc>
        <w:tc>
          <w:tcPr>
            <w:tcW w:w="0" w:type="auto"/>
            <w:shd w:val="clear" w:color="auto" w:fill="auto"/>
            <w:noWrap/>
            <w:vAlign w:val="center"/>
          </w:tcPr>
          <w:p w14:paraId="0A7CE0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5685336F">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62243C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496" w:type="dxa"/>
            <w:shd w:val="clear" w:color="auto" w:fill="auto"/>
            <w:noWrap/>
            <w:vAlign w:val="center"/>
          </w:tcPr>
          <w:p w14:paraId="57C38F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0" w:type="dxa"/>
            <w:shd w:val="clear" w:color="auto" w:fill="auto"/>
            <w:noWrap/>
            <w:vAlign w:val="center"/>
          </w:tcPr>
          <w:p w14:paraId="156660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1DD1769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427" w:type="dxa"/>
            <w:shd w:val="clear" w:color="auto" w:fill="auto"/>
            <w:vAlign w:val="center"/>
          </w:tcPr>
          <w:p w14:paraId="223BA4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w:t>
            </w:r>
          </w:p>
        </w:tc>
        <w:tc>
          <w:tcPr>
            <w:tcW w:w="427" w:type="dxa"/>
            <w:shd w:val="clear" w:color="auto" w:fill="auto"/>
            <w:vAlign w:val="center"/>
          </w:tcPr>
          <w:p w14:paraId="0444AF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w:t>
            </w:r>
          </w:p>
        </w:tc>
        <w:tc>
          <w:tcPr>
            <w:tcW w:w="585" w:type="dxa"/>
            <w:shd w:val="clear" w:color="auto" w:fill="auto"/>
            <w:vAlign w:val="center"/>
          </w:tcPr>
          <w:p w14:paraId="2BC8864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44.2</w:t>
            </w:r>
          </w:p>
        </w:tc>
        <w:tc>
          <w:tcPr>
            <w:tcW w:w="427" w:type="dxa"/>
            <w:shd w:val="clear" w:color="auto" w:fill="auto"/>
            <w:vAlign w:val="center"/>
          </w:tcPr>
          <w:p w14:paraId="76D472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68</w:t>
            </w:r>
          </w:p>
        </w:tc>
        <w:tc>
          <w:tcPr>
            <w:tcW w:w="427" w:type="dxa"/>
            <w:shd w:val="clear" w:color="auto" w:fill="auto"/>
            <w:vAlign w:val="center"/>
          </w:tcPr>
          <w:p w14:paraId="1B493B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w:t>
            </w:r>
          </w:p>
        </w:tc>
        <w:tc>
          <w:tcPr>
            <w:tcW w:w="427" w:type="dxa"/>
            <w:shd w:val="clear" w:color="auto" w:fill="auto"/>
            <w:vAlign w:val="center"/>
          </w:tcPr>
          <w:p w14:paraId="63229D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427" w:type="dxa"/>
            <w:shd w:val="clear" w:color="auto" w:fill="auto"/>
            <w:vAlign w:val="center"/>
          </w:tcPr>
          <w:p w14:paraId="6B6186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w:t>
            </w:r>
          </w:p>
        </w:tc>
        <w:tc>
          <w:tcPr>
            <w:tcW w:w="860" w:type="dxa"/>
            <w:shd w:val="clear" w:color="auto" w:fill="auto"/>
            <w:vAlign w:val="center"/>
          </w:tcPr>
          <w:p w14:paraId="3F1F6F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昼夜</w:t>
            </w:r>
          </w:p>
        </w:tc>
        <w:tc>
          <w:tcPr>
            <w:tcW w:w="1291" w:type="dxa"/>
            <w:shd w:val="clear" w:color="auto" w:fill="auto"/>
            <w:vAlign w:val="center"/>
          </w:tcPr>
          <w:p w14:paraId="2FC992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276620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w:t>
            </w:r>
          </w:p>
        </w:tc>
        <w:tc>
          <w:tcPr>
            <w:tcW w:w="427" w:type="dxa"/>
            <w:shd w:val="clear" w:color="auto" w:fill="auto"/>
            <w:vAlign w:val="center"/>
          </w:tcPr>
          <w:p w14:paraId="082EB8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427" w:type="dxa"/>
            <w:shd w:val="clear" w:color="auto" w:fill="auto"/>
            <w:vAlign w:val="center"/>
          </w:tcPr>
          <w:p w14:paraId="5DA56C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427" w:type="dxa"/>
            <w:shd w:val="clear" w:color="auto" w:fill="auto"/>
            <w:vAlign w:val="center"/>
          </w:tcPr>
          <w:p w14:paraId="0FAEB4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1357" w:type="dxa"/>
            <w:shd w:val="clear" w:color="auto" w:fill="auto"/>
            <w:vAlign w:val="center"/>
          </w:tcPr>
          <w:p w14:paraId="2F0712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3E20C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1" w:type="dxa"/>
            <w:shd w:val="clear" w:color="auto" w:fill="auto"/>
            <w:vAlign w:val="center"/>
          </w:tcPr>
          <w:p w14:paraId="6C3C3D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一栋</w:t>
            </w:r>
          </w:p>
        </w:tc>
        <w:tc>
          <w:tcPr>
            <w:tcW w:w="0" w:type="auto"/>
            <w:shd w:val="clear" w:color="auto" w:fill="auto"/>
            <w:noWrap/>
            <w:vAlign w:val="center"/>
          </w:tcPr>
          <w:p w14:paraId="4FDCEA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注塑机9</w:t>
            </w:r>
          </w:p>
        </w:tc>
        <w:tc>
          <w:tcPr>
            <w:tcW w:w="0" w:type="auto"/>
            <w:shd w:val="clear" w:color="auto" w:fill="auto"/>
            <w:noWrap/>
            <w:vAlign w:val="center"/>
          </w:tcPr>
          <w:p w14:paraId="2EAC42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5A039DA7">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7B2EFC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96" w:type="dxa"/>
            <w:shd w:val="clear" w:color="auto" w:fill="auto"/>
            <w:noWrap/>
            <w:vAlign w:val="center"/>
          </w:tcPr>
          <w:p w14:paraId="1651F6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w:t>
            </w:r>
          </w:p>
        </w:tc>
        <w:tc>
          <w:tcPr>
            <w:tcW w:w="480" w:type="dxa"/>
            <w:shd w:val="clear" w:color="auto" w:fill="auto"/>
            <w:noWrap/>
            <w:vAlign w:val="center"/>
          </w:tcPr>
          <w:p w14:paraId="7E1A601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029E58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427" w:type="dxa"/>
            <w:shd w:val="clear" w:color="auto" w:fill="auto"/>
            <w:vAlign w:val="center"/>
          </w:tcPr>
          <w:p w14:paraId="09A5BA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w:t>
            </w:r>
          </w:p>
        </w:tc>
        <w:tc>
          <w:tcPr>
            <w:tcW w:w="427" w:type="dxa"/>
            <w:shd w:val="clear" w:color="auto" w:fill="auto"/>
            <w:vAlign w:val="center"/>
          </w:tcPr>
          <w:p w14:paraId="22BF1D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w:t>
            </w:r>
          </w:p>
        </w:tc>
        <w:tc>
          <w:tcPr>
            <w:tcW w:w="585" w:type="dxa"/>
            <w:shd w:val="clear" w:color="auto" w:fill="auto"/>
            <w:vAlign w:val="center"/>
          </w:tcPr>
          <w:p w14:paraId="2EB326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37.2</w:t>
            </w:r>
          </w:p>
        </w:tc>
        <w:tc>
          <w:tcPr>
            <w:tcW w:w="427" w:type="dxa"/>
            <w:shd w:val="clear" w:color="auto" w:fill="auto"/>
            <w:vAlign w:val="center"/>
          </w:tcPr>
          <w:p w14:paraId="56FC84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66</w:t>
            </w:r>
          </w:p>
        </w:tc>
        <w:tc>
          <w:tcPr>
            <w:tcW w:w="427" w:type="dxa"/>
            <w:shd w:val="clear" w:color="auto" w:fill="auto"/>
            <w:vAlign w:val="center"/>
          </w:tcPr>
          <w:p w14:paraId="0D8D65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w:t>
            </w:r>
          </w:p>
        </w:tc>
        <w:tc>
          <w:tcPr>
            <w:tcW w:w="427" w:type="dxa"/>
            <w:shd w:val="clear" w:color="auto" w:fill="auto"/>
            <w:vAlign w:val="center"/>
          </w:tcPr>
          <w:p w14:paraId="042137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427" w:type="dxa"/>
            <w:shd w:val="clear" w:color="auto" w:fill="auto"/>
            <w:vAlign w:val="center"/>
          </w:tcPr>
          <w:p w14:paraId="0FA249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w:t>
            </w:r>
          </w:p>
        </w:tc>
        <w:tc>
          <w:tcPr>
            <w:tcW w:w="860" w:type="dxa"/>
            <w:shd w:val="clear" w:color="auto" w:fill="auto"/>
            <w:vAlign w:val="center"/>
          </w:tcPr>
          <w:p w14:paraId="6B4580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昼夜</w:t>
            </w:r>
          </w:p>
        </w:tc>
        <w:tc>
          <w:tcPr>
            <w:tcW w:w="1291" w:type="dxa"/>
            <w:shd w:val="clear" w:color="auto" w:fill="auto"/>
            <w:vAlign w:val="center"/>
          </w:tcPr>
          <w:p w14:paraId="1E3980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30E0EB6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w:t>
            </w:r>
          </w:p>
        </w:tc>
        <w:tc>
          <w:tcPr>
            <w:tcW w:w="427" w:type="dxa"/>
            <w:shd w:val="clear" w:color="auto" w:fill="auto"/>
            <w:vAlign w:val="center"/>
          </w:tcPr>
          <w:p w14:paraId="7FD881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427" w:type="dxa"/>
            <w:shd w:val="clear" w:color="auto" w:fill="auto"/>
            <w:vAlign w:val="center"/>
          </w:tcPr>
          <w:p w14:paraId="7F62EC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427" w:type="dxa"/>
            <w:shd w:val="clear" w:color="auto" w:fill="auto"/>
            <w:vAlign w:val="center"/>
          </w:tcPr>
          <w:p w14:paraId="03A2DC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1357" w:type="dxa"/>
            <w:shd w:val="clear" w:color="auto" w:fill="auto"/>
            <w:vAlign w:val="center"/>
          </w:tcPr>
          <w:p w14:paraId="554F72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5B0B3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81" w:type="dxa"/>
            <w:shd w:val="clear" w:color="auto" w:fill="auto"/>
            <w:vAlign w:val="center"/>
          </w:tcPr>
          <w:p w14:paraId="3AC509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一栋</w:t>
            </w:r>
          </w:p>
        </w:tc>
        <w:tc>
          <w:tcPr>
            <w:tcW w:w="0" w:type="auto"/>
            <w:shd w:val="clear" w:color="auto" w:fill="auto"/>
            <w:noWrap/>
            <w:vAlign w:val="center"/>
          </w:tcPr>
          <w:p w14:paraId="2F9FC1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注塑机10</w:t>
            </w:r>
          </w:p>
        </w:tc>
        <w:tc>
          <w:tcPr>
            <w:tcW w:w="0" w:type="auto"/>
            <w:shd w:val="clear" w:color="auto" w:fill="auto"/>
            <w:noWrap/>
            <w:vAlign w:val="center"/>
          </w:tcPr>
          <w:p w14:paraId="52D844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1117023B">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6F39AD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496" w:type="dxa"/>
            <w:shd w:val="clear" w:color="auto" w:fill="auto"/>
            <w:noWrap/>
            <w:vAlign w:val="center"/>
          </w:tcPr>
          <w:p w14:paraId="2DA198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80" w:type="dxa"/>
            <w:shd w:val="clear" w:color="auto" w:fill="auto"/>
            <w:noWrap/>
            <w:vAlign w:val="center"/>
          </w:tcPr>
          <w:p w14:paraId="1D5426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0A5C633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427" w:type="dxa"/>
            <w:shd w:val="clear" w:color="auto" w:fill="auto"/>
            <w:vAlign w:val="center"/>
          </w:tcPr>
          <w:p w14:paraId="280FC9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w:t>
            </w:r>
          </w:p>
        </w:tc>
        <w:tc>
          <w:tcPr>
            <w:tcW w:w="427" w:type="dxa"/>
            <w:shd w:val="clear" w:color="auto" w:fill="auto"/>
            <w:vAlign w:val="center"/>
          </w:tcPr>
          <w:p w14:paraId="68B804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w:t>
            </w:r>
          </w:p>
        </w:tc>
        <w:tc>
          <w:tcPr>
            <w:tcW w:w="585" w:type="dxa"/>
            <w:shd w:val="clear" w:color="auto" w:fill="auto"/>
            <w:vAlign w:val="center"/>
          </w:tcPr>
          <w:p w14:paraId="4C82DE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34.2</w:t>
            </w:r>
          </w:p>
        </w:tc>
        <w:tc>
          <w:tcPr>
            <w:tcW w:w="427" w:type="dxa"/>
            <w:shd w:val="clear" w:color="auto" w:fill="auto"/>
            <w:vAlign w:val="center"/>
          </w:tcPr>
          <w:p w14:paraId="6E3BDC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68</w:t>
            </w:r>
          </w:p>
        </w:tc>
        <w:tc>
          <w:tcPr>
            <w:tcW w:w="427" w:type="dxa"/>
            <w:shd w:val="clear" w:color="auto" w:fill="auto"/>
            <w:vAlign w:val="center"/>
          </w:tcPr>
          <w:p w14:paraId="5CAECF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w:t>
            </w:r>
          </w:p>
        </w:tc>
        <w:tc>
          <w:tcPr>
            <w:tcW w:w="427" w:type="dxa"/>
            <w:shd w:val="clear" w:color="auto" w:fill="auto"/>
            <w:vAlign w:val="center"/>
          </w:tcPr>
          <w:p w14:paraId="7B27B0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427" w:type="dxa"/>
            <w:shd w:val="clear" w:color="auto" w:fill="auto"/>
            <w:vAlign w:val="center"/>
          </w:tcPr>
          <w:p w14:paraId="20E79B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w:t>
            </w:r>
          </w:p>
        </w:tc>
        <w:tc>
          <w:tcPr>
            <w:tcW w:w="860" w:type="dxa"/>
            <w:shd w:val="clear" w:color="auto" w:fill="auto"/>
            <w:vAlign w:val="center"/>
          </w:tcPr>
          <w:p w14:paraId="78A39B6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昼夜</w:t>
            </w:r>
          </w:p>
        </w:tc>
        <w:tc>
          <w:tcPr>
            <w:tcW w:w="1291" w:type="dxa"/>
            <w:shd w:val="clear" w:color="auto" w:fill="auto"/>
            <w:vAlign w:val="center"/>
          </w:tcPr>
          <w:p w14:paraId="0EFC7C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78E00B7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w:t>
            </w:r>
          </w:p>
        </w:tc>
        <w:tc>
          <w:tcPr>
            <w:tcW w:w="427" w:type="dxa"/>
            <w:shd w:val="clear" w:color="auto" w:fill="auto"/>
            <w:vAlign w:val="center"/>
          </w:tcPr>
          <w:p w14:paraId="589263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427" w:type="dxa"/>
            <w:shd w:val="clear" w:color="auto" w:fill="auto"/>
            <w:vAlign w:val="center"/>
          </w:tcPr>
          <w:p w14:paraId="376C867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427" w:type="dxa"/>
            <w:shd w:val="clear" w:color="auto" w:fill="auto"/>
            <w:vAlign w:val="center"/>
          </w:tcPr>
          <w:p w14:paraId="633F81D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1357" w:type="dxa"/>
            <w:shd w:val="clear" w:color="auto" w:fill="auto"/>
            <w:vAlign w:val="center"/>
          </w:tcPr>
          <w:p w14:paraId="207C7B3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2CC4A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1" w:type="dxa"/>
            <w:shd w:val="clear" w:color="auto" w:fill="auto"/>
            <w:vAlign w:val="center"/>
          </w:tcPr>
          <w:p w14:paraId="20F262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一栋</w:t>
            </w:r>
          </w:p>
        </w:tc>
        <w:tc>
          <w:tcPr>
            <w:tcW w:w="0" w:type="auto"/>
            <w:shd w:val="clear" w:color="auto" w:fill="auto"/>
            <w:noWrap/>
            <w:vAlign w:val="center"/>
          </w:tcPr>
          <w:p w14:paraId="1CCDCF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注塑机11</w:t>
            </w:r>
          </w:p>
        </w:tc>
        <w:tc>
          <w:tcPr>
            <w:tcW w:w="0" w:type="auto"/>
            <w:shd w:val="clear" w:color="auto" w:fill="auto"/>
            <w:noWrap/>
            <w:vAlign w:val="center"/>
          </w:tcPr>
          <w:p w14:paraId="297515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11AD067B">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3C674F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496" w:type="dxa"/>
            <w:shd w:val="clear" w:color="auto" w:fill="auto"/>
            <w:noWrap/>
            <w:vAlign w:val="center"/>
          </w:tcPr>
          <w:p w14:paraId="7D11F7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w:t>
            </w:r>
          </w:p>
        </w:tc>
        <w:tc>
          <w:tcPr>
            <w:tcW w:w="480" w:type="dxa"/>
            <w:shd w:val="clear" w:color="auto" w:fill="auto"/>
            <w:noWrap/>
            <w:vAlign w:val="center"/>
          </w:tcPr>
          <w:p w14:paraId="716BC9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4DD17BF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427" w:type="dxa"/>
            <w:shd w:val="clear" w:color="auto" w:fill="auto"/>
            <w:vAlign w:val="center"/>
          </w:tcPr>
          <w:p w14:paraId="610838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w:t>
            </w:r>
          </w:p>
        </w:tc>
        <w:tc>
          <w:tcPr>
            <w:tcW w:w="427" w:type="dxa"/>
            <w:shd w:val="clear" w:color="auto" w:fill="auto"/>
            <w:vAlign w:val="center"/>
          </w:tcPr>
          <w:p w14:paraId="5519A8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w:t>
            </w:r>
          </w:p>
        </w:tc>
        <w:tc>
          <w:tcPr>
            <w:tcW w:w="585" w:type="dxa"/>
            <w:shd w:val="clear" w:color="auto" w:fill="auto"/>
            <w:vAlign w:val="center"/>
          </w:tcPr>
          <w:p w14:paraId="6E29FE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32.2</w:t>
            </w:r>
          </w:p>
        </w:tc>
        <w:tc>
          <w:tcPr>
            <w:tcW w:w="427" w:type="dxa"/>
            <w:shd w:val="clear" w:color="auto" w:fill="auto"/>
            <w:vAlign w:val="center"/>
          </w:tcPr>
          <w:p w14:paraId="120FAF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68</w:t>
            </w:r>
          </w:p>
        </w:tc>
        <w:tc>
          <w:tcPr>
            <w:tcW w:w="427" w:type="dxa"/>
            <w:shd w:val="clear" w:color="auto" w:fill="auto"/>
            <w:vAlign w:val="center"/>
          </w:tcPr>
          <w:p w14:paraId="68C9EC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w:t>
            </w:r>
          </w:p>
        </w:tc>
        <w:tc>
          <w:tcPr>
            <w:tcW w:w="427" w:type="dxa"/>
            <w:shd w:val="clear" w:color="auto" w:fill="auto"/>
            <w:vAlign w:val="center"/>
          </w:tcPr>
          <w:p w14:paraId="1184991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427" w:type="dxa"/>
            <w:shd w:val="clear" w:color="auto" w:fill="auto"/>
            <w:vAlign w:val="center"/>
          </w:tcPr>
          <w:p w14:paraId="77C81A9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860" w:type="dxa"/>
            <w:shd w:val="clear" w:color="auto" w:fill="auto"/>
            <w:vAlign w:val="center"/>
          </w:tcPr>
          <w:p w14:paraId="0DF860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昼夜</w:t>
            </w:r>
          </w:p>
        </w:tc>
        <w:tc>
          <w:tcPr>
            <w:tcW w:w="1291" w:type="dxa"/>
            <w:shd w:val="clear" w:color="auto" w:fill="auto"/>
            <w:vAlign w:val="center"/>
          </w:tcPr>
          <w:p w14:paraId="33F587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3DFD5A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w:t>
            </w:r>
          </w:p>
        </w:tc>
        <w:tc>
          <w:tcPr>
            <w:tcW w:w="427" w:type="dxa"/>
            <w:shd w:val="clear" w:color="auto" w:fill="auto"/>
            <w:vAlign w:val="center"/>
          </w:tcPr>
          <w:p w14:paraId="48B24F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27C4A1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427" w:type="dxa"/>
            <w:shd w:val="clear" w:color="auto" w:fill="auto"/>
            <w:vAlign w:val="center"/>
          </w:tcPr>
          <w:p w14:paraId="023EA3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1357" w:type="dxa"/>
            <w:shd w:val="clear" w:color="auto" w:fill="auto"/>
            <w:vAlign w:val="center"/>
          </w:tcPr>
          <w:p w14:paraId="3BC6C4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65772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1" w:type="dxa"/>
            <w:shd w:val="clear" w:color="auto" w:fill="auto"/>
            <w:vAlign w:val="center"/>
          </w:tcPr>
          <w:p w14:paraId="42F14F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一栋</w:t>
            </w:r>
          </w:p>
        </w:tc>
        <w:tc>
          <w:tcPr>
            <w:tcW w:w="0" w:type="auto"/>
            <w:shd w:val="clear" w:color="auto" w:fill="auto"/>
            <w:noWrap/>
            <w:vAlign w:val="center"/>
          </w:tcPr>
          <w:p w14:paraId="0EABF7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注塑机12</w:t>
            </w:r>
          </w:p>
        </w:tc>
        <w:tc>
          <w:tcPr>
            <w:tcW w:w="0" w:type="auto"/>
            <w:shd w:val="clear" w:color="auto" w:fill="auto"/>
            <w:noWrap/>
            <w:vAlign w:val="center"/>
          </w:tcPr>
          <w:p w14:paraId="690223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3E11B5F5">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2D879E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496" w:type="dxa"/>
            <w:shd w:val="clear" w:color="auto" w:fill="auto"/>
            <w:noWrap/>
            <w:vAlign w:val="center"/>
          </w:tcPr>
          <w:p w14:paraId="390AF1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480" w:type="dxa"/>
            <w:shd w:val="clear" w:color="auto" w:fill="auto"/>
            <w:noWrap/>
            <w:vAlign w:val="center"/>
          </w:tcPr>
          <w:p w14:paraId="702D27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7AAA00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427" w:type="dxa"/>
            <w:shd w:val="clear" w:color="auto" w:fill="auto"/>
            <w:vAlign w:val="center"/>
          </w:tcPr>
          <w:p w14:paraId="2F0288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56</w:t>
            </w:r>
          </w:p>
        </w:tc>
        <w:tc>
          <w:tcPr>
            <w:tcW w:w="427" w:type="dxa"/>
            <w:shd w:val="clear" w:color="auto" w:fill="auto"/>
            <w:vAlign w:val="center"/>
          </w:tcPr>
          <w:p w14:paraId="6FF9FC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w:t>
            </w:r>
          </w:p>
        </w:tc>
        <w:tc>
          <w:tcPr>
            <w:tcW w:w="585" w:type="dxa"/>
            <w:shd w:val="clear" w:color="auto" w:fill="auto"/>
            <w:vAlign w:val="center"/>
          </w:tcPr>
          <w:p w14:paraId="541CB6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24.2</w:t>
            </w:r>
          </w:p>
        </w:tc>
        <w:tc>
          <w:tcPr>
            <w:tcW w:w="427" w:type="dxa"/>
            <w:shd w:val="clear" w:color="auto" w:fill="auto"/>
            <w:vAlign w:val="center"/>
          </w:tcPr>
          <w:p w14:paraId="29F63B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68</w:t>
            </w:r>
          </w:p>
        </w:tc>
        <w:tc>
          <w:tcPr>
            <w:tcW w:w="427" w:type="dxa"/>
            <w:shd w:val="clear" w:color="auto" w:fill="auto"/>
            <w:vAlign w:val="center"/>
          </w:tcPr>
          <w:p w14:paraId="6DA672E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427" w:type="dxa"/>
            <w:shd w:val="clear" w:color="auto" w:fill="auto"/>
            <w:vAlign w:val="center"/>
          </w:tcPr>
          <w:p w14:paraId="0E3962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427" w:type="dxa"/>
            <w:shd w:val="clear" w:color="auto" w:fill="auto"/>
            <w:vAlign w:val="center"/>
          </w:tcPr>
          <w:p w14:paraId="12D68E4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w:t>
            </w:r>
          </w:p>
        </w:tc>
        <w:tc>
          <w:tcPr>
            <w:tcW w:w="860" w:type="dxa"/>
            <w:shd w:val="clear" w:color="auto" w:fill="auto"/>
            <w:vAlign w:val="center"/>
          </w:tcPr>
          <w:p w14:paraId="1AF7DA4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昼夜</w:t>
            </w:r>
          </w:p>
        </w:tc>
        <w:tc>
          <w:tcPr>
            <w:tcW w:w="1291" w:type="dxa"/>
            <w:shd w:val="clear" w:color="auto" w:fill="auto"/>
            <w:vAlign w:val="center"/>
          </w:tcPr>
          <w:p w14:paraId="3C88B0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51B173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w:t>
            </w:r>
          </w:p>
        </w:tc>
        <w:tc>
          <w:tcPr>
            <w:tcW w:w="427" w:type="dxa"/>
            <w:shd w:val="clear" w:color="auto" w:fill="auto"/>
            <w:vAlign w:val="center"/>
          </w:tcPr>
          <w:p w14:paraId="7C7C5C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w:t>
            </w:r>
          </w:p>
        </w:tc>
        <w:tc>
          <w:tcPr>
            <w:tcW w:w="427" w:type="dxa"/>
            <w:shd w:val="clear" w:color="auto" w:fill="auto"/>
            <w:vAlign w:val="center"/>
          </w:tcPr>
          <w:p w14:paraId="416F84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427" w:type="dxa"/>
            <w:shd w:val="clear" w:color="auto" w:fill="auto"/>
            <w:vAlign w:val="center"/>
          </w:tcPr>
          <w:p w14:paraId="2DDE54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w:t>
            </w:r>
          </w:p>
        </w:tc>
        <w:tc>
          <w:tcPr>
            <w:tcW w:w="1357" w:type="dxa"/>
            <w:shd w:val="clear" w:color="auto" w:fill="auto"/>
            <w:vAlign w:val="center"/>
          </w:tcPr>
          <w:p w14:paraId="61D746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0FBF5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81" w:type="dxa"/>
            <w:shd w:val="clear" w:color="auto" w:fill="auto"/>
            <w:vAlign w:val="center"/>
          </w:tcPr>
          <w:p w14:paraId="3044AD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一栋</w:t>
            </w:r>
          </w:p>
        </w:tc>
        <w:tc>
          <w:tcPr>
            <w:tcW w:w="0" w:type="auto"/>
            <w:shd w:val="clear" w:color="auto" w:fill="auto"/>
            <w:noWrap/>
            <w:vAlign w:val="center"/>
          </w:tcPr>
          <w:p w14:paraId="6E8B31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注塑机13</w:t>
            </w:r>
          </w:p>
        </w:tc>
        <w:tc>
          <w:tcPr>
            <w:tcW w:w="0" w:type="auto"/>
            <w:shd w:val="clear" w:color="auto" w:fill="auto"/>
            <w:noWrap/>
            <w:vAlign w:val="center"/>
          </w:tcPr>
          <w:p w14:paraId="011E51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6437622F">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494648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96" w:type="dxa"/>
            <w:shd w:val="clear" w:color="auto" w:fill="auto"/>
            <w:noWrap/>
            <w:vAlign w:val="center"/>
          </w:tcPr>
          <w:p w14:paraId="0A29E2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w:t>
            </w:r>
          </w:p>
        </w:tc>
        <w:tc>
          <w:tcPr>
            <w:tcW w:w="480" w:type="dxa"/>
            <w:shd w:val="clear" w:color="auto" w:fill="auto"/>
            <w:noWrap/>
            <w:vAlign w:val="center"/>
          </w:tcPr>
          <w:p w14:paraId="5376A4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6B46AB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427" w:type="dxa"/>
            <w:shd w:val="clear" w:color="auto" w:fill="auto"/>
            <w:vAlign w:val="center"/>
          </w:tcPr>
          <w:p w14:paraId="768284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w:t>
            </w:r>
          </w:p>
        </w:tc>
        <w:tc>
          <w:tcPr>
            <w:tcW w:w="427" w:type="dxa"/>
            <w:shd w:val="clear" w:color="auto" w:fill="auto"/>
            <w:vAlign w:val="center"/>
          </w:tcPr>
          <w:p w14:paraId="1E4EAA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w:t>
            </w:r>
          </w:p>
        </w:tc>
        <w:tc>
          <w:tcPr>
            <w:tcW w:w="585" w:type="dxa"/>
            <w:shd w:val="clear" w:color="auto" w:fill="auto"/>
            <w:vAlign w:val="center"/>
          </w:tcPr>
          <w:p w14:paraId="7C4734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25.2</w:t>
            </w:r>
          </w:p>
        </w:tc>
        <w:tc>
          <w:tcPr>
            <w:tcW w:w="427" w:type="dxa"/>
            <w:shd w:val="clear" w:color="auto" w:fill="auto"/>
            <w:vAlign w:val="center"/>
          </w:tcPr>
          <w:p w14:paraId="21A4BB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66</w:t>
            </w:r>
          </w:p>
        </w:tc>
        <w:tc>
          <w:tcPr>
            <w:tcW w:w="427" w:type="dxa"/>
            <w:shd w:val="clear" w:color="auto" w:fill="auto"/>
            <w:vAlign w:val="center"/>
          </w:tcPr>
          <w:p w14:paraId="78F79C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427" w:type="dxa"/>
            <w:shd w:val="clear" w:color="auto" w:fill="auto"/>
            <w:vAlign w:val="center"/>
          </w:tcPr>
          <w:p w14:paraId="26F6C8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427" w:type="dxa"/>
            <w:shd w:val="clear" w:color="auto" w:fill="auto"/>
            <w:vAlign w:val="center"/>
          </w:tcPr>
          <w:p w14:paraId="5B0281A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w:t>
            </w:r>
          </w:p>
        </w:tc>
        <w:tc>
          <w:tcPr>
            <w:tcW w:w="860" w:type="dxa"/>
            <w:shd w:val="clear" w:color="auto" w:fill="auto"/>
            <w:vAlign w:val="center"/>
          </w:tcPr>
          <w:p w14:paraId="005E80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昼夜</w:t>
            </w:r>
          </w:p>
        </w:tc>
        <w:tc>
          <w:tcPr>
            <w:tcW w:w="1291" w:type="dxa"/>
            <w:shd w:val="clear" w:color="auto" w:fill="auto"/>
            <w:vAlign w:val="center"/>
          </w:tcPr>
          <w:p w14:paraId="4D387C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2855E3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w:t>
            </w:r>
          </w:p>
        </w:tc>
        <w:tc>
          <w:tcPr>
            <w:tcW w:w="427" w:type="dxa"/>
            <w:shd w:val="clear" w:color="auto" w:fill="auto"/>
            <w:vAlign w:val="center"/>
          </w:tcPr>
          <w:p w14:paraId="60038A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w:t>
            </w:r>
          </w:p>
        </w:tc>
        <w:tc>
          <w:tcPr>
            <w:tcW w:w="427" w:type="dxa"/>
            <w:shd w:val="clear" w:color="auto" w:fill="auto"/>
            <w:vAlign w:val="center"/>
          </w:tcPr>
          <w:p w14:paraId="4F44BAA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427" w:type="dxa"/>
            <w:shd w:val="clear" w:color="auto" w:fill="auto"/>
            <w:vAlign w:val="center"/>
          </w:tcPr>
          <w:p w14:paraId="20DCF4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w:t>
            </w:r>
          </w:p>
        </w:tc>
        <w:tc>
          <w:tcPr>
            <w:tcW w:w="1357" w:type="dxa"/>
            <w:shd w:val="clear" w:color="auto" w:fill="auto"/>
            <w:vAlign w:val="center"/>
          </w:tcPr>
          <w:p w14:paraId="21CD6E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49C05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1" w:type="dxa"/>
            <w:shd w:val="clear" w:color="auto" w:fill="auto"/>
            <w:vAlign w:val="center"/>
          </w:tcPr>
          <w:p w14:paraId="6F6788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一栋</w:t>
            </w:r>
          </w:p>
        </w:tc>
        <w:tc>
          <w:tcPr>
            <w:tcW w:w="0" w:type="auto"/>
            <w:shd w:val="clear" w:color="auto" w:fill="auto"/>
            <w:noWrap/>
            <w:vAlign w:val="center"/>
          </w:tcPr>
          <w:p w14:paraId="44B6F9B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注塑机14</w:t>
            </w:r>
          </w:p>
        </w:tc>
        <w:tc>
          <w:tcPr>
            <w:tcW w:w="0" w:type="auto"/>
            <w:shd w:val="clear" w:color="auto" w:fill="auto"/>
            <w:noWrap/>
            <w:vAlign w:val="center"/>
          </w:tcPr>
          <w:p w14:paraId="68C5FDC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661093F7">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56D7EC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496" w:type="dxa"/>
            <w:shd w:val="clear" w:color="auto" w:fill="auto"/>
            <w:noWrap/>
            <w:vAlign w:val="center"/>
          </w:tcPr>
          <w:p w14:paraId="763D8D3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w:t>
            </w:r>
          </w:p>
        </w:tc>
        <w:tc>
          <w:tcPr>
            <w:tcW w:w="480" w:type="dxa"/>
            <w:shd w:val="clear" w:color="auto" w:fill="auto"/>
            <w:noWrap/>
            <w:vAlign w:val="center"/>
          </w:tcPr>
          <w:p w14:paraId="43A299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27EE3C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427" w:type="dxa"/>
            <w:shd w:val="clear" w:color="auto" w:fill="auto"/>
            <w:vAlign w:val="center"/>
          </w:tcPr>
          <w:p w14:paraId="4CDEDF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61</w:t>
            </w:r>
          </w:p>
        </w:tc>
        <w:tc>
          <w:tcPr>
            <w:tcW w:w="427" w:type="dxa"/>
            <w:shd w:val="clear" w:color="auto" w:fill="auto"/>
            <w:vAlign w:val="center"/>
          </w:tcPr>
          <w:p w14:paraId="7BFE7E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w:t>
            </w:r>
          </w:p>
        </w:tc>
        <w:tc>
          <w:tcPr>
            <w:tcW w:w="585" w:type="dxa"/>
            <w:shd w:val="clear" w:color="auto" w:fill="auto"/>
            <w:vAlign w:val="center"/>
          </w:tcPr>
          <w:p w14:paraId="292C5D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19.2</w:t>
            </w:r>
          </w:p>
        </w:tc>
        <w:tc>
          <w:tcPr>
            <w:tcW w:w="427" w:type="dxa"/>
            <w:shd w:val="clear" w:color="auto" w:fill="auto"/>
            <w:vAlign w:val="center"/>
          </w:tcPr>
          <w:p w14:paraId="41FF269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68</w:t>
            </w:r>
          </w:p>
        </w:tc>
        <w:tc>
          <w:tcPr>
            <w:tcW w:w="427" w:type="dxa"/>
            <w:shd w:val="clear" w:color="auto" w:fill="auto"/>
            <w:vAlign w:val="center"/>
          </w:tcPr>
          <w:p w14:paraId="3564D0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w:t>
            </w:r>
          </w:p>
        </w:tc>
        <w:tc>
          <w:tcPr>
            <w:tcW w:w="427" w:type="dxa"/>
            <w:shd w:val="clear" w:color="auto" w:fill="auto"/>
            <w:vAlign w:val="center"/>
          </w:tcPr>
          <w:p w14:paraId="4BE577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427" w:type="dxa"/>
            <w:shd w:val="clear" w:color="auto" w:fill="auto"/>
            <w:vAlign w:val="center"/>
          </w:tcPr>
          <w:p w14:paraId="7848C7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860" w:type="dxa"/>
            <w:shd w:val="clear" w:color="auto" w:fill="auto"/>
            <w:vAlign w:val="center"/>
          </w:tcPr>
          <w:p w14:paraId="512CF3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3207C4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047EEF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w:t>
            </w:r>
          </w:p>
        </w:tc>
        <w:tc>
          <w:tcPr>
            <w:tcW w:w="427" w:type="dxa"/>
            <w:shd w:val="clear" w:color="auto" w:fill="auto"/>
            <w:vAlign w:val="center"/>
          </w:tcPr>
          <w:p w14:paraId="3284759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427" w:type="dxa"/>
            <w:shd w:val="clear" w:color="auto" w:fill="auto"/>
            <w:vAlign w:val="center"/>
          </w:tcPr>
          <w:p w14:paraId="6BD7CB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427" w:type="dxa"/>
            <w:shd w:val="clear" w:color="auto" w:fill="auto"/>
            <w:vAlign w:val="center"/>
          </w:tcPr>
          <w:p w14:paraId="44D2F9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1357" w:type="dxa"/>
            <w:shd w:val="clear" w:color="auto" w:fill="auto"/>
            <w:vAlign w:val="center"/>
          </w:tcPr>
          <w:p w14:paraId="3B4B0F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41B93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1" w:type="dxa"/>
            <w:shd w:val="clear" w:color="auto" w:fill="auto"/>
            <w:vAlign w:val="center"/>
          </w:tcPr>
          <w:p w14:paraId="64856C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一栋</w:t>
            </w:r>
          </w:p>
        </w:tc>
        <w:tc>
          <w:tcPr>
            <w:tcW w:w="0" w:type="auto"/>
            <w:shd w:val="clear" w:color="auto" w:fill="auto"/>
            <w:noWrap/>
            <w:vAlign w:val="center"/>
          </w:tcPr>
          <w:p w14:paraId="3E5EC08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注塑机15</w:t>
            </w:r>
          </w:p>
        </w:tc>
        <w:tc>
          <w:tcPr>
            <w:tcW w:w="0" w:type="auto"/>
            <w:shd w:val="clear" w:color="auto" w:fill="auto"/>
            <w:noWrap/>
            <w:vAlign w:val="center"/>
          </w:tcPr>
          <w:p w14:paraId="37EE20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4521270E">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2EBE00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496" w:type="dxa"/>
            <w:shd w:val="clear" w:color="auto" w:fill="auto"/>
            <w:noWrap/>
            <w:vAlign w:val="center"/>
          </w:tcPr>
          <w:p w14:paraId="3F8D3B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480" w:type="dxa"/>
            <w:shd w:val="clear" w:color="auto" w:fill="auto"/>
            <w:noWrap/>
            <w:vAlign w:val="center"/>
          </w:tcPr>
          <w:p w14:paraId="6C6A68D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7BBAD6C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427" w:type="dxa"/>
            <w:shd w:val="clear" w:color="auto" w:fill="auto"/>
            <w:vAlign w:val="center"/>
          </w:tcPr>
          <w:p w14:paraId="767624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41</w:t>
            </w:r>
          </w:p>
        </w:tc>
        <w:tc>
          <w:tcPr>
            <w:tcW w:w="427" w:type="dxa"/>
            <w:shd w:val="clear" w:color="auto" w:fill="auto"/>
            <w:vAlign w:val="center"/>
          </w:tcPr>
          <w:p w14:paraId="2994C6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585" w:type="dxa"/>
            <w:shd w:val="clear" w:color="auto" w:fill="auto"/>
            <w:vAlign w:val="center"/>
          </w:tcPr>
          <w:p w14:paraId="1101D1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39.2</w:t>
            </w:r>
          </w:p>
        </w:tc>
        <w:tc>
          <w:tcPr>
            <w:tcW w:w="427" w:type="dxa"/>
            <w:shd w:val="clear" w:color="auto" w:fill="auto"/>
            <w:vAlign w:val="center"/>
          </w:tcPr>
          <w:p w14:paraId="2A43E9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w:t>
            </w:r>
          </w:p>
        </w:tc>
        <w:tc>
          <w:tcPr>
            <w:tcW w:w="427" w:type="dxa"/>
            <w:shd w:val="clear" w:color="auto" w:fill="auto"/>
            <w:vAlign w:val="center"/>
          </w:tcPr>
          <w:p w14:paraId="6E6A7E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w:t>
            </w:r>
          </w:p>
        </w:tc>
        <w:tc>
          <w:tcPr>
            <w:tcW w:w="427" w:type="dxa"/>
            <w:shd w:val="clear" w:color="auto" w:fill="auto"/>
            <w:vAlign w:val="center"/>
          </w:tcPr>
          <w:p w14:paraId="6D4ABE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58</w:t>
            </w:r>
          </w:p>
        </w:tc>
        <w:tc>
          <w:tcPr>
            <w:tcW w:w="427" w:type="dxa"/>
            <w:shd w:val="clear" w:color="auto" w:fill="auto"/>
            <w:vAlign w:val="center"/>
          </w:tcPr>
          <w:p w14:paraId="77B06F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w:t>
            </w:r>
          </w:p>
        </w:tc>
        <w:tc>
          <w:tcPr>
            <w:tcW w:w="860" w:type="dxa"/>
            <w:shd w:val="clear" w:color="auto" w:fill="auto"/>
            <w:vAlign w:val="center"/>
          </w:tcPr>
          <w:p w14:paraId="10C712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184220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0F19C2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w:t>
            </w:r>
          </w:p>
        </w:tc>
        <w:tc>
          <w:tcPr>
            <w:tcW w:w="427" w:type="dxa"/>
            <w:shd w:val="clear" w:color="auto" w:fill="auto"/>
            <w:vAlign w:val="center"/>
          </w:tcPr>
          <w:p w14:paraId="4B2C0E4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w:t>
            </w:r>
          </w:p>
        </w:tc>
        <w:tc>
          <w:tcPr>
            <w:tcW w:w="427" w:type="dxa"/>
            <w:shd w:val="clear" w:color="auto" w:fill="auto"/>
            <w:vAlign w:val="center"/>
          </w:tcPr>
          <w:p w14:paraId="16B8E6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w:t>
            </w:r>
          </w:p>
        </w:tc>
        <w:tc>
          <w:tcPr>
            <w:tcW w:w="427" w:type="dxa"/>
            <w:shd w:val="clear" w:color="auto" w:fill="auto"/>
            <w:vAlign w:val="center"/>
          </w:tcPr>
          <w:p w14:paraId="14C1BD4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w:t>
            </w:r>
          </w:p>
        </w:tc>
        <w:tc>
          <w:tcPr>
            <w:tcW w:w="1357" w:type="dxa"/>
            <w:shd w:val="clear" w:color="auto" w:fill="auto"/>
            <w:vAlign w:val="center"/>
          </w:tcPr>
          <w:p w14:paraId="1A55E1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1C1C1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1" w:type="dxa"/>
            <w:shd w:val="clear" w:color="auto" w:fill="auto"/>
            <w:vAlign w:val="center"/>
          </w:tcPr>
          <w:p w14:paraId="5C7AE3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一栋</w:t>
            </w:r>
          </w:p>
        </w:tc>
        <w:tc>
          <w:tcPr>
            <w:tcW w:w="0" w:type="auto"/>
            <w:shd w:val="clear" w:color="auto" w:fill="auto"/>
            <w:noWrap/>
            <w:vAlign w:val="center"/>
          </w:tcPr>
          <w:p w14:paraId="4DDB91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注塑机16</w:t>
            </w:r>
          </w:p>
        </w:tc>
        <w:tc>
          <w:tcPr>
            <w:tcW w:w="0" w:type="auto"/>
            <w:shd w:val="clear" w:color="auto" w:fill="auto"/>
            <w:noWrap/>
            <w:vAlign w:val="center"/>
          </w:tcPr>
          <w:p w14:paraId="012A80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7F95022E">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79C310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496" w:type="dxa"/>
            <w:shd w:val="clear" w:color="auto" w:fill="auto"/>
            <w:noWrap/>
            <w:vAlign w:val="center"/>
          </w:tcPr>
          <w:p w14:paraId="3C8354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w:t>
            </w:r>
          </w:p>
        </w:tc>
        <w:tc>
          <w:tcPr>
            <w:tcW w:w="480" w:type="dxa"/>
            <w:shd w:val="clear" w:color="auto" w:fill="auto"/>
            <w:noWrap/>
            <w:vAlign w:val="center"/>
          </w:tcPr>
          <w:p w14:paraId="7DCBE9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5E5708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427" w:type="dxa"/>
            <w:shd w:val="clear" w:color="auto" w:fill="auto"/>
            <w:vAlign w:val="center"/>
          </w:tcPr>
          <w:p w14:paraId="21769B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427" w:type="dxa"/>
            <w:shd w:val="clear" w:color="auto" w:fill="auto"/>
            <w:vAlign w:val="center"/>
          </w:tcPr>
          <w:p w14:paraId="2CC91F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585" w:type="dxa"/>
            <w:shd w:val="clear" w:color="auto" w:fill="auto"/>
            <w:vAlign w:val="center"/>
          </w:tcPr>
          <w:p w14:paraId="0C222E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35.2</w:t>
            </w:r>
          </w:p>
        </w:tc>
        <w:tc>
          <w:tcPr>
            <w:tcW w:w="427" w:type="dxa"/>
            <w:shd w:val="clear" w:color="auto" w:fill="auto"/>
            <w:vAlign w:val="center"/>
          </w:tcPr>
          <w:p w14:paraId="248EEB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w:t>
            </w:r>
          </w:p>
        </w:tc>
        <w:tc>
          <w:tcPr>
            <w:tcW w:w="427" w:type="dxa"/>
            <w:shd w:val="clear" w:color="auto" w:fill="auto"/>
            <w:vAlign w:val="center"/>
          </w:tcPr>
          <w:p w14:paraId="7B4562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w:t>
            </w:r>
          </w:p>
        </w:tc>
        <w:tc>
          <w:tcPr>
            <w:tcW w:w="427" w:type="dxa"/>
            <w:shd w:val="clear" w:color="auto" w:fill="auto"/>
            <w:vAlign w:val="center"/>
          </w:tcPr>
          <w:p w14:paraId="48DF67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58</w:t>
            </w:r>
          </w:p>
        </w:tc>
        <w:tc>
          <w:tcPr>
            <w:tcW w:w="427" w:type="dxa"/>
            <w:shd w:val="clear" w:color="auto" w:fill="auto"/>
            <w:vAlign w:val="center"/>
          </w:tcPr>
          <w:p w14:paraId="743CF9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w:t>
            </w:r>
          </w:p>
        </w:tc>
        <w:tc>
          <w:tcPr>
            <w:tcW w:w="860" w:type="dxa"/>
            <w:shd w:val="clear" w:color="auto" w:fill="auto"/>
            <w:vAlign w:val="center"/>
          </w:tcPr>
          <w:p w14:paraId="6DF343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290A9A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70DCD5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w:t>
            </w:r>
          </w:p>
        </w:tc>
        <w:tc>
          <w:tcPr>
            <w:tcW w:w="427" w:type="dxa"/>
            <w:shd w:val="clear" w:color="auto" w:fill="auto"/>
            <w:vAlign w:val="center"/>
          </w:tcPr>
          <w:p w14:paraId="25D311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427" w:type="dxa"/>
            <w:shd w:val="clear" w:color="auto" w:fill="auto"/>
            <w:vAlign w:val="center"/>
          </w:tcPr>
          <w:p w14:paraId="114724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w:t>
            </w:r>
          </w:p>
        </w:tc>
        <w:tc>
          <w:tcPr>
            <w:tcW w:w="427" w:type="dxa"/>
            <w:shd w:val="clear" w:color="auto" w:fill="auto"/>
            <w:vAlign w:val="center"/>
          </w:tcPr>
          <w:p w14:paraId="37BE2C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1357" w:type="dxa"/>
            <w:shd w:val="clear" w:color="auto" w:fill="auto"/>
            <w:vAlign w:val="center"/>
          </w:tcPr>
          <w:p w14:paraId="1E874B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2C7FF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81" w:type="dxa"/>
            <w:shd w:val="clear" w:color="auto" w:fill="auto"/>
            <w:vAlign w:val="center"/>
          </w:tcPr>
          <w:p w14:paraId="42C3BE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二栋</w:t>
            </w:r>
          </w:p>
        </w:tc>
        <w:tc>
          <w:tcPr>
            <w:tcW w:w="0" w:type="auto"/>
            <w:shd w:val="clear" w:color="auto" w:fill="auto"/>
            <w:noWrap/>
            <w:vAlign w:val="center"/>
          </w:tcPr>
          <w:p w14:paraId="1B639C9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注塑机17</w:t>
            </w:r>
          </w:p>
        </w:tc>
        <w:tc>
          <w:tcPr>
            <w:tcW w:w="0" w:type="auto"/>
            <w:shd w:val="clear" w:color="auto" w:fill="auto"/>
            <w:noWrap/>
            <w:vAlign w:val="center"/>
          </w:tcPr>
          <w:p w14:paraId="52D9471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02A3F891">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438786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37</w:t>
            </w:r>
          </w:p>
        </w:tc>
        <w:tc>
          <w:tcPr>
            <w:tcW w:w="496" w:type="dxa"/>
            <w:shd w:val="clear" w:color="auto" w:fill="auto"/>
            <w:noWrap/>
            <w:vAlign w:val="center"/>
          </w:tcPr>
          <w:p w14:paraId="23FB72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w:t>
            </w:r>
          </w:p>
        </w:tc>
        <w:tc>
          <w:tcPr>
            <w:tcW w:w="480" w:type="dxa"/>
            <w:shd w:val="clear" w:color="auto" w:fill="auto"/>
            <w:noWrap/>
            <w:vAlign w:val="center"/>
          </w:tcPr>
          <w:p w14:paraId="6BFC00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3179C84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427" w:type="dxa"/>
            <w:shd w:val="clear" w:color="auto" w:fill="auto"/>
            <w:vAlign w:val="center"/>
          </w:tcPr>
          <w:p w14:paraId="13B140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27" w:type="dxa"/>
            <w:shd w:val="clear" w:color="auto" w:fill="auto"/>
            <w:vAlign w:val="center"/>
          </w:tcPr>
          <w:p w14:paraId="1F9193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585" w:type="dxa"/>
            <w:shd w:val="clear" w:color="auto" w:fill="auto"/>
            <w:vAlign w:val="center"/>
          </w:tcPr>
          <w:p w14:paraId="2027F8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70.2</w:t>
            </w:r>
          </w:p>
        </w:tc>
        <w:tc>
          <w:tcPr>
            <w:tcW w:w="427" w:type="dxa"/>
            <w:shd w:val="clear" w:color="auto" w:fill="auto"/>
            <w:vAlign w:val="center"/>
          </w:tcPr>
          <w:p w14:paraId="788EAD4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56</w:t>
            </w:r>
          </w:p>
        </w:tc>
        <w:tc>
          <w:tcPr>
            <w:tcW w:w="427" w:type="dxa"/>
            <w:shd w:val="clear" w:color="auto" w:fill="auto"/>
            <w:vAlign w:val="center"/>
          </w:tcPr>
          <w:p w14:paraId="523B1F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p>
        </w:tc>
        <w:tc>
          <w:tcPr>
            <w:tcW w:w="427" w:type="dxa"/>
            <w:shd w:val="clear" w:color="auto" w:fill="auto"/>
            <w:vAlign w:val="center"/>
          </w:tcPr>
          <w:p w14:paraId="30510C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427" w:type="dxa"/>
            <w:shd w:val="clear" w:color="auto" w:fill="auto"/>
            <w:vAlign w:val="center"/>
          </w:tcPr>
          <w:p w14:paraId="3AEADC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w:t>
            </w:r>
          </w:p>
        </w:tc>
        <w:tc>
          <w:tcPr>
            <w:tcW w:w="860" w:type="dxa"/>
            <w:shd w:val="clear" w:color="auto" w:fill="auto"/>
            <w:vAlign w:val="center"/>
          </w:tcPr>
          <w:p w14:paraId="391E71C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7486D1E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2AB2205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427" w:type="dxa"/>
            <w:shd w:val="clear" w:color="auto" w:fill="auto"/>
            <w:vAlign w:val="center"/>
          </w:tcPr>
          <w:p w14:paraId="5AE8D8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34</w:t>
            </w:r>
          </w:p>
        </w:tc>
        <w:tc>
          <w:tcPr>
            <w:tcW w:w="427" w:type="dxa"/>
            <w:shd w:val="clear" w:color="auto" w:fill="auto"/>
            <w:vAlign w:val="center"/>
          </w:tcPr>
          <w:p w14:paraId="7FE61B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427" w:type="dxa"/>
            <w:shd w:val="clear" w:color="auto" w:fill="auto"/>
            <w:vAlign w:val="center"/>
          </w:tcPr>
          <w:p w14:paraId="5866D5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w:t>
            </w:r>
          </w:p>
        </w:tc>
        <w:tc>
          <w:tcPr>
            <w:tcW w:w="1357" w:type="dxa"/>
            <w:shd w:val="clear" w:color="auto" w:fill="auto"/>
            <w:vAlign w:val="center"/>
          </w:tcPr>
          <w:p w14:paraId="08C6EB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1D37B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81" w:type="dxa"/>
            <w:shd w:val="clear" w:color="auto" w:fill="auto"/>
            <w:vAlign w:val="center"/>
          </w:tcPr>
          <w:p w14:paraId="66DE323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二栋</w:t>
            </w:r>
          </w:p>
        </w:tc>
        <w:tc>
          <w:tcPr>
            <w:tcW w:w="0" w:type="auto"/>
            <w:shd w:val="clear" w:color="auto" w:fill="auto"/>
            <w:noWrap/>
            <w:vAlign w:val="center"/>
          </w:tcPr>
          <w:p w14:paraId="57D07A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注塑机18</w:t>
            </w:r>
          </w:p>
        </w:tc>
        <w:tc>
          <w:tcPr>
            <w:tcW w:w="0" w:type="auto"/>
            <w:shd w:val="clear" w:color="auto" w:fill="auto"/>
            <w:noWrap/>
            <w:vAlign w:val="center"/>
          </w:tcPr>
          <w:p w14:paraId="66690C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23086CA1">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6AD854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38</w:t>
            </w:r>
          </w:p>
        </w:tc>
        <w:tc>
          <w:tcPr>
            <w:tcW w:w="496" w:type="dxa"/>
            <w:shd w:val="clear" w:color="auto" w:fill="auto"/>
            <w:noWrap/>
            <w:vAlign w:val="center"/>
          </w:tcPr>
          <w:p w14:paraId="4D30A5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480" w:type="dxa"/>
            <w:shd w:val="clear" w:color="auto" w:fill="auto"/>
            <w:noWrap/>
            <w:vAlign w:val="center"/>
          </w:tcPr>
          <w:p w14:paraId="32F336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0CBD9C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w:t>
            </w:r>
          </w:p>
        </w:tc>
        <w:tc>
          <w:tcPr>
            <w:tcW w:w="427" w:type="dxa"/>
            <w:shd w:val="clear" w:color="auto" w:fill="auto"/>
            <w:vAlign w:val="center"/>
          </w:tcPr>
          <w:p w14:paraId="286FF3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427" w:type="dxa"/>
            <w:shd w:val="clear" w:color="auto" w:fill="auto"/>
            <w:vAlign w:val="center"/>
          </w:tcPr>
          <w:p w14:paraId="75D523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w:t>
            </w:r>
          </w:p>
        </w:tc>
        <w:tc>
          <w:tcPr>
            <w:tcW w:w="585" w:type="dxa"/>
            <w:shd w:val="clear" w:color="auto" w:fill="auto"/>
            <w:vAlign w:val="center"/>
          </w:tcPr>
          <w:p w14:paraId="7582CE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69.2</w:t>
            </w:r>
          </w:p>
        </w:tc>
        <w:tc>
          <w:tcPr>
            <w:tcW w:w="427" w:type="dxa"/>
            <w:shd w:val="clear" w:color="auto" w:fill="auto"/>
            <w:vAlign w:val="center"/>
          </w:tcPr>
          <w:p w14:paraId="406235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56</w:t>
            </w:r>
          </w:p>
        </w:tc>
        <w:tc>
          <w:tcPr>
            <w:tcW w:w="427" w:type="dxa"/>
            <w:shd w:val="clear" w:color="auto" w:fill="auto"/>
            <w:vAlign w:val="center"/>
          </w:tcPr>
          <w:p w14:paraId="491691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59</w:t>
            </w:r>
          </w:p>
        </w:tc>
        <w:tc>
          <w:tcPr>
            <w:tcW w:w="427" w:type="dxa"/>
            <w:shd w:val="clear" w:color="auto" w:fill="auto"/>
            <w:vAlign w:val="center"/>
          </w:tcPr>
          <w:p w14:paraId="6B7811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427" w:type="dxa"/>
            <w:shd w:val="clear" w:color="auto" w:fill="auto"/>
            <w:vAlign w:val="center"/>
          </w:tcPr>
          <w:p w14:paraId="63F096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w:t>
            </w:r>
          </w:p>
        </w:tc>
        <w:tc>
          <w:tcPr>
            <w:tcW w:w="860" w:type="dxa"/>
            <w:shd w:val="clear" w:color="auto" w:fill="auto"/>
            <w:vAlign w:val="center"/>
          </w:tcPr>
          <w:p w14:paraId="3A2BC3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5B4525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0E9078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427" w:type="dxa"/>
            <w:shd w:val="clear" w:color="auto" w:fill="auto"/>
            <w:vAlign w:val="center"/>
          </w:tcPr>
          <w:p w14:paraId="0B6E3F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w:t>
            </w:r>
          </w:p>
        </w:tc>
        <w:tc>
          <w:tcPr>
            <w:tcW w:w="427" w:type="dxa"/>
            <w:shd w:val="clear" w:color="auto" w:fill="auto"/>
            <w:vAlign w:val="center"/>
          </w:tcPr>
          <w:p w14:paraId="3E27B0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427" w:type="dxa"/>
            <w:shd w:val="clear" w:color="auto" w:fill="auto"/>
            <w:vAlign w:val="center"/>
          </w:tcPr>
          <w:p w14:paraId="6B2A8D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w:t>
            </w:r>
          </w:p>
        </w:tc>
        <w:tc>
          <w:tcPr>
            <w:tcW w:w="1357" w:type="dxa"/>
            <w:shd w:val="clear" w:color="auto" w:fill="auto"/>
            <w:vAlign w:val="center"/>
          </w:tcPr>
          <w:p w14:paraId="27885A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020F8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1" w:type="dxa"/>
            <w:shd w:val="clear" w:color="auto" w:fill="auto"/>
            <w:vAlign w:val="center"/>
          </w:tcPr>
          <w:p w14:paraId="3CAEF2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二栋</w:t>
            </w:r>
          </w:p>
        </w:tc>
        <w:tc>
          <w:tcPr>
            <w:tcW w:w="0" w:type="auto"/>
            <w:shd w:val="clear" w:color="auto" w:fill="auto"/>
            <w:noWrap/>
            <w:vAlign w:val="center"/>
          </w:tcPr>
          <w:p w14:paraId="45E0C6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注塑机19</w:t>
            </w:r>
          </w:p>
        </w:tc>
        <w:tc>
          <w:tcPr>
            <w:tcW w:w="0" w:type="auto"/>
            <w:shd w:val="clear" w:color="auto" w:fill="auto"/>
            <w:noWrap/>
            <w:vAlign w:val="center"/>
          </w:tcPr>
          <w:p w14:paraId="35B983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04ED80A1">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071446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w:t>
            </w:r>
          </w:p>
        </w:tc>
        <w:tc>
          <w:tcPr>
            <w:tcW w:w="496" w:type="dxa"/>
            <w:shd w:val="clear" w:color="auto" w:fill="auto"/>
            <w:noWrap/>
            <w:vAlign w:val="center"/>
          </w:tcPr>
          <w:p w14:paraId="000842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80" w:type="dxa"/>
            <w:shd w:val="clear" w:color="auto" w:fill="auto"/>
            <w:noWrap/>
            <w:vAlign w:val="center"/>
          </w:tcPr>
          <w:p w14:paraId="682C8A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0EF75D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427" w:type="dxa"/>
            <w:shd w:val="clear" w:color="auto" w:fill="auto"/>
            <w:vAlign w:val="center"/>
          </w:tcPr>
          <w:p w14:paraId="12AC0C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427" w:type="dxa"/>
            <w:shd w:val="clear" w:color="auto" w:fill="auto"/>
            <w:vAlign w:val="center"/>
          </w:tcPr>
          <w:p w14:paraId="19063D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585" w:type="dxa"/>
            <w:shd w:val="clear" w:color="auto" w:fill="auto"/>
            <w:vAlign w:val="center"/>
          </w:tcPr>
          <w:p w14:paraId="32C9E1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65.2</w:t>
            </w:r>
          </w:p>
        </w:tc>
        <w:tc>
          <w:tcPr>
            <w:tcW w:w="427" w:type="dxa"/>
            <w:shd w:val="clear" w:color="auto" w:fill="auto"/>
            <w:vAlign w:val="center"/>
          </w:tcPr>
          <w:p w14:paraId="6AB7EA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57</w:t>
            </w:r>
          </w:p>
        </w:tc>
        <w:tc>
          <w:tcPr>
            <w:tcW w:w="427" w:type="dxa"/>
            <w:shd w:val="clear" w:color="auto" w:fill="auto"/>
            <w:vAlign w:val="center"/>
          </w:tcPr>
          <w:p w14:paraId="0A6EC6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56</w:t>
            </w:r>
          </w:p>
        </w:tc>
        <w:tc>
          <w:tcPr>
            <w:tcW w:w="427" w:type="dxa"/>
            <w:shd w:val="clear" w:color="auto" w:fill="auto"/>
            <w:vAlign w:val="center"/>
          </w:tcPr>
          <w:p w14:paraId="0CEC33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w:t>
            </w:r>
          </w:p>
        </w:tc>
        <w:tc>
          <w:tcPr>
            <w:tcW w:w="427" w:type="dxa"/>
            <w:shd w:val="clear" w:color="auto" w:fill="auto"/>
            <w:vAlign w:val="center"/>
          </w:tcPr>
          <w:p w14:paraId="465BF8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w:t>
            </w:r>
          </w:p>
        </w:tc>
        <w:tc>
          <w:tcPr>
            <w:tcW w:w="860" w:type="dxa"/>
            <w:shd w:val="clear" w:color="auto" w:fill="auto"/>
            <w:vAlign w:val="center"/>
          </w:tcPr>
          <w:p w14:paraId="681F59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0EBEC7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7FB0D4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w:t>
            </w:r>
          </w:p>
        </w:tc>
        <w:tc>
          <w:tcPr>
            <w:tcW w:w="427" w:type="dxa"/>
            <w:shd w:val="clear" w:color="auto" w:fill="auto"/>
            <w:vAlign w:val="center"/>
          </w:tcPr>
          <w:p w14:paraId="5621FA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427" w:type="dxa"/>
            <w:shd w:val="clear" w:color="auto" w:fill="auto"/>
            <w:vAlign w:val="center"/>
          </w:tcPr>
          <w:p w14:paraId="28CF896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w:t>
            </w:r>
          </w:p>
        </w:tc>
        <w:tc>
          <w:tcPr>
            <w:tcW w:w="427" w:type="dxa"/>
            <w:shd w:val="clear" w:color="auto" w:fill="auto"/>
            <w:vAlign w:val="center"/>
          </w:tcPr>
          <w:p w14:paraId="24019F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1357" w:type="dxa"/>
            <w:shd w:val="clear" w:color="auto" w:fill="auto"/>
            <w:vAlign w:val="center"/>
          </w:tcPr>
          <w:p w14:paraId="1EBC0C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00B78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81" w:type="dxa"/>
            <w:shd w:val="clear" w:color="auto" w:fill="auto"/>
            <w:vAlign w:val="center"/>
          </w:tcPr>
          <w:p w14:paraId="11DA21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二栋</w:t>
            </w:r>
          </w:p>
        </w:tc>
        <w:tc>
          <w:tcPr>
            <w:tcW w:w="0" w:type="auto"/>
            <w:shd w:val="clear" w:color="auto" w:fill="auto"/>
            <w:noWrap/>
            <w:vAlign w:val="center"/>
          </w:tcPr>
          <w:p w14:paraId="035B06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注塑机20</w:t>
            </w:r>
          </w:p>
        </w:tc>
        <w:tc>
          <w:tcPr>
            <w:tcW w:w="0" w:type="auto"/>
            <w:shd w:val="clear" w:color="auto" w:fill="auto"/>
            <w:noWrap/>
            <w:vAlign w:val="center"/>
          </w:tcPr>
          <w:p w14:paraId="637B31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66DBF140">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4AF5A0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38</w:t>
            </w:r>
          </w:p>
        </w:tc>
        <w:tc>
          <w:tcPr>
            <w:tcW w:w="496" w:type="dxa"/>
            <w:shd w:val="clear" w:color="auto" w:fill="auto"/>
            <w:noWrap/>
            <w:vAlign w:val="center"/>
          </w:tcPr>
          <w:p w14:paraId="511241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480" w:type="dxa"/>
            <w:shd w:val="clear" w:color="auto" w:fill="auto"/>
            <w:noWrap/>
            <w:vAlign w:val="center"/>
          </w:tcPr>
          <w:p w14:paraId="3BA59A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756655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w:t>
            </w:r>
          </w:p>
        </w:tc>
        <w:tc>
          <w:tcPr>
            <w:tcW w:w="427" w:type="dxa"/>
            <w:shd w:val="clear" w:color="auto" w:fill="auto"/>
            <w:vAlign w:val="center"/>
          </w:tcPr>
          <w:p w14:paraId="0D69A9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427" w:type="dxa"/>
            <w:shd w:val="clear" w:color="auto" w:fill="auto"/>
            <w:vAlign w:val="center"/>
          </w:tcPr>
          <w:p w14:paraId="0F1D9E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w:t>
            </w:r>
          </w:p>
        </w:tc>
        <w:tc>
          <w:tcPr>
            <w:tcW w:w="585" w:type="dxa"/>
            <w:shd w:val="clear" w:color="auto" w:fill="auto"/>
            <w:vAlign w:val="center"/>
          </w:tcPr>
          <w:p w14:paraId="1B4100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62.2</w:t>
            </w:r>
          </w:p>
        </w:tc>
        <w:tc>
          <w:tcPr>
            <w:tcW w:w="427" w:type="dxa"/>
            <w:shd w:val="clear" w:color="auto" w:fill="auto"/>
            <w:vAlign w:val="center"/>
          </w:tcPr>
          <w:p w14:paraId="083284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56</w:t>
            </w:r>
          </w:p>
        </w:tc>
        <w:tc>
          <w:tcPr>
            <w:tcW w:w="427" w:type="dxa"/>
            <w:shd w:val="clear" w:color="auto" w:fill="auto"/>
            <w:vAlign w:val="center"/>
          </w:tcPr>
          <w:p w14:paraId="0521AD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w:t>
            </w:r>
          </w:p>
        </w:tc>
        <w:tc>
          <w:tcPr>
            <w:tcW w:w="427" w:type="dxa"/>
            <w:shd w:val="clear" w:color="auto" w:fill="auto"/>
            <w:vAlign w:val="center"/>
          </w:tcPr>
          <w:p w14:paraId="447A57E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427" w:type="dxa"/>
            <w:shd w:val="clear" w:color="auto" w:fill="auto"/>
            <w:vAlign w:val="center"/>
          </w:tcPr>
          <w:p w14:paraId="798DFF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w:t>
            </w:r>
          </w:p>
        </w:tc>
        <w:tc>
          <w:tcPr>
            <w:tcW w:w="860" w:type="dxa"/>
            <w:shd w:val="clear" w:color="auto" w:fill="auto"/>
            <w:vAlign w:val="center"/>
          </w:tcPr>
          <w:p w14:paraId="0B47CD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2BDCF4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34668E1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427" w:type="dxa"/>
            <w:shd w:val="clear" w:color="auto" w:fill="auto"/>
            <w:vAlign w:val="center"/>
          </w:tcPr>
          <w:p w14:paraId="7647DE2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w:t>
            </w:r>
          </w:p>
        </w:tc>
        <w:tc>
          <w:tcPr>
            <w:tcW w:w="427" w:type="dxa"/>
            <w:shd w:val="clear" w:color="auto" w:fill="auto"/>
            <w:vAlign w:val="center"/>
          </w:tcPr>
          <w:p w14:paraId="4BDF50D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427" w:type="dxa"/>
            <w:shd w:val="clear" w:color="auto" w:fill="auto"/>
            <w:vAlign w:val="center"/>
          </w:tcPr>
          <w:p w14:paraId="03C7D7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1357" w:type="dxa"/>
            <w:shd w:val="clear" w:color="auto" w:fill="auto"/>
            <w:vAlign w:val="center"/>
          </w:tcPr>
          <w:p w14:paraId="78AA63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58ABB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1" w:type="dxa"/>
            <w:shd w:val="clear" w:color="auto" w:fill="auto"/>
            <w:vAlign w:val="center"/>
          </w:tcPr>
          <w:p w14:paraId="63B0A6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二栋</w:t>
            </w:r>
          </w:p>
        </w:tc>
        <w:tc>
          <w:tcPr>
            <w:tcW w:w="0" w:type="auto"/>
            <w:shd w:val="clear" w:color="auto" w:fill="auto"/>
            <w:noWrap/>
            <w:vAlign w:val="center"/>
          </w:tcPr>
          <w:p w14:paraId="7CA89B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注塑机21</w:t>
            </w:r>
          </w:p>
        </w:tc>
        <w:tc>
          <w:tcPr>
            <w:tcW w:w="0" w:type="auto"/>
            <w:shd w:val="clear" w:color="auto" w:fill="auto"/>
            <w:noWrap/>
            <w:vAlign w:val="center"/>
          </w:tcPr>
          <w:p w14:paraId="5D21BB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763561AD">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41332D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37</w:t>
            </w:r>
          </w:p>
        </w:tc>
        <w:tc>
          <w:tcPr>
            <w:tcW w:w="496" w:type="dxa"/>
            <w:shd w:val="clear" w:color="auto" w:fill="auto"/>
            <w:noWrap/>
            <w:vAlign w:val="center"/>
          </w:tcPr>
          <w:p w14:paraId="7CC717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80" w:type="dxa"/>
            <w:shd w:val="clear" w:color="auto" w:fill="auto"/>
            <w:noWrap/>
            <w:vAlign w:val="center"/>
          </w:tcPr>
          <w:p w14:paraId="2A3D18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4D8A48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427" w:type="dxa"/>
            <w:shd w:val="clear" w:color="auto" w:fill="auto"/>
            <w:vAlign w:val="center"/>
          </w:tcPr>
          <w:p w14:paraId="5A4BA7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w:t>
            </w:r>
          </w:p>
        </w:tc>
        <w:tc>
          <w:tcPr>
            <w:tcW w:w="427" w:type="dxa"/>
            <w:shd w:val="clear" w:color="auto" w:fill="auto"/>
            <w:vAlign w:val="center"/>
          </w:tcPr>
          <w:p w14:paraId="7D5FC2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585" w:type="dxa"/>
            <w:shd w:val="clear" w:color="auto" w:fill="auto"/>
            <w:vAlign w:val="center"/>
          </w:tcPr>
          <w:p w14:paraId="33BCF9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63.2</w:t>
            </w:r>
          </w:p>
        </w:tc>
        <w:tc>
          <w:tcPr>
            <w:tcW w:w="427" w:type="dxa"/>
            <w:shd w:val="clear" w:color="auto" w:fill="auto"/>
            <w:vAlign w:val="center"/>
          </w:tcPr>
          <w:p w14:paraId="1B94D6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56</w:t>
            </w:r>
          </w:p>
        </w:tc>
        <w:tc>
          <w:tcPr>
            <w:tcW w:w="427" w:type="dxa"/>
            <w:shd w:val="clear" w:color="auto" w:fill="auto"/>
            <w:vAlign w:val="center"/>
          </w:tcPr>
          <w:p w14:paraId="22FD9E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w:t>
            </w:r>
          </w:p>
        </w:tc>
        <w:tc>
          <w:tcPr>
            <w:tcW w:w="427" w:type="dxa"/>
            <w:shd w:val="clear" w:color="auto" w:fill="auto"/>
            <w:vAlign w:val="center"/>
          </w:tcPr>
          <w:p w14:paraId="725342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427" w:type="dxa"/>
            <w:shd w:val="clear" w:color="auto" w:fill="auto"/>
            <w:vAlign w:val="center"/>
          </w:tcPr>
          <w:p w14:paraId="211E9F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w:t>
            </w:r>
          </w:p>
        </w:tc>
        <w:tc>
          <w:tcPr>
            <w:tcW w:w="860" w:type="dxa"/>
            <w:shd w:val="clear" w:color="auto" w:fill="auto"/>
            <w:vAlign w:val="center"/>
          </w:tcPr>
          <w:p w14:paraId="3BF5535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32A63B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6EEBD9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427" w:type="dxa"/>
            <w:shd w:val="clear" w:color="auto" w:fill="auto"/>
            <w:vAlign w:val="center"/>
          </w:tcPr>
          <w:p w14:paraId="73FCF4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w:t>
            </w:r>
          </w:p>
        </w:tc>
        <w:tc>
          <w:tcPr>
            <w:tcW w:w="427" w:type="dxa"/>
            <w:shd w:val="clear" w:color="auto" w:fill="auto"/>
            <w:vAlign w:val="center"/>
          </w:tcPr>
          <w:p w14:paraId="01A8D0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427" w:type="dxa"/>
            <w:shd w:val="clear" w:color="auto" w:fill="auto"/>
            <w:vAlign w:val="center"/>
          </w:tcPr>
          <w:p w14:paraId="7819A3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1357" w:type="dxa"/>
            <w:shd w:val="clear" w:color="auto" w:fill="auto"/>
            <w:vAlign w:val="center"/>
          </w:tcPr>
          <w:p w14:paraId="22F6A8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5F6D7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1" w:type="dxa"/>
            <w:shd w:val="clear" w:color="auto" w:fill="auto"/>
            <w:vAlign w:val="center"/>
          </w:tcPr>
          <w:p w14:paraId="049B88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二栋</w:t>
            </w:r>
          </w:p>
        </w:tc>
        <w:tc>
          <w:tcPr>
            <w:tcW w:w="0" w:type="auto"/>
            <w:shd w:val="clear" w:color="auto" w:fill="auto"/>
            <w:noWrap/>
            <w:vAlign w:val="center"/>
          </w:tcPr>
          <w:p w14:paraId="56A8FD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注塑机22</w:t>
            </w:r>
          </w:p>
        </w:tc>
        <w:tc>
          <w:tcPr>
            <w:tcW w:w="0" w:type="auto"/>
            <w:shd w:val="clear" w:color="auto" w:fill="auto"/>
            <w:noWrap/>
            <w:vAlign w:val="center"/>
          </w:tcPr>
          <w:p w14:paraId="3F2F80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47932104">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6F8A55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37</w:t>
            </w:r>
          </w:p>
        </w:tc>
        <w:tc>
          <w:tcPr>
            <w:tcW w:w="496" w:type="dxa"/>
            <w:shd w:val="clear" w:color="auto" w:fill="auto"/>
            <w:noWrap/>
            <w:vAlign w:val="center"/>
          </w:tcPr>
          <w:p w14:paraId="4118F5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480" w:type="dxa"/>
            <w:shd w:val="clear" w:color="auto" w:fill="auto"/>
            <w:noWrap/>
            <w:vAlign w:val="center"/>
          </w:tcPr>
          <w:p w14:paraId="7AF6CD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144A12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427" w:type="dxa"/>
            <w:shd w:val="clear" w:color="auto" w:fill="auto"/>
            <w:vAlign w:val="center"/>
          </w:tcPr>
          <w:p w14:paraId="3DE4D9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6E9201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585" w:type="dxa"/>
            <w:shd w:val="clear" w:color="auto" w:fill="auto"/>
            <w:vAlign w:val="center"/>
          </w:tcPr>
          <w:p w14:paraId="3FE16E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60.2</w:t>
            </w:r>
          </w:p>
        </w:tc>
        <w:tc>
          <w:tcPr>
            <w:tcW w:w="427" w:type="dxa"/>
            <w:shd w:val="clear" w:color="auto" w:fill="auto"/>
            <w:vAlign w:val="center"/>
          </w:tcPr>
          <w:p w14:paraId="2EAF3B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56</w:t>
            </w:r>
          </w:p>
        </w:tc>
        <w:tc>
          <w:tcPr>
            <w:tcW w:w="427" w:type="dxa"/>
            <w:shd w:val="clear" w:color="auto" w:fill="auto"/>
            <w:vAlign w:val="center"/>
          </w:tcPr>
          <w:p w14:paraId="2434C6E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427" w:type="dxa"/>
            <w:shd w:val="clear" w:color="auto" w:fill="auto"/>
            <w:vAlign w:val="center"/>
          </w:tcPr>
          <w:p w14:paraId="144146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427" w:type="dxa"/>
            <w:shd w:val="clear" w:color="auto" w:fill="auto"/>
            <w:vAlign w:val="center"/>
          </w:tcPr>
          <w:p w14:paraId="069E1A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w:t>
            </w:r>
          </w:p>
        </w:tc>
        <w:tc>
          <w:tcPr>
            <w:tcW w:w="860" w:type="dxa"/>
            <w:shd w:val="clear" w:color="auto" w:fill="auto"/>
            <w:vAlign w:val="center"/>
          </w:tcPr>
          <w:p w14:paraId="1EE905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0B6444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24B172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427" w:type="dxa"/>
            <w:shd w:val="clear" w:color="auto" w:fill="auto"/>
            <w:vAlign w:val="center"/>
          </w:tcPr>
          <w:p w14:paraId="4AD91B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427" w:type="dxa"/>
            <w:shd w:val="clear" w:color="auto" w:fill="auto"/>
            <w:vAlign w:val="center"/>
          </w:tcPr>
          <w:p w14:paraId="6D47E2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427" w:type="dxa"/>
            <w:shd w:val="clear" w:color="auto" w:fill="auto"/>
            <w:vAlign w:val="center"/>
          </w:tcPr>
          <w:p w14:paraId="0FC43B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1357" w:type="dxa"/>
            <w:shd w:val="clear" w:color="auto" w:fill="auto"/>
            <w:vAlign w:val="center"/>
          </w:tcPr>
          <w:p w14:paraId="4D221AA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2C61C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81" w:type="dxa"/>
            <w:shd w:val="clear" w:color="auto" w:fill="auto"/>
            <w:vAlign w:val="center"/>
          </w:tcPr>
          <w:p w14:paraId="05C904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二栋</w:t>
            </w:r>
          </w:p>
        </w:tc>
        <w:tc>
          <w:tcPr>
            <w:tcW w:w="0" w:type="auto"/>
            <w:shd w:val="clear" w:color="auto" w:fill="auto"/>
            <w:noWrap/>
            <w:vAlign w:val="center"/>
          </w:tcPr>
          <w:p w14:paraId="0A8859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注塑机23</w:t>
            </w:r>
          </w:p>
        </w:tc>
        <w:tc>
          <w:tcPr>
            <w:tcW w:w="0" w:type="auto"/>
            <w:shd w:val="clear" w:color="auto" w:fill="auto"/>
            <w:noWrap/>
            <w:vAlign w:val="center"/>
          </w:tcPr>
          <w:p w14:paraId="7E2BDD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099E79EF">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456AE3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38</w:t>
            </w:r>
          </w:p>
        </w:tc>
        <w:tc>
          <w:tcPr>
            <w:tcW w:w="496" w:type="dxa"/>
            <w:shd w:val="clear" w:color="auto" w:fill="auto"/>
            <w:noWrap/>
            <w:vAlign w:val="center"/>
          </w:tcPr>
          <w:p w14:paraId="176755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480" w:type="dxa"/>
            <w:shd w:val="clear" w:color="auto" w:fill="auto"/>
            <w:noWrap/>
            <w:vAlign w:val="center"/>
          </w:tcPr>
          <w:p w14:paraId="5886AC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025836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w:t>
            </w:r>
          </w:p>
        </w:tc>
        <w:tc>
          <w:tcPr>
            <w:tcW w:w="427" w:type="dxa"/>
            <w:shd w:val="clear" w:color="auto" w:fill="auto"/>
            <w:vAlign w:val="center"/>
          </w:tcPr>
          <w:p w14:paraId="56A461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427" w:type="dxa"/>
            <w:shd w:val="clear" w:color="auto" w:fill="auto"/>
            <w:vAlign w:val="center"/>
          </w:tcPr>
          <w:p w14:paraId="359132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w:t>
            </w:r>
          </w:p>
        </w:tc>
        <w:tc>
          <w:tcPr>
            <w:tcW w:w="585" w:type="dxa"/>
            <w:shd w:val="clear" w:color="auto" w:fill="auto"/>
            <w:vAlign w:val="center"/>
          </w:tcPr>
          <w:p w14:paraId="3F6B0F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59.2</w:t>
            </w:r>
          </w:p>
        </w:tc>
        <w:tc>
          <w:tcPr>
            <w:tcW w:w="427" w:type="dxa"/>
            <w:shd w:val="clear" w:color="auto" w:fill="auto"/>
            <w:vAlign w:val="center"/>
          </w:tcPr>
          <w:p w14:paraId="2789D5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56</w:t>
            </w:r>
          </w:p>
        </w:tc>
        <w:tc>
          <w:tcPr>
            <w:tcW w:w="427" w:type="dxa"/>
            <w:shd w:val="clear" w:color="auto" w:fill="auto"/>
            <w:vAlign w:val="center"/>
          </w:tcPr>
          <w:p w14:paraId="07DDE7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427" w:type="dxa"/>
            <w:shd w:val="clear" w:color="auto" w:fill="auto"/>
            <w:vAlign w:val="center"/>
          </w:tcPr>
          <w:p w14:paraId="6A1066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427" w:type="dxa"/>
            <w:shd w:val="clear" w:color="auto" w:fill="auto"/>
            <w:vAlign w:val="center"/>
          </w:tcPr>
          <w:p w14:paraId="08DE73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860" w:type="dxa"/>
            <w:shd w:val="clear" w:color="auto" w:fill="auto"/>
            <w:vAlign w:val="center"/>
          </w:tcPr>
          <w:p w14:paraId="15D517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19F747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03346C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427" w:type="dxa"/>
            <w:shd w:val="clear" w:color="auto" w:fill="auto"/>
            <w:vAlign w:val="center"/>
          </w:tcPr>
          <w:p w14:paraId="3B1D33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427" w:type="dxa"/>
            <w:shd w:val="clear" w:color="auto" w:fill="auto"/>
            <w:vAlign w:val="center"/>
          </w:tcPr>
          <w:p w14:paraId="4BC084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427" w:type="dxa"/>
            <w:shd w:val="clear" w:color="auto" w:fill="auto"/>
            <w:vAlign w:val="center"/>
          </w:tcPr>
          <w:p w14:paraId="355696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w:t>
            </w:r>
          </w:p>
        </w:tc>
        <w:tc>
          <w:tcPr>
            <w:tcW w:w="1357" w:type="dxa"/>
            <w:shd w:val="clear" w:color="auto" w:fill="auto"/>
            <w:vAlign w:val="center"/>
          </w:tcPr>
          <w:p w14:paraId="47749E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05A33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81" w:type="dxa"/>
            <w:shd w:val="clear" w:color="auto" w:fill="auto"/>
            <w:vAlign w:val="center"/>
          </w:tcPr>
          <w:p w14:paraId="62FF05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二栋</w:t>
            </w:r>
          </w:p>
        </w:tc>
        <w:tc>
          <w:tcPr>
            <w:tcW w:w="0" w:type="auto"/>
            <w:shd w:val="clear" w:color="auto" w:fill="auto"/>
            <w:noWrap/>
            <w:vAlign w:val="center"/>
          </w:tcPr>
          <w:p w14:paraId="7D4AFF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注塑机24</w:t>
            </w:r>
          </w:p>
        </w:tc>
        <w:tc>
          <w:tcPr>
            <w:tcW w:w="0" w:type="auto"/>
            <w:shd w:val="clear" w:color="auto" w:fill="auto"/>
            <w:noWrap/>
            <w:vAlign w:val="center"/>
          </w:tcPr>
          <w:p w14:paraId="3A1D50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525F4A5E">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5EA6ED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w:t>
            </w:r>
          </w:p>
        </w:tc>
        <w:tc>
          <w:tcPr>
            <w:tcW w:w="496" w:type="dxa"/>
            <w:shd w:val="clear" w:color="auto" w:fill="auto"/>
            <w:noWrap/>
            <w:vAlign w:val="center"/>
          </w:tcPr>
          <w:p w14:paraId="208755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480" w:type="dxa"/>
            <w:shd w:val="clear" w:color="auto" w:fill="auto"/>
            <w:noWrap/>
            <w:vAlign w:val="center"/>
          </w:tcPr>
          <w:p w14:paraId="708C16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2A44A1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427" w:type="dxa"/>
            <w:shd w:val="clear" w:color="auto" w:fill="auto"/>
            <w:vAlign w:val="center"/>
          </w:tcPr>
          <w:p w14:paraId="164A85E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427" w:type="dxa"/>
            <w:shd w:val="clear" w:color="auto" w:fill="auto"/>
            <w:vAlign w:val="center"/>
          </w:tcPr>
          <w:p w14:paraId="139594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585" w:type="dxa"/>
            <w:shd w:val="clear" w:color="auto" w:fill="auto"/>
            <w:vAlign w:val="center"/>
          </w:tcPr>
          <w:p w14:paraId="294FE9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57.2</w:t>
            </w:r>
          </w:p>
        </w:tc>
        <w:tc>
          <w:tcPr>
            <w:tcW w:w="427" w:type="dxa"/>
            <w:shd w:val="clear" w:color="auto" w:fill="auto"/>
            <w:vAlign w:val="center"/>
          </w:tcPr>
          <w:p w14:paraId="1E27FB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57</w:t>
            </w:r>
          </w:p>
        </w:tc>
        <w:tc>
          <w:tcPr>
            <w:tcW w:w="427" w:type="dxa"/>
            <w:shd w:val="clear" w:color="auto" w:fill="auto"/>
            <w:vAlign w:val="center"/>
          </w:tcPr>
          <w:p w14:paraId="73451F3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w:t>
            </w:r>
          </w:p>
        </w:tc>
        <w:tc>
          <w:tcPr>
            <w:tcW w:w="427" w:type="dxa"/>
            <w:shd w:val="clear" w:color="auto" w:fill="auto"/>
            <w:vAlign w:val="center"/>
          </w:tcPr>
          <w:p w14:paraId="3F958F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w:t>
            </w:r>
          </w:p>
        </w:tc>
        <w:tc>
          <w:tcPr>
            <w:tcW w:w="427" w:type="dxa"/>
            <w:shd w:val="clear" w:color="auto" w:fill="auto"/>
            <w:vAlign w:val="center"/>
          </w:tcPr>
          <w:p w14:paraId="74CAAC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860" w:type="dxa"/>
            <w:shd w:val="clear" w:color="auto" w:fill="auto"/>
            <w:vAlign w:val="center"/>
          </w:tcPr>
          <w:p w14:paraId="2B3803C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6BA4EC7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11679C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w:t>
            </w:r>
          </w:p>
        </w:tc>
        <w:tc>
          <w:tcPr>
            <w:tcW w:w="427" w:type="dxa"/>
            <w:shd w:val="clear" w:color="auto" w:fill="auto"/>
            <w:vAlign w:val="center"/>
          </w:tcPr>
          <w:p w14:paraId="33D3F5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w:t>
            </w:r>
          </w:p>
        </w:tc>
        <w:tc>
          <w:tcPr>
            <w:tcW w:w="427" w:type="dxa"/>
            <w:shd w:val="clear" w:color="auto" w:fill="auto"/>
            <w:vAlign w:val="center"/>
          </w:tcPr>
          <w:p w14:paraId="676E2E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w:t>
            </w:r>
          </w:p>
        </w:tc>
        <w:tc>
          <w:tcPr>
            <w:tcW w:w="427" w:type="dxa"/>
            <w:shd w:val="clear" w:color="auto" w:fill="auto"/>
            <w:vAlign w:val="center"/>
          </w:tcPr>
          <w:p w14:paraId="2F5C81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w:t>
            </w:r>
          </w:p>
        </w:tc>
        <w:tc>
          <w:tcPr>
            <w:tcW w:w="1357" w:type="dxa"/>
            <w:shd w:val="clear" w:color="auto" w:fill="auto"/>
            <w:vAlign w:val="center"/>
          </w:tcPr>
          <w:p w14:paraId="325932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36497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81" w:type="dxa"/>
            <w:shd w:val="clear" w:color="auto" w:fill="auto"/>
            <w:vAlign w:val="center"/>
          </w:tcPr>
          <w:p w14:paraId="0593191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二栋</w:t>
            </w:r>
          </w:p>
        </w:tc>
        <w:tc>
          <w:tcPr>
            <w:tcW w:w="0" w:type="auto"/>
            <w:shd w:val="clear" w:color="auto" w:fill="auto"/>
            <w:noWrap/>
            <w:vAlign w:val="center"/>
          </w:tcPr>
          <w:p w14:paraId="14FBD5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注塑机25</w:t>
            </w:r>
          </w:p>
        </w:tc>
        <w:tc>
          <w:tcPr>
            <w:tcW w:w="0" w:type="auto"/>
            <w:shd w:val="clear" w:color="auto" w:fill="auto"/>
            <w:noWrap/>
            <w:vAlign w:val="center"/>
          </w:tcPr>
          <w:p w14:paraId="4FC2244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14FAE2D9">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537794F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w:t>
            </w:r>
          </w:p>
        </w:tc>
        <w:tc>
          <w:tcPr>
            <w:tcW w:w="496" w:type="dxa"/>
            <w:shd w:val="clear" w:color="auto" w:fill="auto"/>
            <w:noWrap/>
            <w:vAlign w:val="center"/>
          </w:tcPr>
          <w:p w14:paraId="687096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480" w:type="dxa"/>
            <w:shd w:val="clear" w:color="auto" w:fill="auto"/>
            <w:noWrap/>
            <w:vAlign w:val="center"/>
          </w:tcPr>
          <w:p w14:paraId="2DF8EEF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2DFA2A1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427" w:type="dxa"/>
            <w:shd w:val="clear" w:color="auto" w:fill="auto"/>
            <w:vAlign w:val="center"/>
          </w:tcPr>
          <w:p w14:paraId="239311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w:t>
            </w:r>
          </w:p>
        </w:tc>
        <w:tc>
          <w:tcPr>
            <w:tcW w:w="427" w:type="dxa"/>
            <w:shd w:val="clear" w:color="auto" w:fill="auto"/>
            <w:vAlign w:val="center"/>
          </w:tcPr>
          <w:p w14:paraId="4F7943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585" w:type="dxa"/>
            <w:shd w:val="clear" w:color="auto" w:fill="auto"/>
            <w:vAlign w:val="center"/>
          </w:tcPr>
          <w:p w14:paraId="30692B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55.2</w:t>
            </w:r>
          </w:p>
        </w:tc>
        <w:tc>
          <w:tcPr>
            <w:tcW w:w="427" w:type="dxa"/>
            <w:shd w:val="clear" w:color="auto" w:fill="auto"/>
            <w:vAlign w:val="center"/>
          </w:tcPr>
          <w:p w14:paraId="0759B8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57</w:t>
            </w:r>
          </w:p>
        </w:tc>
        <w:tc>
          <w:tcPr>
            <w:tcW w:w="427" w:type="dxa"/>
            <w:shd w:val="clear" w:color="auto" w:fill="auto"/>
            <w:vAlign w:val="center"/>
          </w:tcPr>
          <w:p w14:paraId="1534702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w:t>
            </w:r>
          </w:p>
        </w:tc>
        <w:tc>
          <w:tcPr>
            <w:tcW w:w="427" w:type="dxa"/>
            <w:shd w:val="clear" w:color="auto" w:fill="auto"/>
            <w:vAlign w:val="center"/>
          </w:tcPr>
          <w:p w14:paraId="696AFE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w:t>
            </w:r>
          </w:p>
        </w:tc>
        <w:tc>
          <w:tcPr>
            <w:tcW w:w="427" w:type="dxa"/>
            <w:shd w:val="clear" w:color="auto" w:fill="auto"/>
            <w:vAlign w:val="center"/>
          </w:tcPr>
          <w:p w14:paraId="63B3C5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860" w:type="dxa"/>
            <w:shd w:val="clear" w:color="auto" w:fill="auto"/>
            <w:vAlign w:val="center"/>
          </w:tcPr>
          <w:p w14:paraId="45AEEA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1D7C84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413AC7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w:t>
            </w:r>
          </w:p>
        </w:tc>
        <w:tc>
          <w:tcPr>
            <w:tcW w:w="427" w:type="dxa"/>
            <w:shd w:val="clear" w:color="auto" w:fill="auto"/>
            <w:vAlign w:val="center"/>
          </w:tcPr>
          <w:p w14:paraId="6A7084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w:t>
            </w:r>
          </w:p>
        </w:tc>
        <w:tc>
          <w:tcPr>
            <w:tcW w:w="427" w:type="dxa"/>
            <w:shd w:val="clear" w:color="auto" w:fill="auto"/>
            <w:vAlign w:val="center"/>
          </w:tcPr>
          <w:p w14:paraId="60F22B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w:t>
            </w:r>
          </w:p>
        </w:tc>
        <w:tc>
          <w:tcPr>
            <w:tcW w:w="427" w:type="dxa"/>
            <w:shd w:val="clear" w:color="auto" w:fill="auto"/>
            <w:vAlign w:val="center"/>
          </w:tcPr>
          <w:p w14:paraId="5C8232D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w:t>
            </w:r>
          </w:p>
        </w:tc>
        <w:tc>
          <w:tcPr>
            <w:tcW w:w="1357" w:type="dxa"/>
            <w:shd w:val="clear" w:color="auto" w:fill="auto"/>
            <w:vAlign w:val="center"/>
          </w:tcPr>
          <w:p w14:paraId="5BEA375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3B127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1" w:type="dxa"/>
            <w:shd w:val="clear" w:color="auto" w:fill="auto"/>
            <w:vAlign w:val="center"/>
          </w:tcPr>
          <w:p w14:paraId="61A0B2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二栋</w:t>
            </w:r>
          </w:p>
        </w:tc>
        <w:tc>
          <w:tcPr>
            <w:tcW w:w="0" w:type="auto"/>
            <w:shd w:val="clear" w:color="auto" w:fill="auto"/>
            <w:noWrap/>
            <w:vAlign w:val="center"/>
          </w:tcPr>
          <w:p w14:paraId="0A7DDB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注塑机26</w:t>
            </w:r>
          </w:p>
        </w:tc>
        <w:tc>
          <w:tcPr>
            <w:tcW w:w="0" w:type="auto"/>
            <w:shd w:val="clear" w:color="auto" w:fill="auto"/>
            <w:noWrap/>
            <w:vAlign w:val="center"/>
          </w:tcPr>
          <w:p w14:paraId="4E689E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579C1188">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094DC1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w:t>
            </w:r>
          </w:p>
        </w:tc>
        <w:tc>
          <w:tcPr>
            <w:tcW w:w="496" w:type="dxa"/>
            <w:shd w:val="clear" w:color="auto" w:fill="auto"/>
            <w:noWrap/>
            <w:vAlign w:val="center"/>
          </w:tcPr>
          <w:p w14:paraId="35AC2E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w:t>
            </w:r>
          </w:p>
        </w:tc>
        <w:tc>
          <w:tcPr>
            <w:tcW w:w="480" w:type="dxa"/>
            <w:shd w:val="clear" w:color="auto" w:fill="auto"/>
            <w:noWrap/>
            <w:vAlign w:val="center"/>
          </w:tcPr>
          <w:p w14:paraId="0EF33C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0C4F00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427" w:type="dxa"/>
            <w:shd w:val="clear" w:color="auto" w:fill="auto"/>
            <w:vAlign w:val="center"/>
          </w:tcPr>
          <w:p w14:paraId="6F1704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w:t>
            </w:r>
          </w:p>
        </w:tc>
        <w:tc>
          <w:tcPr>
            <w:tcW w:w="427" w:type="dxa"/>
            <w:shd w:val="clear" w:color="auto" w:fill="auto"/>
            <w:vAlign w:val="center"/>
          </w:tcPr>
          <w:p w14:paraId="5ED417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585" w:type="dxa"/>
            <w:shd w:val="clear" w:color="auto" w:fill="auto"/>
            <w:vAlign w:val="center"/>
          </w:tcPr>
          <w:p w14:paraId="607F0B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53.2</w:t>
            </w:r>
          </w:p>
        </w:tc>
        <w:tc>
          <w:tcPr>
            <w:tcW w:w="427" w:type="dxa"/>
            <w:shd w:val="clear" w:color="auto" w:fill="auto"/>
            <w:vAlign w:val="center"/>
          </w:tcPr>
          <w:p w14:paraId="1977F5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57</w:t>
            </w:r>
          </w:p>
        </w:tc>
        <w:tc>
          <w:tcPr>
            <w:tcW w:w="427" w:type="dxa"/>
            <w:shd w:val="clear" w:color="auto" w:fill="auto"/>
            <w:vAlign w:val="center"/>
          </w:tcPr>
          <w:p w14:paraId="108A802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w:t>
            </w:r>
          </w:p>
        </w:tc>
        <w:tc>
          <w:tcPr>
            <w:tcW w:w="427" w:type="dxa"/>
            <w:shd w:val="clear" w:color="auto" w:fill="auto"/>
            <w:vAlign w:val="center"/>
          </w:tcPr>
          <w:p w14:paraId="6859D3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w:t>
            </w:r>
          </w:p>
        </w:tc>
        <w:tc>
          <w:tcPr>
            <w:tcW w:w="427" w:type="dxa"/>
            <w:shd w:val="clear" w:color="auto" w:fill="auto"/>
            <w:vAlign w:val="center"/>
          </w:tcPr>
          <w:p w14:paraId="7ABC50F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860" w:type="dxa"/>
            <w:shd w:val="clear" w:color="auto" w:fill="auto"/>
            <w:vAlign w:val="center"/>
          </w:tcPr>
          <w:p w14:paraId="2A595D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07C8CA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2642DC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w:t>
            </w:r>
          </w:p>
        </w:tc>
        <w:tc>
          <w:tcPr>
            <w:tcW w:w="427" w:type="dxa"/>
            <w:shd w:val="clear" w:color="auto" w:fill="auto"/>
            <w:vAlign w:val="center"/>
          </w:tcPr>
          <w:p w14:paraId="47AD92F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w:t>
            </w:r>
          </w:p>
        </w:tc>
        <w:tc>
          <w:tcPr>
            <w:tcW w:w="427" w:type="dxa"/>
            <w:shd w:val="clear" w:color="auto" w:fill="auto"/>
            <w:vAlign w:val="center"/>
          </w:tcPr>
          <w:p w14:paraId="761838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w:t>
            </w:r>
          </w:p>
        </w:tc>
        <w:tc>
          <w:tcPr>
            <w:tcW w:w="427" w:type="dxa"/>
            <w:shd w:val="clear" w:color="auto" w:fill="auto"/>
            <w:vAlign w:val="center"/>
          </w:tcPr>
          <w:p w14:paraId="080E32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w:t>
            </w:r>
          </w:p>
        </w:tc>
        <w:tc>
          <w:tcPr>
            <w:tcW w:w="1357" w:type="dxa"/>
            <w:shd w:val="clear" w:color="auto" w:fill="auto"/>
            <w:vAlign w:val="center"/>
          </w:tcPr>
          <w:p w14:paraId="68EFB3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5EEBF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81" w:type="dxa"/>
            <w:shd w:val="clear" w:color="auto" w:fill="auto"/>
            <w:vAlign w:val="center"/>
          </w:tcPr>
          <w:p w14:paraId="5516C6B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二栋</w:t>
            </w:r>
          </w:p>
        </w:tc>
        <w:tc>
          <w:tcPr>
            <w:tcW w:w="0" w:type="auto"/>
            <w:shd w:val="clear" w:color="auto" w:fill="auto"/>
            <w:noWrap/>
            <w:vAlign w:val="center"/>
          </w:tcPr>
          <w:p w14:paraId="5C8610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注塑机27</w:t>
            </w:r>
          </w:p>
        </w:tc>
        <w:tc>
          <w:tcPr>
            <w:tcW w:w="0" w:type="auto"/>
            <w:shd w:val="clear" w:color="auto" w:fill="auto"/>
            <w:noWrap/>
            <w:vAlign w:val="center"/>
          </w:tcPr>
          <w:p w14:paraId="5DA704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72403791">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59BD92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37</w:t>
            </w:r>
          </w:p>
        </w:tc>
        <w:tc>
          <w:tcPr>
            <w:tcW w:w="496" w:type="dxa"/>
            <w:shd w:val="clear" w:color="auto" w:fill="auto"/>
            <w:noWrap/>
            <w:vAlign w:val="center"/>
          </w:tcPr>
          <w:p w14:paraId="3B235E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480" w:type="dxa"/>
            <w:shd w:val="clear" w:color="auto" w:fill="auto"/>
            <w:noWrap/>
            <w:vAlign w:val="center"/>
          </w:tcPr>
          <w:p w14:paraId="6EFA62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405DDE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427" w:type="dxa"/>
            <w:shd w:val="clear" w:color="auto" w:fill="auto"/>
            <w:vAlign w:val="center"/>
          </w:tcPr>
          <w:p w14:paraId="6944B73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w:t>
            </w:r>
          </w:p>
        </w:tc>
        <w:tc>
          <w:tcPr>
            <w:tcW w:w="427" w:type="dxa"/>
            <w:shd w:val="clear" w:color="auto" w:fill="auto"/>
            <w:vAlign w:val="center"/>
          </w:tcPr>
          <w:p w14:paraId="0D13B5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585" w:type="dxa"/>
            <w:shd w:val="clear" w:color="auto" w:fill="auto"/>
            <w:vAlign w:val="center"/>
          </w:tcPr>
          <w:p w14:paraId="50754B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37.2</w:t>
            </w:r>
          </w:p>
        </w:tc>
        <w:tc>
          <w:tcPr>
            <w:tcW w:w="427" w:type="dxa"/>
            <w:shd w:val="clear" w:color="auto" w:fill="auto"/>
            <w:vAlign w:val="center"/>
          </w:tcPr>
          <w:p w14:paraId="71A373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56</w:t>
            </w:r>
          </w:p>
        </w:tc>
        <w:tc>
          <w:tcPr>
            <w:tcW w:w="427" w:type="dxa"/>
            <w:shd w:val="clear" w:color="auto" w:fill="auto"/>
            <w:vAlign w:val="center"/>
          </w:tcPr>
          <w:p w14:paraId="7AC8D2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w:t>
            </w:r>
          </w:p>
        </w:tc>
        <w:tc>
          <w:tcPr>
            <w:tcW w:w="427" w:type="dxa"/>
            <w:shd w:val="clear" w:color="auto" w:fill="auto"/>
            <w:vAlign w:val="center"/>
          </w:tcPr>
          <w:p w14:paraId="0ED999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427" w:type="dxa"/>
            <w:shd w:val="clear" w:color="auto" w:fill="auto"/>
            <w:vAlign w:val="center"/>
          </w:tcPr>
          <w:p w14:paraId="04506B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w:t>
            </w:r>
          </w:p>
        </w:tc>
        <w:tc>
          <w:tcPr>
            <w:tcW w:w="860" w:type="dxa"/>
            <w:shd w:val="clear" w:color="auto" w:fill="auto"/>
            <w:vAlign w:val="center"/>
          </w:tcPr>
          <w:p w14:paraId="0280B5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5506C8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699AC4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427" w:type="dxa"/>
            <w:shd w:val="clear" w:color="auto" w:fill="auto"/>
            <w:vAlign w:val="center"/>
          </w:tcPr>
          <w:p w14:paraId="0D851D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427" w:type="dxa"/>
            <w:shd w:val="clear" w:color="auto" w:fill="auto"/>
            <w:vAlign w:val="center"/>
          </w:tcPr>
          <w:p w14:paraId="109CA8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427" w:type="dxa"/>
            <w:shd w:val="clear" w:color="auto" w:fill="auto"/>
            <w:vAlign w:val="center"/>
          </w:tcPr>
          <w:p w14:paraId="397F11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1357" w:type="dxa"/>
            <w:shd w:val="clear" w:color="auto" w:fill="auto"/>
            <w:vAlign w:val="center"/>
          </w:tcPr>
          <w:p w14:paraId="641894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0E3D6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81" w:type="dxa"/>
            <w:shd w:val="clear" w:color="auto" w:fill="auto"/>
            <w:vAlign w:val="center"/>
          </w:tcPr>
          <w:p w14:paraId="54EA3B5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二栋</w:t>
            </w:r>
          </w:p>
        </w:tc>
        <w:tc>
          <w:tcPr>
            <w:tcW w:w="0" w:type="auto"/>
            <w:shd w:val="clear" w:color="auto" w:fill="auto"/>
            <w:noWrap/>
            <w:vAlign w:val="center"/>
          </w:tcPr>
          <w:p w14:paraId="251C84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注塑机28</w:t>
            </w:r>
          </w:p>
        </w:tc>
        <w:tc>
          <w:tcPr>
            <w:tcW w:w="0" w:type="auto"/>
            <w:shd w:val="clear" w:color="auto" w:fill="auto"/>
            <w:noWrap/>
            <w:vAlign w:val="center"/>
          </w:tcPr>
          <w:p w14:paraId="6491F0E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2F893BD8">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7065DD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38</w:t>
            </w:r>
          </w:p>
        </w:tc>
        <w:tc>
          <w:tcPr>
            <w:tcW w:w="496" w:type="dxa"/>
            <w:shd w:val="clear" w:color="auto" w:fill="auto"/>
            <w:noWrap/>
            <w:vAlign w:val="center"/>
          </w:tcPr>
          <w:p w14:paraId="00463E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w:t>
            </w:r>
          </w:p>
        </w:tc>
        <w:tc>
          <w:tcPr>
            <w:tcW w:w="480" w:type="dxa"/>
            <w:shd w:val="clear" w:color="auto" w:fill="auto"/>
            <w:noWrap/>
            <w:vAlign w:val="center"/>
          </w:tcPr>
          <w:p w14:paraId="6383A64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0AC6F9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w:t>
            </w:r>
          </w:p>
        </w:tc>
        <w:tc>
          <w:tcPr>
            <w:tcW w:w="427" w:type="dxa"/>
            <w:shd w:val="clear" w:color="auto" w:fill="auto"/>
            <w:vAlign w:val="center"/>
          </w:tcPr>
          <w:p w14:paraId="2F0DEAC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w:t>
            </w:r>
          </w:p>
        </w:tc>
        <w:tc>
          <w:tcPr>
            <w:tcW w:w="427" w:type="dxa"/>
            <w:shd w:val="clear" w:color="auto" w:fill="auto"/>
            <w:vAlign w:val="center"/>
          </w:tcPr>
          <w:p w14:paraId="1EF197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w:t>
            </w:r>
          </w:p>
        </w:tc>
        <w:tc>
          <w:tcPr>
            <w:tcW w:w="585" w:type="dxa"/>
            <w:shd w:val="clear" w:color="auto" w:fill="auto"/>
            <w:vAlign w:val="center"/>
          </w:tcPr>
          <w:p w14:paraId="60CB1B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31.2</w:t>
            </w:r>
          </w:p>
        </w:tc>
        <w:tc>
          <w:tcPr>
            <w:tcW w:w="427" w:type="dxa"/>
            <w:shd w:val="clear" w:color="auto" w:fill="auto"/>
            <w:vAlign w:val="center"/>
          </w:tcPr>
          <w:p w14:paraId="60B712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56</w:t>
            </w:r>
          </w:p>
        </w:tc>
        <w:tc>
          <w:tcPr>
            <w:tcW w:w="427" w:type="dxa"/>
            <w:shd w:val="clear" w:color="auto" w:fill="auto"/>
            <w:vAlign w:val="center"/>
          </w:tcPr>
          <w:p w14:paraId="24F172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w:t>
            </w:r>
          </w:p>
        </w:tc>
        <w:tc>
          <w:tcPr>
            <w:tcW w:w="427" w:type="dxa"/>
            <w:shd w:val="clear" w:color="auto" w:fill="auto"/>
            <w:vAlign w:val="center"/>
          </w:tcPr>
          <w:p w14:paraId="468BF47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427" w:type="dxa"/>
            <w:shd w:val="clear" w:color="auto" w:fill="auto"/>
            <w:vAlign w:val="center"/>
          </w:tcPr>
          <w:p w14:paraId="2925AF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860" w:type="dxa"/>
            <w:shd w:val="clear" w:color="auto" w:fill="auto"/>
            <w:vAlign w:val="center"/>
          </w:tcPr>
          <w:p w14:paraId="6E1F8A5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732DB0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64C494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427" w:type="dxa"/>
            <w:shd w:val="clear" w:color="auto" w:fill="auto"/>
            <w:vAlign w:val="center"/>
          </w:tcPr>
          <w:p w14:paraId="58D5B4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7EA19B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427" w:type="dxa"/>
            <w:shd w:val="clear" w:color="auto" w:fill="auto"/>
            <w:vAlign w:val="center"/>
          </w:tcPr>
          <w:p w14:paraId="76A6C0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1357" w:type="dxa"/>
            <w:shd w:val="clear" w:color="auto" w:fill="auto"/>
            <w:vAlign w:val="center"/>
          </w:tcPr>
          <w:p w14:paraId="23EC6A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055F6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81" w:type="dxa"/>
            <w:shd w:val="clear" w:color="auto" w:fill="auto"/>
            <w:vAlign w:val="center"/>
          </w:tcPr>
          <w:p w14:paraId="237C97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二栋</w:t>
            </w:r>
          </w:p>
        </w:tc>
        <w:tc>
          <w:tcPr>
            <w:tcW w:w="0" w:type="auto"/>
            <w:shd w:val="clear" w:color="auto" w:fill="auto"/>
            <w:noWrap/>
            <w:vAlign w:val="center"/>
          </w:tcPr>
          <w:p w14:paraId="78600E3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注塑机29</w:t>
            </w:r>
          </w:p>
        </w:tc>
        <w:tc>
          <w:tcPr>
            <w:tcW w:w="0" w:type="auto"/>
            <w:shd w:val="clear" w:color="auto" w:fill="auto"/>
            <w:noWrap/>
            <w:vAlign w:val="center"/>
          </w:tcPr>
          <w:p w14:paraId="67E888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734666D6">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1CF395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w:t>
            </w:r>
          </w:p>
        </w:tc>
        <w:tc>
          <w:tcPr>
            <w:tcW w:w="496" w:type="dxa"/>
            <w:shd w:val="clear" w:color="auto" w:fill="auto"/>
            <w:noWrap/>
            <w:vAlign w:val="center"/>
          </w:tcPr>
          <w:p w14:paraId="4C6A5F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w:t>
            </w:r>
          </w:p>
        </w:tc>
        <w:tc>
          <w:tcPr>
            <w:tcW w:w="480" w:type="dxa"/>
            <w:shd w:val="clear" w:color="auto" w:fill="auto"/>
            <w:noWrap/>
            <w:vAlign w:val="center"/>
          </w:tcPr>
          <w:p w14:paraId="075BD5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5795FC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427" w:type="dxa"/>
            <w:shd w:val="clear" w:color="auto" w:fill="auto"/>
            <w:vAlign w:val="center"/>
          </w:tcPr>
          <w:p w14:paraId="263CB3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w:t>
            </w:r>
          </w:p>
        </w:tc>
        <w:tc>
          <w:tcPr>
            <w:tcW w:w="427" w:type="dxa"/>
            <w:shd w:val="clear" w:color="auto" w:fill="auto"/>
            <w:vAlign w:val="center"/>
          </w:tcPr>
          <w:p w14:paraId="13D934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585" w:type="dxa"/>
            <w:shd w:val="clear" w:color="auto" w:fill="auto"/>
            <w:vAlign w:val="center"/>
          </w:tcPr>
          <w:p w14:paraId="59CB53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28.2</w:t>
            </w:r>
          </w:p>
        </w:tc>
        <w:tc>
          <w:tcPr>
            <w:tcW w:w="427" w:type="dxa"/>
            <w:shd w:val="clear" w:color="auto" w:fill="auto"/>
            <w:vAlign w:val="center"/>
          </w:tcPr>
          <w:p w14:paraId="77005A4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57</w:t>
            </w:r>
          </w:p>
        </w:tc>
        <w:tc>
          <w:tcPr>
            <w:tcW w:w="427" w:type="dxa"/>
            <w:shd w:val="clear" w:color="auto" w:fill="auto"/>
            <w:vAlign w:val="center"/>
          </w:tcPr>
          <w:p w14:paraId="723E2C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w:t>
            </w:r>
          </w:p>
        </w:tc>
        <w:tc>
          <w:tcPr>
            <w:tcW w:w="427" w:type="dxa"/>
            <w:shd w:val="clear" w:color="auto" w:fill="auto"/>
            <w:vAlign w:val="center"/>
          </w:tcPr>
          <w:p w14:paraId="3ED802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w:t>
            </w:r>
          </w:p>
        </w:tc>
        <w:tc>
          <w:tcPr>
            <w:tcW w:w="427" w:type="dxa"/>
            <w:shd w:val="clear" w:color="auto" w:fill="auto"/>
            <w:vAlign w:val="center"/>
          </w:tcPr>
          <w:p w14:paraId="4B2D02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w:t>
            </w:r>
          </w:p>
        </w:tc>
        <w:tc>
          <w:tcPr>
            <w:tcW w:w="860" w:type="dxa"/>
            <w:shd w:val="clear" w:color="auto" w:fill="auto"/>
            <w:vAlign w:val="center"/>
          </w:tcPr>
          <w:p w14:paraId="2C77A8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14D056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29AFFD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w:t>
            </w:r>
          </w:p>
        </w:tc>
        <w:tc>
          <w:tcPr>
            <w:tcW w:w="427" w:type="dxa"/>
            <w:shd w:val="clear" w:color="auto" w:fill="auto"/>
            <w:vAlign w:val="center"/>
          </w:tcPr>
          <w:p w14:paraId="05CBB9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16ECEA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w:t>
            </w:r>
          </w:p>
        </w:tc>
        <w:tc>
          <w:tcPr>
            <w:tcW w:w="427" w:type="dxa"/>
            <w:shd w:val="clear" w:color="auto" w:fill="auto"/>
            <w:vAlign w:val="center"/>
          </w:tcPr>
          <w:p w14:paraId="6245D9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w:t>
            </w:r>
          </w:p>
        </w:tc>
        <w:tc>
          <w:tcPr>
            <w:tcW w:w="1357" w:type="dxa"/>
            <w:shd w:val="clear" w:color="auto" w:fill="auto"/>
            <w:vAlign w:val="center"/>
          </w:tcPr>
          <w:p w14:paraId="4814E0F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0AE59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1" w:type="dxa"/>
            <w:shd w:val="clear" w:color="auto" w:fill="auto"/>
            <w:vAlign w:val="center"/>
          </w:tcPr>
          <w:p w14:paraId="202072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二栋</w:t>
            </w:r>
          </w:p>
        </w:tc>
        <w:tc>
          <w:tcPr>
            <w:tcW w:w="0" w:type="auto"/>
            <w:shd w:val="clear" w:color="auto" w:fill="auto"/>
            <w:noWrap/>
            <w:vAlign w:val="center"/>
          </w:tcPr>
          <w:p w14:paraId="443F1B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注塑机30</w:t>
            </w:r>
          </w:p>
        </w:tc>
        <w:tc>
          <w:tcPr>
            <w:tcW w:w="0" w:type="auto"/>
            <w:shd w:val="clear" w:color="auto" w:fill="auto"/>
            <w:noWrap/>
            <w:vAlign w:val="center"/>
          </w:tcPr>
          <w:p w14:paraId="1BDB36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2B7A8F06">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39D039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w:t>
            </w:r>
          </w:p>
        </w:tc>
        <w:tc>
          <w:tcPr>
            <w:tcW w:w="496" w:type="dxa"/>
            <w:shd w:val="clear" w:color="auto" w:fill="auto"/>
            <w:noWrap/>
            <w:vAlign w:val="center"/>
          </w:tcPr>
          <w:p w14:paraId="256257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480" w:type="dxa"/>
            <w:shd w:val="clear" w:color="auto" w:fill="auto"/>
            <w:noWrap/>
            <w:vAlign w:val="center"/>
          </w:tcPr>
          <w:p w14:paraId="259194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315B25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427" w:type="dxa"/>
            <w:shd w:val="clear" w:color="auto" w:fill="auto"/>
            <w:vAlign w:val="center"/>
          </w:tcPr>
          <w:p w14:paraId="44D513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w:t>
            </w:r>
          </w:p>
        </w:tc>
        <w:tc>
          <w:tcPr>
            <w:tcW w:w="427" w:type="dxa"/>
            <w:shd w:val="clear" w:color="auto" w:fill="auto"/>
            <w:vAlign w:val="center"/>
          </w:tcPr>
          <w:p w14:paraId="5B1EC1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585" w:type="dxa"/>
            <w:shd w:val="clear" w:color="auto" w:fill="auto"/>
            <w:vAlign w:val="center"/>
          </w:tcPr>
          <w:p w14:paraId="185F5B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25.2</w:t>
            </w:r>
          </w:p>
        </w:tc>
        <w:tc>
          <w:tcPr>
            <w:tcW w:w="427" w:type="dxa"/>
            <w:shd w:val="clear" w:color="auto" w:fill="auto"/>
            <w:vAlign w:val="center"/>
          </w:tcPr>
          <w:p w14:paraId="10C114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57</w:t>
            </w:r>
          </w:p>
        </w:tc>
        <w:tc>
          <w:tcPr>
            <w:tcW w:w="427" w:type="dxa"/>
            <w:shd w:val="clear" w:color="auto" w:fill="auto"/>
            <w:vAlign w:val="center"/>
          </w:tcPr>
          <w:p w14:paraId="7EB116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427" w:type="dxa"/>
            <w:shd w:val="clear" w:color="auto" w:fill="auto"/>
            <w:vAlign w:val="center"/>
          </w:tcPr>
          <w:p w14:paraId="1FBBC5E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w:t>
            </w:r>
          </w:p>
        </w:tc>
        <w:tc>
          <w:tcPr>
            <w:tcW w:w="427" w:type="dxa"/>
            <w:shd w:val="clear" w:color="auto" w:fill="auto"/>
            <w:vAlign w:val="center"/>
          </w:tcPr>
          <w:p w14:paraId="56D630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w:t>
            </w:r>
          </w:p>
        </w:tc>
        <w:tc>
          <w:tcPr>
            <w:tcW w:w="860" w:type="dxa"/>
            <w:shd w:val="clear" w:color="auto" w:fill="auto"/>
            <w:vAlign w:val="center"/>
          </w:tcPr>
          <w:p w14:paraId="3F20F0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326A79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718FA2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w:t>
            </w:r>
          </w:p>
        </w:tc>
        <w:tc>
          <w:tcPr>
            <w:tcW w:w="427" w:type="dxa"/>
            <w:shd w:val="clear" w:color="auto" w:fill="auto"/>
            <w:vAlign w:val="center"/>
          </w:tcPr>
          <w:p w14:paraId="600281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w:t>
            </w:r>
          </w:p>
        </w:tc>
        <w:tc>
          <w:tcPr>
            <w:tcW w:w="427" w:type="dxa"/>
            <w:shd w:val="clear" w:color="auto" w:fill="auto"/>
            <w:vAlign w:val="center"/>
          </w:tcPr>
          <w:p w14:paraId="05FDEBA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w:t>
            </w:r>
          </w:p>
        </w:tc>
        <w:tc>
          <w:tcPr>
            <w:tcW w:w="427" w:type="dxa"/>
            <w:shd w:val="clear" w:color="auto" w:fill="auto"/>
            <w:vAlign w:val="center"/>
          </w:tcPr>
          <w:p w14:paraId="1B02415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w:t>
            </w:r>
          </w:p>
        </w:tc>
        <w:tc>
          <w:tcPr>
            <w:tcW w:w="1357" w:type="dxa"/>
            <w:shd w:val="clear" w:color="auto" w:fill="auto"/>
            <w:vAlign w:val="center"/>
          </w:tcPr>
          <w:p w14:paraId="1986B2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1C46D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81" w:type="dxa"/>
            <w:shd w:val="clear" w:color="auto" w:fill="auto"/>
            <w:vAlign w:val="center"/>
          </w:tcPr>
          <w:p w14:paraId="4DF783F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二栋</w:t>
            </w:r>
          </w:p>
        </w:tc>
        <w:tc>
          <w:tcPr>
            <w:tcW w:w="0" w:type="auto"/>
            <w:shd w:val="clear" w:color="auto" w:fill="auto"/>
            <w:noWrap/>
            <w:vAlign w:val="center"/>
          </w:tcPr>
          <w:p w14:paraId="032BC0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注塑机31</w:t>
            </w:r>
          </w:p>
        </w:tc>
        <w:tc>
          <w:tcPr>
            <w:tcW w:w="0" w:type="auto"/>
            <w:shd w:val="clear" w:color="auto" w:fill="auto"/>
            <w:noWrap/>
            <w:vAlign w:val="center"/>
          </w:tcPr>
          <w:p w14:paraId="4839EF6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46F20564">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0C5CEE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w:t>
            </w:r>
          </w:p>
        </w:tc>
        <w:tc>
          <w:tcPr>
            <w:tcW w:w="496" w:type="dxa"/>
            <w:shd w:val="clear" w:color="auto" w:fill="auto"/>
            <w:noWrap/>
            <w:vAlign w:val="center"/>
          </w:tcPr>
          <w:p w14:paraId="729293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480" w:type="dxa"/>
            <w:shd w:val="clear" w:color="auto" w:fill="auto"/>
            <w:noWrap/>
            <w:vAlign w:val="center"/>
          </w:tcPr>
          <w:p w14:paraId="71420F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381944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427" w:type="dxa"/>
            <w:shd w:val="clear" w:color="auto" w:fill="auto"/>
            <w:vAlign w:val="center"/>
          </w:tcPr>
          <w:p w14:paraId="454B96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57</w:t>
            </w:r>
          </w:p>
        </w:tc>
        <w:tc>
          <w:tcPr>
            <w:tcW w:w="427" w:type="dxa"/>
            <w:shd w:val="clear" w:color="auto" w:fill="auto"/>
            <w:vAlign w:val="center"/>
          </w:tcPr>
          <w:p w14:paraId="024887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585" w:type="dxa"/>
            <w:shd w:val="clear" w:color="auto" w:fill="auto"/>
            <w:vAlign w:val="center"/>
          </w:tcPr>
          <w:p w14:paraId="0C4C46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23.2</w:t>
            </w:r>
          </w:p>
        </w:tc>
        <w:tc>
          <w:tcPr>
            <w:tcW w:w="427" w:type="dxa"/>
            <w:shd w:val="clear" w:color="auto" w:fill="auto"/>
            <w:vAlign w:val="center"/>
          </w:tcPr>
          <w:p w14:paraId="5E4467E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57</w:t>
            </w:r>
          </w:p>
        </w:tc>
        <w:tc>
          <w:tcPr>
            <w:tcW w:w="427" w:type="dxa"/>
            <w:shd w:val="clear" w:color="auto" w:fill="auto"/>
            <w:vAlign w:val="center"/>
          </w:tcPr>
          <w:p w14:paraId="0EAAB9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427" w:type="dxa"/>
            <w:shd w:val="clear" w:color="auto" w:fill="auto"/>
            <w:vAlign w:val="center"/>
          </w:tcPr>
          <w:p w14:paraId="59A21D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w:t>
            </w:r>
          </w:p>
        </w:tc>
        <w:tc>
          <w:tcPr>
            <w:tcW w:w="427" w:type="dxa"/>
            <w:shd w:val="clear" w:color="auto" w:fill="auto"/>
            <w:vAlign w:val="center"/>
          </w:tcPr>
          <w:p w14:paraId="5D9590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w:t>
            </w:r>
          </w:p>
        </w:tc>
        <w:tc>
          <w:tcPr>
            <w:tcW w:w="860" w:type="dxa"/>
            <w:shd w:val="clear" w:color="auto" w:fill="auto"/>
            <w:vAlign w:val="center"/>
          </w:tcPr>
          <w:p w14:paraId="2D5F9C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59B010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4EE6668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w:t>
            </w:r>
          </w:p>
        </w:tc>
        <w:tc>
          <w:tcPr>
            <w:tcW w:w="427" w:type="dxa"/>
            <w:shd w:val="clear" w:color="auto" w:fill="auto"/>
            <w:vAlign w:val="center"/>
          </w:tcPr>
          <w:p w14:paraId="41D872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w:t>
            </w:r>
          </w:p>
        </w:tc>
        <w:tc>
          <w:tcPr>
            <w:tcW w:w="427" w:type="dxa"/>
            <w:shd w:val="clear" w:color="auto" w:fill="auto"/>
            <w:vAlign w:val="center"/>
          </w:tcPr>
          <w:p w14:paraId="622062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w:t>
            </w:r>
          </w:p>
        </w:tc>
        <w:tc>
          <w:tcPr>
            <w:tcW w:w="427" w:type="dxa"/>
            <w:shd w:val="clear" w:color="auto" w:fill="auto"/>
            <w:vAlign w:val="center"/>
          </w:tcPr>
          <w:p w14:paraId="189338B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w:t>
            </w:r>
          </w:p>
        </w:tc>
        <w:tc>
          <w:tcPr>
            <w:tcW w:w="1357" w:type="dxa"/>
            <w:shd w:val="clear" w:color="auto" w:fill="auto"/>
            <w:vAlign w:val="center"/>
          </w:tcPr>
          <w:p w14:paraId="690558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5A91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1" w:type="dxa"/>
            <w:shd w:val="clear" w:color="auto" w:fill="auto"/>
            <w:vAlign w:val="center"/>
          </w:tcPr>
          <w:p w14:paraId="096117B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二栋</w:t>
            </w:r>
          </w:p>
        </w:tc>
        <w:tc>
          <w:tcPr>
            <w:tcW w:w="0" w:type="auto"/>
            <w:shd w:val="clear" w:color="auto" w:fill="auto"/>
            <w:noWrap/>
            <w:vAlign w:val="center"/>
          </w:tcPr>
          <w:p w14:paraId="7D0E8C4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注塑机32</w:t>
            </w:r>
          </w:p>
        </w:tc>
        <w:tc>
          <w:tcPr>
            <w:tcW w:w="0" w:type="auto"/>
            <w:shd w:val="clear" w:color="auto" w:fill="auto"/>
            <w:noWrap/>
            <w:vAlign w:val="center"/>
          </w:tcPr>
          <w:p w14:paraId="38AFAB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5C942B7C">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24F654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w:t>
            </w:r>
          </w:p>
        </w:tc>
        <w:tc>
          <w:tcPr>
            <w:tcW w:w="496" w:type="dxa"/>
            <w:shd w:val="clear" w:color="auto" w:fill="auto"/>
            <w:noWrap/>
            <w:vAlign w:val="center"/>
          </w:tcPr>
          <w:p w14:paraId="79927A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w:t>
            </w:r>
          </w:p>
        </w:tc>
        <w:tc>
          <w:tcPr>
            <w:tcW w:w="480" w:type="dxa"/>
            <w:shd w:val="clear" w:color="auto" w:fill="auto"/>
            <w:noWrap/>
            <w:vAlign w:val="center"/>
          </w:tcPr>
          <w:p w14:paraId="608A0E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4DBC3C2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427" w:type="dxa"/>
            <w:shd w:val="clear" w:color="auto" w:fill="auto"/>
            <w:vAlign w:val="center"/>
          </w:tcPr>
          <w:p w14:paraId="33D6E0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p>
        </w:tc>
        <w:tc>
          <w:tcPr>
            <w:tcW w:w="427" w:type="dxa"/>
            <w:shd w:val="clear" w:color="auto" w:fill="auto"/>
            <w:vAlign w:val="center"/>
          </w:tcPr>
          <w:p w14:paraId="35A56D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585" w:type="dxa"/>
            <w:shd w:val="clear" w:color="auto" w:fill="auto"/>
            <w:vAlign w:val="center"/>
          </w:tcPr>
          <w:p w14:paraId="6A04B1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w:t>
            </w:r>
          </w:p>
        </w:tc>
        <w:tc>
          <w:tcPr>
            <w:tcW w:w="427" w:type="dxa"/>
            <w:shd w:val="clear" w:color="auto" w:fill="auto"/>
            <w:vAlign w:val="center"/>
          </w:tcPr>
          <w:p w14:paraId="35B4824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57</w:t>
            </w:r>
          </w:p>
        </w:tc>
        <w:tc>
          <w:tcPr>
            <w:tcW w:w="427" w:type="dxa"/>
            <w:shd w:val="clear" w:color="auto" w:fill="auto"/>
            <w:vAlign w:val="center"/>
          </w:tcPr>
          <w:p w14:paraId="649D21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w:t>
            </w:r>
          </w:p>
        </w:tc>
        <w:tc>
          <w:tcPr>
            <w:tcW w:w="427" w:type="dxa"/>
            <w:shd w:val="clear" w:color="auto" w:fill="auto"/>
            <w:vAlign w:val="center"/>
          </w:tcPr>
          <w:p w14:paraId="671C82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w:t>
            </w:r>
          </w:p>
        </w:tc>
        <w:tc>
          <w:tcPr>
            <w:tcW w:w="427" w:type="dxa"/>
            <w:shd w:val="clear" w:color="auto" w:fill="auto"/>
            <w:vAlign w:val="center"/>
          </w:tcPr>
          <w:p w14:paraId="4C7A52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860" w:type="dxa"/>
            <w:shd w:val="clear" w:color="auto" w:fill="auto"/>
            <w:vAlign w:val="center"/>
          </w:tcPr>
          <w:p w14:paraId="76A333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27DD4C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2173E9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w:t>
            </w:r>
          </w:p>
        </w:tc>
        <w:tc>
          <w:tcPr>
            <w:tcW w:w="427" w:type="dxa"/>
            <w:shd w:val="clear" w:color="auto" w:fill="auto"/>
            <w:vAlign w:val="center"/>
          </w:tcPr>
          <w:p w14:paraId="5DF11C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427" w:type="dxa"/>
            <w:shd w:val="clear" w:color="auto" w:fill="auto"/>
            <w:vAlign w:val="center"/>
          </w:tcPr>
          <w:p w14:paraId="35FA4E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w:t>
            </w:r>
          </w:p>
        </w:tc>
        <w:tc>
          <w:tcPr>
            <w:tcW w:w="427" w:type="dxa"/>
            <w:shd w:val="clear" w:color="auto" w:fill="auto"/>
            <w:vAlign w:val="center"/>
          </w:tcPr>
          <w:p w14:paraId="6EA561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1357" w:type="dxa"/>
            <w:shd w:val="clear" w:color="auto" w:fill="auto"/>
            <w:vAlign w:val="center"/>
          </w:tcPr>
          <w:p w14:paraId="57A372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6BF49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81" w:type="dxa"/>
            <w:shd w:val="clear" w:color="auto" w:fill="auto"/>
            <w:vAlign w:val="center"/>
          </w:tcPr>
          <w:p w14:paraId="6C1260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二栋</w:t>
            </w:r>
          </w:p>
        </w:tc>
        <w:tc>
          <w:tcPr>
            <w:tcW w:w="0" w:type="auto"/>
            <w:shd w:val="clear" w:color="auto" w:fill="auto"/>
            <w:noWrap/>
            <w:vAlign w:val="center"/>
          </w:tcPr>
          <w:p w14:paraId="6B0272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注塑机33</w:t>
            </w:r>
          </w:p>
        </w:tc>
        <w:tc>
          <w:tcPr>
            <w:tcW w:w="0" w:type="auto"/>
            <w:shd w:val="clear" w:color="auto" w:fill="auto"/>
            <w:noWrap/>
            <w:vAlign w:val="center"/>
          </w:tcPr>
          <w:p w14:paraId="7ACA75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69C84100">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167952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w:t>
            </w:r>
          </w:p>
        </w:tc>
        <w:tc>
          <w:tcPr>
            <w:tcW w:w="496" w:type="dxa"/>
            <w:shd w:val="clear" w:color="auto" w:fill="auto"/>
            <w:noWrap/>
            <w:vAlign w:val="center"/>
          </w:tcPr>
          <w:p w14:paraId="26071A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w:t>
            </w:r>
          </w:p>
        </w:tc>
        <w:tc>
          <w:tcPr>
            <w:tcW w:w="480" w:type="dxa"/>
            <w:shd w:val="clear" w:color="auto" w:fill="auto"/>
            <w:noWrap/>
            <w:vAlign w:val="center"/>
          </w:tcPr>
          <w:p w14:paraId="55A83A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10AE52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427" w:type="dxa"/>
            <w:shd w:val="clear" w:color="auto" w:fill="auto"/>
            <w:vAlign w:val="center"/>
          </w:tcPr>
          <w:p w14:paraId="1DB744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62</w:t>
            </w:r>
          </w:p>
        </w:tc>
        <w:tc>
          <w:tcPr>
            <w:tcW w:w="427" w:type="dxa"/>
            <w:shd w:val="clear" w:color="auto" w:fill="auto"/>
            <w:vAlign w:val="center"/>
          </w:tcPr>
          <w:p w14:paraId="110B2CA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585" w:type="dxa"/>
            <w:shd w:val="clear" w:color="auto" w:fill="auto"/>
            <w:vAlign w:val="center"/>
          </w:tcPr>
          <w:p w14:paraId="50253D1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18.2</w:t>
            </w:r>
          </w:p>
        </w:tc>
        <w:tc>
          <w:tcPr>
            <w:tcW w:w="427" w:type="dxa"/>
            <w:shd w:val="clear" w:color="auto" w:fill="auto"/>
            <w:vAlign w:val="center"/>
          </w:tcPr>
          <w:p w14:paraId="14BEAA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57</w:t>
            </w:r>
          </w:p>
        </w:tc>
        <w:tc>
          <w:tcPr>
            <w:tcW w:w="427" w:type="dxa"/>
            <w:shd w:val="clear" w:color="auto" w:fill="auto"/>
            <w:vAlign w:val="center"/>
          </w:tcPr>
          <w:p w14:paraId="5AC15F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w:t>
            </w:r>
          </w:p>
        </w:tc>
        <w:tc>
          <w:tcPr>
            <w:tcW w:w="427" w:type="dxa"/>
            <w:shd w:val="clear" w:color="auto" w:fill="auto"/>
            <w:vAlign w:val="center"/>
          </w:tcPr>
          <w:p w14:paraId="6820B2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w:t>
            </w:r>
          </w:p>
        </w:tc>
        <w:tc>
          <w:tcPr>
            <w:tcW w:w="427" w:type="dxa"/>
            <w:shd w:val="clear" w:color="auto" w:fill="auto"/>
            <w:vAlign w:val="center"/>
          </w:tcPr>
          <w:p w14:paraId="5E6014D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w:t>
            </w:r>
          </w:p>
        </w:tc>
        <w:tc>
          <w:tcPr>
            <w:tcW w:w="860" w:type="dxa"/>
            <w:shd w:val="clear" w:color="auto" w:fill="auto"/>
            <w:vAlign w:val="center"/>
          </w:tcPr>
          <w:p w14:paraId="5C2EE6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7B5DCD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5EB54C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w:t>
            </w:r>
          </w:p>
        </w:tc>
        <w:tc>
          <w:tcPr>
            <w:tcW w:w="427" w:type="dxa"/>
            <w:shd w:val="clear" w:color="auto" w:fill="auto"/>
            <w:vAlign w:val="center"/>
          </w:tcPr>
          <w:p w14:paraId="33B899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427" w:type="dxa"/>
            <w:shd w:val="clear" w:color="auto" w:fill="auto"/>
            <w:vAlign w:val="center"/>
          </w:tcPr>
          <w:p w14:paraId="23C303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w:t>
            </w:r>
          </w:p>
        </w:tc>
        <w:tc>
          <w:tcPr>
            <w:tcW w:w="427" w:type="dxa"/>
            <w:shd w:val="clear" w:color="auto" w:fill="auto"/>
            <w:vAlign w:val="center"/>
          </w:tcPr>
          <w:p w14:paraId="19270F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w:t>
            </w:r>
          </w:p>
        </w:tc>
        <w:tc>
          <w:tcPr>
            <w:tcW w:w="1357" w:type="dxa"/>
            <w:shd w:val="clear" w:color="auto" w:fill="auto"/>
            <w:vAlign w:val="center"/>
          </w:tcPr>
          <w:p w14:paraId="0DCE0B1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1120A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81" w:type="dxa"/>
            <w:shd w:val="clear" w:color="auto" w:fill="auto"/>
            <w:vAlign w:val="center"/>
          </w:tcPr>
          <w:p w14:paraId="4495AF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二栋</w:t>
            </w:r>
          </w:p>
        </w:tc>
        <w:tc>
          <w:tcPr>
            <w:tcW w:w="0" w:type="auto"/>
            <w:shd w:val="clear" w:color="auto" w:fill="auto"/>
            <w:noWrap/>
            <w:vAlign w:val="center"/>
          </w:tcPr>
          <w:p w14:paraId="7D7E577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注塑机34</w:t>
            </w:r>
          </w:p>
        </w:tc>
        <w:tc>
          <w:tcPr>
            <w:tcW w:w="0" w:type="auto"/>
            <w:shd w:val="clear" w:color="auto" w:fill="auto"/>
            <w:noWrap/>
            <w:vAlign w:val="center"/>
          </w:tcPr>
          <w:p w14:paraId="130EDCC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003E0838">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3D038F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w:t>
            </w:r>
          </w:p>
        </w:tc>
        <w:tc>
          <w:tcPr>
            <w:tcW w:w="496" w:type="dxa"/>
            <w:shd w:val="clear" w:color="auto" w:fill="auto"/>
            <w:noWrap/>
            <w:vAlign w:val="center"/>
          </w:tcPr>
          <w:p w14:paraId="761B0A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38</w:t>
            </w:r>
          </w:p>
        </w:tc>
        <w:tc>
          <w:tcPr>
            <w:tcW w:w="480" w:type="dxa"/>
            <w:shd w:val="clear" w:color="auto" w:fill="auto"/>
            <w:noWrap/>
            <w:vAlign w:val="center"/>
          </w:tcPr>
          <w:p w14:paraId="2CC03B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3ADBE8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427" w:type="dxa"/>
            <w:shd w:val="clear" w:color="auto" w:fill="auto"/>
            <w:vAlign w:val="center"/>
          </w:tcPr>
          <w:p w14:paraId="2E2BE2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65</w:t>
            </w:r>
          </w:p>
        </w:tc>
        <w:tc>
          <w:tcPr>
            <w:tcW w:w="427" w:type="dxa"/>
            <w:shd w:val="clear" w:color="auto" w:fill="auto"/>
            <w:vAlign w:val="center"/>
          </w:tcPr>
          <w:p w14:paraId="2BB5611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585" w:type="dxa"/>
            <w:shd w:val="clear" w:color="auto" w:fill="auto"/>
            <w:vAlign w:val="center"/>
          </w:tcPr>
          <w:p w14:paraId="14FB37B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15.2</w:t>
            </w:r>
          </w:p>
        </w:tc>
        <w:tc>
          <w:tcPr>
            <w:tcW w:w="427" w:type="dxa"/>
            <w:shd w:val="clear" w:color="auto" w:fill="auto"/>
            <w:vAlign w:val="center"/>
          </w:tcPr>
          <w:p w14:paraId="0B616B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57</w:t>
            </w:r>
          </w:p>
        </w:tc>
        <w:tc>
          <w:tcPr>
            <w:tcW w:w="427" w:type="dxa"/>
            <w:shd w:val="clear" w:color="auto" w:fill="auto"/>
            <w:vAlign w:val="center"/>
          </w:tcPr>
          <w:p w14:paraId="7EB6A4F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w:t>
            </w:r>
          </w:p>
        </w:tc>
        <w:tc>
          <w:tcPr>
            <w:tcW w:w="427" w:type="dxa"/>
            <w:shd w:val="clear" w:color="auto" w:fill="auto"/>
            <w:vAlign w:val="center"/>
          </w:tcPr>
          <w:p w14:paraId="06AC7A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w:t>
            </w:r>
          </w:p>
        </w:tc>
        <w:tc>
          <w:tcPr>
            <w:tcW w:w="427" w:type="dxa"/>
            <w:shd w:val="clear" w:color="auto" w:fill="auto"/>
            <w:vAlign w:val="center"/>
          </w:tcPr>
          <w:p w14:paraId="746252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56</w:t>
            </w:r>
          </w:p>
        </w:tc>
        <w:tc>
          <w:tcPr>
            <w:tcW w:w="860" w:type="dxa"/>
            <w:shd w:val="clear" w:color="auto" w:fill="auto"/>
            <w:vAlign w:val="center"/>
          </w:tcPr>
          <w:p w14:paraId="4ED71E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2F20C5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47A194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w:t>
            </w:r>
          </w:p>
        </w:tc>
        <w:tc>
          <w:tcPr>
            <w:tcW w:w="427" w:type="dxa"/>
            <w:shd w:val="clear" w:color="auto" w:fill="auto"/>
            <w:vAlign w:val="center"/>
          </w:tcPr>
          <w:p w14:paraId="50286C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427" w:type="dxa"/>
            <w:shd w:val="clear" w:color="auto" w:fill="auto"/>
            <w:vAlign w:val="center"/>
          </w:tcPr>
          <w:p w14:paraId="6677CD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w:t>
            </w:r>
          </w:p>
        </w:tc>
        <w:tc>
          <w:tcPr>
            <w:tcW w:w="427" w:type="dxa"/>
            <w:shd w:val="clear" w:color="auto" w:fill="auto"/>
            <w:vAlign w:val="center"/>
          </w:tcPr>
          <w:p w14:paraId="567C3E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1357" w:type="dxa"/>
            <w:shd w:val="clear" w:color="auto" w:fill="auto"/>
            <w:vAlign w:val="center"/>
          </w:tcPr>
          <w:p w14:paraId="12BDFC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2BCE1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81" w:type="dxa"/>
            <w:shd w:val="clear" w:color="auto" w:fill="auto"/>
            <w:vAlign w:val="center"/>
          </w:tcPr>
          <w:p w14:paraId="4E660E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二栋</w:t>
            </w:r>
          </w:p>
        </w:tc>
        <w:tc>
          <w:tcPr>
            <w:tcW w:w="0" w:type="auto"/>
            <w:shd w:val="clear" w:color="auto" w:fill="auto"/>
            <w:noWrap/>
            <w:vAlign w:val="center"/>
          </w:tcPr>
          <w:p w14:paraId="4722AD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注塑机35</w:t>
            </w:r>
          </w:p>
        </w:tc>
        <w:tc>
          <w:tcPr>
            <w:tcW w:w="0" w:type="auto"/>
            <w:shd w:val="clear" w:color="auto" w:fill="auto"/>
            <w:noWrap/>
            <w:vAlign w:val="center"/>
          </w:tcPr>
          <w:p w14:paraId="19B3EF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60445C69">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3B6A5F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w:t>
            </w:r>
          </w:p>
        </w:tc>
        <w:tc>
          <w:tcPr>
            <w:tcW w:w="496" w:type="dxa"/>
            <w:shd w:val="clear" w:color="auto" w:fill="auto"/>
            <w:noWrap/>
            <w:vAlign w:val="center"/>
          </w:tcPr>
          <w:p w14:paraId="05633F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w:t>
            </w:r>
          </w:p>
        </w:tc>
        <w:tc>
          <w:tcPr>
            <w:tcW w:w="480" w:type="dxa"/>
            <w:shd w:val="clear" w:color="auto" w:fill="auto"/>
            <w:noWrap/>
            <w:vAlign w:val="center"/>
          </w:tcPr>
          <w:p w14:paraId="079DA79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72C9B6D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427" w:type="dxa"/>
            <w:shd w:val="clear" w:color="auto" w:fill="auto"/>
            <w:vAlign w:val="center"/>
          </w:tcPr>
          <w:p w14:paraId="722CAA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67</w:t>
            </w:r>
          </w:p>
        </w:tc>
        <w:tc>
          <w:tcPr>
            <w:tcW w:w="427" w:type="dxa"/>
            <w:shd w:val="clear" w:color="auto" w:fill="auto"/>
            <w:vAlign w:val="center"/>
          </w:tcPr>
          <w:p w14:paraId="0D06AC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585" w:type="dxa"/>
            <w:shd w:val="clear" w:color="auto" w:fill="auto"/>
            <w:vAlign w:val="center"/>
          </w:tcPr>
          <w:p w14:paraId="6FB83C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13.2</w:t>
            </w:r>
          </w:p>
        </w:tc>
        <w:tc>
          <w:tcPr>
            <w:tcW w:w="427" w:type="dxa"/>
            <w:shd w:val="clear" w:color="auto" w:fill="auto"/>
            <w:vAlign w:val="center"/>
          </w:tcPr>
          <w:p w14:paraId="0D2CA7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57</w:t>
            </w:r>
          </w:p>
        </w:tc>
        <w:tc>
          <w:tcPr>
            <w:tcW w:w="427" w:type="dxa"/>
            <w:shd w:val="clear" w:color="auto" w:fill="auto"/>
            <w:vAlign w:val="center"/>
          </w:tcPr>
          <w:p w14:paraId="2014F6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w:t>
            </w:r>
          </w:p>
        </w:tc>
        <w:tc>
          <w:tcPr>
            <w:tcW w:w="427" w:type="dxa"/>
            <w:shd w:val="clear" w:color="auto" w:fill="auto"/>
            <w:vAlign w:val="center"/>
          </w:tcPr>
          <w:p w14:paraId="7F5208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w:t>
            </w:r>
          </w:p>
        </w:tc>
        <w:tc>
          <w:tcPr>
            <w:tcW w:w="427" w:type="dxa"/>
            <w:shd w:val="clear" w:color="auto" w:fill="auto"/>
            <w:vAlign w:val="center"/>
          </w:tcPr>
          <w:p w14:paraId="59E1C9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58</w:t>
            </w:r>
          </w:p>
        </w:tc>
        <w:tc>
          <w:tcPr>
            <w:tcW w:w="860" w:type="dxa"/>
            <w:shd w:val="clear" w:color="auto" w:fill="auto"/>
            <w:vAlign w:val="center"/>
          </w:tcPr>
          <w:p w14:paraId="52668E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15AD57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47C6B5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w:t>
            </w:r>
          </w:p>
        </w:tc>
        <w:tc>
          <w:tcPr>
            <w:tcW w:w="427" w:type="dxa"/>
            <w:shd w:val="clear" w:color="auto" w:fill="auto"/>
            <w:vAlign w:val="center"/>
          </w:tcPr>
          <w:p w14:paraId="79BB41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w:t>
            </w:r>
          </w:p>
        </w:tc>
        <w:tc>
          <w:tcPr>
            <w:tcW w:w="427" w:type="dxa"/>
            <w:shd w:val="clear" w:color="auto" w:fill="auto"/>
            <w:vAlign w:val="center"/>
          </w:tcPr>
          <w:p w14:paraId="3C64CF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w:t>
            </w:r>
          </w:p>
        </w:tc>
        <w:tc>
          <w:tcPr>
            <w:tcW w:w="427" w:type="dxa"/>
            <w:shd w:val="clear" w:color="auto" w:fill="auto"/>
            <w:vAlign w:val="center"/>
          </w:tcPr>
          <w:p w14:paraId="3D9022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w:t>
            </w:r>
          </w:p>
        </w:tc>
        <w:tc>
          <w:tcPr>
            <w:tcW w:w="1357" w:type="dxa"/>
            <w:shd w:val="clear" w:color="auto" w:fill="auto"/>
            <w:vAlign w:val="center"/>
          </w:tcPr>
          <w:p w14:paraId="2AF18B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6ED9A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81" w:type="dxa"/>
            <w:shd w:val="clear" w:color="auto" w:fill="auto"/>
            <w:vAlign w:val="center"/>
          </w:tcPr>
          <w:p w14:paraId="01FD8F7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二栋</w:t>
            </w:r>
          </w:p>
        </w:tc>
        <w:tc>
          <w:tcPr>
            <w:tcW w:w="0" w:type="auto"/>
            <w:shd w:val="clear" w:color="auto" w:fill="auto"/>
            <w:noWrap/>
            <w:vAlign w:val="center"/>
          </w:tcPr>
          <w:p w14:paraId="02F58B5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注塑机36</w:t>
            </w:r>
          </w:p>
        </w:tc>
        <w:tc>
          <w:tcPr>
            <w:tcW w:w="0" w:type="auto"/>
            <w:shd w:val="clear" w:color="auto" w:fill="auto"/>
            <w:noWrap/>
            <w:vAlign w:val="center"/>
          </w:tcPr>
          <w:p w14:paraId="39D90E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765EB60A">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74FEE8E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w:t>
            </w:r>
          </w:p>
        </w:tc>
        <w:tc>
          <w:tcPr>
            <w:tcW w:w="496" w:type="dxa"/>
            <w:shd w:val="clear" w:color="auto" w:fill="auto"/>
            <w:noWrap/>
            <w:vAlign w:val="center"/>
          </w:tcPr>
          <w:p w14:paraId="7BB7FBF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w:t>
            </w:r>
          </w:p>
        </w:tc>
        <w:tc>
          <w:tcPr>
            <w:tcW w:w="480" w:type="dxa"/>
            <w:shd w:val="clear" w:color="auto" w:fill="auto"/>
            <w:noWrap/>
            <w:vAlign w:val="center"/>
          </w:tcPr>
          <w:p w14:paraId="52D29E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594A8A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427" w:type="dxa"/>
            <w:shd w:val="clear" w:color="auto" w:fill="auto"/>
            <w:vAlign w:val="center"/>
          </w:tcPr>
          <w:p w14:paraId="1C0CFF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427" w:type="dxa"/>
            <w:shd w:val="clear" w:color="auto" w:fill="auto"/>
            <w:vAlign w:val="center"/>
          </w:tcPr>
          <w:p w14:paraId="1F09A5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w:t>
            </w:r>
          </w:p>
        </w:tc>
        <w:tc>
          <w:tcPr>
            <w:tcW w:w="585" w:type="dxa"/>
            <w:shd w:val="clear" w:color="auto" w:fill="auto"/>
            <w:vAlign w:val="center"/>
          </w:tcPr>
          <w:p w14:paraId="74B57F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72.2</w:t>
            </w:r>
          </w:p>
        </w:tc>
        <w:tc>
          <w:tcPr>
            <w:tcW w:w="427" w:type="dxa"/>
            <w:shd w:val="clear" w:color="auto" w:fill="auto"/>
            <w:vAlign w:val="center"/>
          </w:tcPr>
          <w:p w14:paraId="2571B2E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74</w:t>
            </w:r>
          </w:p>
        </w:tc>
        <w:tc>
          <w:tcPr>
            <w:tcW w:w="427" w:type="dxa"/>
            <w:shd w:val="clear" w:color="auto" w:fill="auto"/>
            <w:vAlign w:val="center"/>
          </w:tcPr>
          <w:p w14:paraId="63BCDEE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62</w:t>
            </w:r>
          </w:p>
        </w:tc>
        <w:tc>
          <w:tcPr>
            <w:tcW w:w="427" w:type="dxa"/>
            <w:shd w:val="clear" w:color="auto" w:fill="auto"/>
            <w:vAlign w:val="center"/>
          </w:tcPr>
          <w:p w14:paraId="35E440D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w:t>
            </w:r>
          </w:p>
        </w:tc>
        <w:tc>
          <w:tcPr>
            <w:tcW w:w="427" w:type="dxa"/>
            <w:shd w:val="clear" w:color="auto" w:fill="auto"/>
            <w:vAlign w:val="center"/>
          </w:tcPr>
          <w:p w14:paraId="2D4668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w:t>
            </w:r>
          </w:p>
        </w:tc>
        <w:tc>
          <w:tcPr>
            <w:tcW w:w="860" w:type="dxa"/>
            <w:shd w:val="clear" w:color="auto" w:fill="auto"/>
            <w:vAlign w:val="center"/>
          </w:tcPr>
          <w:p w14:paraId="55DB47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48400D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0DEED0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w:t>
            </w:r>
          </w:p>
        </w:tc>
        <w:tc>
          <w:tcPr>
            <w:tcW w:w="427" w:type="dxa"/>
            <w:shd w:val="clear" w:color="auto" w:fill="auto"/>
            <w:vAlign w:val="center"/>
          </w:tcPr>
          <w:p w14:paraId="1E1569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w:t>
            </w:r>
          </w:p>
        </w:tc>
        <w:tc>
          <w:tcPr>
            <w:tcW w:w="427" w:type="dxa"/>
            <w:shd w:val="clear" w:color="auto" w:fill="auto"/>
            <w:vAlign w:val="center"/>
          </w:tcPr>
          <w:p w14:paraId="445EA4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427" w:type="dxa"/>
            <w:shd w:val="clear" w:color="auto" w:fill="auto"/>
            <w:vAlign w:val="center"/>
          </w:tcPr>
          <w:p w14:paraId="2108AF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w:t>
            </w:r>
          </w:p>
        </w:tc>
        <w:tc>
          <w:tcPr>
            <w:tcW w:w="1357" w:type="dxa"/>
            <w:shd w:val="clear" w:color="auto" w:fill="auto"/>
            <w:vAlign w:val="center"/>
          </w:tcPr>
          <w:p w14:paraId="6DD224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3EA30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81" w:type="dxa"/>
            <w:shd w:val="clear" w:color="auto" w:fill="auto"/>
            <w:vAlign w:val="center"/>
          </w:tcPr>
          <w:p w14:paraId="1A55C3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二栋</w:t>
            </w:r>
          </w:p>
        </w:tc>
        <w:tc>
          <w:tcPr>
            <w:tcW w:w="0" w:type="auto"/>
            <w:shd w:val="clear" w:color="auto" w:fill="auto"/>
            <w:noWrap/>
            <w:vAlign w:val="center"/>
          </w:tcPr>
          <w:p w14:paraId="071C72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注塑机37</w:t>
            </w:r>
          </w:p>
        </w:tc>
        <w:tc>
          <w:tcPr>
            <w:tcW w:w="0" w:type="auto"/>
            <w:shd w:val="clear" w:color="auto" w:fill="auto"/>
            <w:noWrap/>
            <w:vAlign w:val="center"/>
          </w:tcPr>
          <w:p w14:paraId="1A43CA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57941104">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565898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w:t>
            </w:r>
          </w:p>
        </w:tc>
        <w:tc>
          <w:tcPr>
            <w:tcW w:w="496" w:type="dxa"/>
            <w:shd w:val="clear" w:color="auto" w:fill="auto"/>
            <w:noWrap/>
            <w:vAlign w:val="center"/>
          </w:tcPr>
          <w:p w14:paraId="3CDABE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480" w:type="dxa"/>
            <w:shd w:val="clear" w:color="auto" w:fill="auto"/>
            <w:noWrap/>
            <w:vAlign w:val="center"/>
          </w:tcPr>
          <w:p w14:paraId="1BB53D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03D852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427" w:type="dxa"/>
            <w:shd w:val="clear" w:color="auto" w:fill="auto"/>
            <w:vAlign w:val="center"/>
          </w:tcPr>
          <w:p w14:paraId="564C821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427" w:type="dxa"/>
            <w:shd w:val="clear" w:color="auto" w:fill="auto"/>
            <w:vAlign w:val="center"/>
          </w:tcPr>
          <w:p w14:paraId="29836A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585" w:type="dxa"/>
            <w:shd w:val="clear" w:color="auto" w:fill="auto"/>
            <w:vAlign w:val="center"/>
          </w:tcPr>
          <w:p w14:paraId="2A7B6E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69.2</w:t>
            </w:r>
          </w:p>
        </w:tc>
        <w:tc>
          <w:tcPr>
            <w:tcW w:w="427" w:type="dxa"/>
            <w:shd w:val="clear" w:color="auto" w:fill="auto"/>
            <w:vAlign w:val="center"/>
          </w:tcPr>
          <w:p w14:paraId="797A80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427" w:type="dxa"/>
            <w:shd w:val="clear" w:color="auto" w:fill="auto"/>
            <w:vAlign w:val="center"/>
          </w:tcPr>
          <w:p w14:paraId="6000B0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59</w:t>
            </w:r>
          </w:p>
        </w:tc>
        <w:tc>
          <w:tcPr>
            <w:tcW w:w="427" w:type="dxa"/>
            <w:shd w:val="clear" w:color="auto" w:fill="auto"/>
            <w:vAlign w:val="center"/>
          </w:tcPr>
          <w:p w14:paraId="3D8A53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w:t>
            </w:r>
          </w:p>
        </w:tc>
        <w:tc>
          <w:tcPr>
            <w:tcW w:w="427" w:type="dxa"/>
            <w:shd w:val="clear" w:color="auto" w:fill="auto"/>
            <w:vAlign w:val="center"/>
          </w:tcPr>
          <w:p w14:paraId="68C3DE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w:t>
            </w:r>
          </w:p>
        </w:tc>
        <w:tc>
          <w:tcPr>
            <w:tcW w:w="860" w:type="dxa"/>
            <w:shd w:val="clear" w:color="auto" w:fill="auto"/>
            <w:vAlign w:val="center"/>
          </w:tcPr>
          <w:p w14:paraId="7ECD50F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4F10B2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2767F8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427" w:type="dxa"/>
            <w:shd w:val="clear" w:color="auto" w:fill="auto"/>
            <w:vAlign w:val="center"/>
          </w:tcPr>
          <w:p w14:paraId="1FE275D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w:t>
            </w:r>
          </w:p>
        </w:tc>
        <w:tc>
          <w:tcPr>
            <w:tcW w:w="427" w:type="dxa"/>
            <w:shd w:val="clear" w:color="auto" w:fill="auto"/>
            <w:vAlign w:val="center"/>
          </w:tcPr>
          <w:p w14:paraId="38058B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427" w:type="dxa"/>
            <w:shd w:val="clear" w:color="auto" w:fill="auto"/>
            <w:vAlign w:val="center"/>
          </w:tcPr>
          <w:p w14:paraId="6B2101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w:t>
            </w:r>
          </w:p>
        </w:tc>
        <w:tc>
          <w:tcPr>
            <w:tcW w:w="1357" w:type="dxa"/>
            <w:shd w:val="clear" w:color="auto" w:fill="auto"/>
            <w:vAlign w:val="center"/>
          </w:tcPr>
          <w:p w14:paraId="2A1403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774B5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1" w:type="dxa"/>
            <w:shd w:val="clear" w:color="auto" w:fill="auto"/>
            <w:vAlign w:val="center"/>
          </w:tcPr>
          <w:p w14:paraId="1864A6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二栋</w:t>
            </w:r>
          </w:p>
        </w:tc>
        <w:tc>
          <w:tcPr>
            <w:tcW w:w="0" w:type="auto"/>
            <w:shd w:val="clear" w:color="auto" w:fill="auto"/>
            <w:noWrap/>
            <w:vAlign w:val="center"/>
          </w:tcPr>
          <w:p w14:paraId="3F1F9B1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注塑机38</w:t>
            </w:r>
          </w:p>
        </w:tc>
        <w:tc>
          <w:tcPr>
            <w:tcW w:w="0" w:type="auto"/>
            <w:shd w:val="clear" w:color="auto" w:fill="auto"/>
            <w:noWrap/>
            <w:vAlign w:val="center"/>
          </w:tcPr>
          <w:p w14:paraId="4CC6DD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02A2930A">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255A9A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w:t>
            </w:r>
          </w:p>
        </w:tc>
        <w:tc>
          <w:tcPr>
            <w:tcW w:w="496" w:type="dxa"/>
            <w:shd w:val="clear" w:color="auto" w:fill="auto"/>
            <w:noWrap/>
            <w:vAlign w:val="center"/>
          </w:tcPr>
          <w:p w14:paraId="0A2CA3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80" w:type="dxa"/>
            <w:shd w:val="clear" w:color="auto" w:fill="auto"/>
            <w:noWrap/>
            <w:vAlign w:val="center"/>
          </w:tcPr>
          <w:p w14:paraId="5262E1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245A0E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427" w:type="dxa"/>
            <w:shd w:val="clear" w:color="auto" w:fill="auto"/>
            <w:vAlign w:val="center"/>
          </w:tcPr>
          <w:p w14:paraId="1421F8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427" w:type="dxa"/>
            <w:shd w:val="clear" w:color="auto" w:fill="auto"/>
            <w:vAlign w:val="center"/>
          </w:tcPr>
          <w:p w14:paraId="530E3D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585" w:type="dxa"/>
            <w:shd w:val="clear" w:color="auto" w:fill="auto"/>
            <w:vAlign w:val="center"/>
          </w:tcPr>
          <w:p w14:paraId="063A8A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65.2</w:t>
            </w:r>
          </w:p>
        </w:tc>
        <w:tc>
          <w:tcPr>
            <w:tcW w:w="427" w:type="dxa"/>
            <w:shd w:val="clear" w:color="auto" w:fill="auto"/>
            <w:vAlign w:val="center"/>
          </w:tcPr>
          <w:p w14:paraId="52E006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427" w:type="dxa"/>
            <w:shd w:val="clear" w:color="auto" w:fill="auto"/>
            <w:vAlign w:val="center"/>
          </w:tcPr>
          <w:p w14:paraId="35ADA0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56</w:t>
            </w:r>
          </w:p>
        </w:tc>
        <w:tc>
          <w:tcPr>
            <w:tcW w:w="427" w:type="dxa"/>
            <w:shd w:val="clear" w:color="auto" w:fill="auto"/>
            <w:vAlign w:val="center"/>
          </w:tcPr>
          <w:p w14:paraId="60E773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w:t>
            </w:r>
          </w:p>
        </w:tc>
        <w:tc>
          <w:tcPr>
            <w:tcW w:w="427" w:type="dxa"/>
            <w:shd w:val="clear" w:color="auto" w:fill="auto"/>
            <w:vAlign w:val="center"/>
          </w:tcPr>
          <w:p w14:paraId="7FD773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w:t>
            </w:r>
          </w:p>
        </w:tc>
        <w:tc>
          <w:tcPr>
            <w:tcW w:w="860" w:type="dxa"/>
            <w:shd w:val="clear" w:color="auto" w:fill="auto"/>
            <w:vAlign w:val="center"/>
          </w:tcPr>
          <w:p w14:paraId="4D187B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28BB17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47A45A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427" w:type="dxa"/>
            <w:shd w:val="clear" w:color="auto" w:fill="auto"/>
            <w:vAlign w:val="center"/>
          </w:tcPr>
          <w:p w14:paraId="343DAB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427" w:type="dxa"/>
            <w:shd w:val="clear" w:color="auto" w:fill="auto"/>
            <w:vAlign w:val="center"/>
          </w:tcPr>
          <w:p w14:paraId="5D3434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427" w:type="dxa"/>
            <w:shd w:val="clear" w:color="auto" w:fill="auto"/>
            <w:vAlign w:val="center"/>
          </w:tcPr>
          <w:p w14:paraId="28D398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1357" w:type="dxa"/>
            <w:shd w:val="clear" w:color="auto" w:fill="auto"/>
            <w:vAlign w:val="center"/>
          </w:tcPr>
          <w:p w14:paraId="6A47D2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4E19E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81" w:type="dxa"/>
            <w:shd w:val="clear" w:color="auto" w:fill="auto"/>
            <w:vAlign w:val="center"/>
          </w:tcPr>
          <w:p w14:paraId="09F7DE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二栋</w:t>
            </w:r>
          </w:p>
        </w:tc>
        <w:tc>
          <w:tcPr>
            <w:tcW w:w="0" w:type="auto"/>
            <w:shd w:val="clear" w:color="auto" w:fill="auto"/>
            <w:noWrap/>
            <w:vAlign w:val="center"/>
          </w:tcPr>
          <w:p w14:paraId="467FC4F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注塑机39</w:t>
            </w:r>
          </w:p>
        </w:tc>
        <w:tc>
          <w:tcPr>
            <w:tcW w:w="0" w:type="auto"/>
            <w:shd w:val="clear" w:color="auto" w:fill="auto"/>
            <w:noWrap/>
            <w:vAlign w:val="center"/>
          </w:tcPr>
          <w:p w14:paraId="2BF147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00B2BE62">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78303B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w:t>
            </w:r>
          </w:p>
        </w:tc>
        <w:tc>
          <w:tcPr>
            <w:tcW w:w="496" w:type="dxa"/>
            <w:shd w:val="clear" w:color="auto" w:fill="auto"/>
            <w:noWrap/>
            <w:vAlign w:val="center"/>
          </w:tcPr>
          <w:p w14:paraId="7F0010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480" w:type="dxa"/>
            <w:shd w:val="clear" w:color="auto" w:fill="auto"/>
            <w:noWrap/>
            <w:vAlign w:val="center"/>
          </w:tcPr>
          <w:p w14:paraId="47C3BC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7E30B9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427" w:type="dxa"/>
            <w:shd w:val="clear" w:color="auto" w:fill="auto"/>
            <w:vAlign w:val="center"/>
          </w:tcPr>
          <w:p w14:paraId="55F4FF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427" w:type="dxa"/>
            <w:shd w:val="clear" w:color="auto" w:fill="auto"/>
            <w:vAlign w:val="center"/>
          </w:tcPr>
          <w:p w14:paraId="6D0D91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w:t>
            </w:r>
          </w:p>
        </w:tc>
        <w:tc>
          <w:tcPr>
            <w:tcW w:w="585" w:type="dxa"/>
            <w:shd w:val="clear" w:color="auto" w:fill="auto"/>
            <w:vAlign w:val="center"/>
          </w:tcPr>
          <w:p w14:paraId="570FE2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62.2</w:t>
            </w:r>
          </w:p>
        </w:tc>
        <w:tc>
          <w:tcPr>
            <w:tcW w:w="427" w:type="dxa"/>
            <w:shd w:val="clear" w:color="auto" w:fill="auto"/>
            <w:vAlign w:val="center"/>
          </w:tcPr>
          <w:p w14:paraId="5F4295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74</w:t>
            </w:r>
          </w:p>
        </w:tc>
        <w:tc>
          <w:tcPr>
            <w:tcW w:w="427" w:type="dxa"/>
            <w:shd w:val="clear" w:color="auto" w:fill="auto"/>
            <w:vAlign w:val="center"/>
          </w:tcPr>
          <w:p w14:paraId="5CD550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w:t>
            </w:r>
          </w:p>
        </w:tc>
        <w:tc>
          <w:tcPr>
            <w:tcW w:w="427" w:type="dxa"/>
            <w:shd w:val="clear" w:color="auto" w:fill="auto"/>
            <w:vAlign w:val="center"/>
          </w:tcPr>
          <w:p w14:paraId="6EDC87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w:t>
            </w:r>
          </w:p>
        </w:tc>
        <w:tc>
          <w:tcPr>
            <w:tcW w:w="427" w:type="dxa"/>
            <w:shd w:val="clear" w:color="auto" w:fill="auto"/>
            <w:vAlign w:val="center"/>
          </w:tcPr>
          <w:p w14:paraId="3B7EB0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w:t>
            </w:r>
          </w:p>
        </w:tc>
        <w:tc>
          <w:tcPr>
            <w:tcW w:w="860" w:type="dxa"/>
            <w:shd w:val="clear" w:color="auto" w:fill="auto"/>
            <w:vAlign w:val="center"/>
          </w:tcPr>
          <w:p w14:paraId="339365A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28CA45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5CEF9D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w:t>
            </w:r>
          </w:p>
        </w:tc>
        <w:tc>
          <w:tcPr>
            <w:tcW w:w="427" w:type="dxa"/>
            <w:shd w:val="clear" w:color="auto" w:fill="auto"/>
            <w:vAlign w:val="center"/>
          </w:tcPr>
          <w:p w14:paraId="73F499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w:t>
            </w:r>
          </w:p>
        </w:tc>
        <w:tc>
          <w:tcPr>
            <w:tcW w:w="427" w:type="dxa"/>
            <w:shd w:val="clear" w:color="auto" w:fill="auto"/>
            <w:vAlign w:val="center"/>
          </w:tcPr>
          <w:p w14:paraId="0BA0F6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427" w:type="dxa"/>
            <w:shd w:val="clear" w:color="auto" w:fill="auto"/>
            <w:vAlign w:val="center"/>
          </w:tcPr>
          <w:p w14:paraId="4B7E1B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1357" w:type="dxa"/>
            <w:shd w:val="clear" w:color="auto" w:fill="auto"/>
            <w:vAlign w:val="center"/>
          </w:tcPr>
          <w:p w14:paraId="6172166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0E9A8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81" w:type="dxa"/>
            <w:shd w:val="clear" w:color="auto" w:fill="auto"/>
            <w:vAlign w:val="center"/>
          </w:tcPr>
          <w:p w14:paraId="1A8726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二栋</w:t>
            </w:r>
          </w:p>
        </w:tc>
        <w:tc>
          <w:tcPr>
            <w:tcW w:w="0" w:type="auto"/>
            <w:shd w:val="clear" w:color="auto" w:fill="auto"/>
            <w:noWrap/>
            <w:vAlign w:val="center"/>
          </w:tcPr>
          <w:p w14:paraId="17CAC3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注塑机40</w:t>
            </w:r>
          </w:p>
        </w:tc>
        <w:tc>
          <w:tcPr>
            <w:tcW w:w="0" w:type="auto"/>
            <w:shd w:val="clear" w:color="auto" w:fill="auto"/>
            <w:noWrap/>
            <w:vAlign w:val="center"/>
          </w:tcPr>
          <w:p w14:paraId="702DFD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6A0C8F4F">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28F0ED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w:t>
            </w:r>
          </w:p>
        </w:tc>
        <w:tc>
          <w:tcPr>
            <w:tcW w:w="496" w:type="dxa"/>
            <w:shd w:val="clear" w:color="auto" w:fill="auto"/>
            <w:noWrap/>
            <w:vAlign w:val="center"/>
          </w:tcPr>
          <w:p w14:paraId="19E154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480" w:type="dxa"/>
            <w:shd w:val="clear" w:color="auto" w:fill="auto"/>
            <w:noWrap/>
            <w:vAlign w:val="center"/>
          </w:tcPr>
          <w:p w14:paraId="38AC11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4E1BB4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427" w:type="dxa"/>
            <w:shd w:val="clear" w:color="auto" w:fill="auto"/>
            <w:vAlign w:val="center"/>
          </w:tcPr>
          <w:p w14:paraId="16A08A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w:t>
            </w:r>
          </w:p>
        </w:tc>
        <w:tc>
          <w:tcPr>
            <w:tcW w:w="427" w:type="dxa"/>
            <w:shd w:val="clear" w:color="auto" w:fill="auto"/>
            <w:vAlign w:val="center"/>
          </w:tcPr>
          <w:p w14:paraId="6C752C9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585" w:type="dxa"/>
            <w:shd w:val="clear" w:color="auto" w:fill="auto"/>
            <w:vAlign w:val="center"/>
          </w:tcPr>
          <w:p w14:paraId="4B3BB8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58.2</w:t>
            </w:r>
          </w:p>
        </w:tc>
        <w:tc>
          <w:tcPr>
            <w:tcW w:w="427" w:type="dxa"/>
            <w:shd w:val="clear" w:color="auto" w:fill="auto"/>
            <w:vAlign w:val="center"/>
          </w:tcPr>
          <w:p w14:paraId="1552EC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427" w:type="dxa"/>
            <w:shd w:val="clear" w:color="auto" w:fill="auto"/>
            <w:vAlign w:val="center"/>
          </w:tcPr>
          <w:p w14:paraId="0EB39F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w:t>
            </w:r>
          </w:p>
        </w:tc>
        <w:tc>
          <w:tcPr>
            <w:tcW w:w="427" w:type="dxa"/>
            <w:shd w:val="clear" w:color="auto" w:fill="auto"/>
            <w:vAlign w:val="center"/>
          </w:tcPr>
          <w:p w14:paraId="10C790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w:t>
            </w:r>
          </w:p>
        </w:tc>
        <w:tc>
          <w:tcPr>
            <w:tcW w:w="427" w:type="dxa"/>
            <w:shd w:val="clear" w:color="auto" w:fill="auto"/>
            <w:vAlign w:val="center"/>
          </w:tcPr>
          <w:p w14:paraId="671229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860" w:type="dxa"/>
            <w:shd w:val="clear" w:color="auto" w:fill="auto"/>
            <w:vAlign w:val="center"/>
          </w:tcPr>
          <w:p w14:paraId="176DCF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51B064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6ADC3F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427" w:type="dxa"/>
            <w:shd w:val="clear" w:color="auto" w:fill="auto"/>
            <w:vAlign w:val="center"/>
          </w:tcPr>
          <w:p w14:paraId="4AB2BB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w:t>
            </w:r>
          </w:p>
        </w:tc>
        <w:tc>
          <w:tcPr>
            <w:tcW w:w="427" w:type="dxa"/>
            <w:shd w:val="clear" w:color="auto" w:fill="auto"/>
            <w:vAlign w:val="center"/>
          </w:tcPr>
          <w:p w14:paraId="3F4A2B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427" w:type="dxa"/>
            <w:shd w:val="clear" w:color="auto" w:fill="auto"/>
            <w:vAlign w:val="center"/>
          </w:tcPr>
          <w:p w14:paraId="4A44FF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w:t>
            </w:r>
          </w:p>
        </w:tc>
        <w:tc>
          <w:tcPr>
            <w:tcW w:w="1357" w:type="dxa"/>
            <w:shd w:val="clear" w:color="auto" w:fill="auto"/>
            <w:vAlign w:val="center"/>
          </w:tcPr>
          <w:p w14:paraId="6AB9B2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29B83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81" w:type="dxa"/>
            <w:shd w:val="clear" w:color="auto" w:fill="auto"/>
            <w:vAlign w:val="center"/>
          </w:tcPr>
          <w:p w14:paraId="2C0187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二栋</w:t>
            </w:r>
          </w:p>
        </w:tc>
        <w:tc>
          <w:tcPr>
            <w:tcW w:w="0" w:type="auto"/>
            <w:shd w:val="clear" w:color="auto" w:fill="auto"/>
            <w:noWrap/>
            <w:vAlign w:val="center"/>
          </w:tcPr>
          <w:p w14:paraId="371DE8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注塑机41</w:t>
            </w:r>
          </w:p>
        </w:tc>
        <w:tc>
          <w:tcPr>
            <w:tcW w:w="0" w:type="auto"/>
            <w:shd w:val="clear" w:color="auto" w:fill="auto"/>
            <w:noWrap/>
            <w:vAlign w:val="center"/>
          </w:tcPr>
          <w:p w14:paraId="76C936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266F451A">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4131E9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w:t>
            </w:r>
          </w:p>
        </w:tc>
        <w:tc>
          <w:tcPr>
            <w:tcW w:w="496" w:type="dxa"/>
            <w:shd w:val="clear" w:color="auto" w:fill="auto"/>
            <w:noWrap/>
            <w:vAlign w:val="center"/>
          </w:tcPr>
          <w:p w14:paraId="346C5A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480" w:type="dxa"/>
            <w:shd w:val="clear" w:color="auto" w:fill="auto"/>
            <w:noWrap/>
            <w:vAlign w:val="center"/>
          </w:tcPr>
          <w:p w14:paraId="5D9276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530064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427" w:type="dxa"/>
            <w:shd w:val="clear" w:color="auto" w:fill="auto"/>
            <w:vAlign w:val="center"/>
          </w:tcPr>
          <w:p w14:paraId="53E0DC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w:t>
            </w:r>
          </w:p>
        </w:tc>
        <w:tc>
          <w:tcPr>
            <w:tcW w:w="427" w:type="dxa"/>
            <w:shd w:val="clear" w:color="auto" w:fill="auto"/>
            <w:vAlign w:val="center"/>
          </w:tcPr>
          <w:p w14:paraId="1AC062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w:t>
            </w:r>
          </w:p>
        </w:tc>
        <w:tc>
          <w:tcPr>
            <w:tcW w:w="585" w:type="dxa"/>
            <w:shd w:val="clear" w:color="auto" w:fill="auto"/>
            <w:vAlign w:val="center"/>
          </w:tcPr>
          <w:p w14:paraId="7279A8E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54.2</w:t>
            </w:r>
          </w:p>
        </w:tc>
        <w:tc>
          <w:tcPr>
            <w:tcW w:w="427" w:type="dxa"/>
            <w:shd w:val="clear" w:color="auto" w:fill="auto"/>
            <w:vAlign w:val="center"/>
          </w:tcPr>
          <w:p w14:paraId="433862C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74</w:t>
            </w:r>
          </w:p>
        </w:tc>
        <w:tc>
          <w:tcPr>
            <w:tcW w:w="427" w:type="dxa"/>
            <w:shd w:val="clear" w:color="auto" w:fill="auto"/>
            <w:vAlign w:val="center"/>
          </w:tcPr>
          <w:p w14:paraId="426A74B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w:t>
            </w:r>
          </w:p>
        </w:tc>
        <w:tc>
          <w:tcPr>
            <w:tcW w:w="427" w:type="dxa"/>
            <w:shd w:val="clear" w:color="auto" w:fill="auto"/>
            <w:vAlign w:val="center"/>
          </w:tcPr>
          <w:p w14:paraId="6AF130D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w:t>
            </w:r>
          </w:p>
        </w:tc>
        <w:tc>
          <w:tcPr>
            <w:tcW w:w="427" w:type="dxa"/>
            <w:shd w:val="clear" w:color="auto" w:fill="auto"/>
            <w:vAlign w:val="center"/>
          </w:tcPr>
          <w:p w14:paraId="3C7196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860" w:type="dxa"/>
            <w:shd w:val="clear" w:color="auto" w:fill="auto"/>
            <w:vAlign w:val="center"/>
          </w:tcPr>
          <w:p w14:paraId="4F730B9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311396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09B725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w:t>
            </w:r>
          </w:p>
        </w:tc>
        <w:tc>
          <w:tcPr>
            <w:tcW w:w="427" w:type="dxa"/>
            <w:shd w:val="clear" w:color="auto" w:fill="auto"/>
            <w:vAlign w:val="center"/>
          </w:tcPr>
          <w:p w14:paraId="429FFB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w:t>
            </w:r>
          </w:p>
        </w:tc>
        <w:tc>
          <w:tcPr>
            <w:tcW w:w="427" w:type="dxa"/>
            <w:shd w:val="clear" w:color="auto" w:fill="auto"/>
            <w:vAlign w:val="center"/>
          </w:tcPr>
          <w:p w14:paraId="345263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427" w:type="dxa"/>
            <w:shd w:val="clear" w:color="auto" w:fill="auto"/>
            <w:vAlign w:val="center"/>
          </w:tcPr>
          <w:p w14:paraId="1E4422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w:t>
            </w:r>
          </w:p>
        </w:tc>
        <w:tc>
          <w:tcPr>
            <w:tcW w:w="1357" w:type="dxa"/>
            <w:shd w:val="clear" w:color="auto" w:fill="auto"/>
            <w:vAlign w:val="center"/>
          </w:tcPr>
          <w:p w14:paraId="195367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13949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1" w:type="dxa"/>
            <w:shd w:val="clear" w:color="auto" w:fill="auto"/>
            <w:vAlign w:val="center"/>
          </w:tcPr>
          <w:p w14:paraId="5C79B9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二栋</w:t>
            </w:r>
          </w:p>
        </w:tc>
        <w:tc>
          <w:tcPr>
            <w:tcW w:w="0" w:type="auto"/>
            <w:shd w:val="clear" w:color="auto" w:fill="auto"/>
            <w:noWrap/>
            <w:vAlign w:val="center"/>
          </w:tcPr>
          <w:p w14:paraId="0EE4A3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注塑机42</w:t>
            </w:r>
          </w:p>
        </w:tc>
        <w:tc>
          <w:tcPr>
            <w:tcW w:w="0" w:type="auto"/>
            <w:shd w:val="clear" w:color="auto" w:fill="auto"/>
            <w:noWrap/>
            <w:vAlign w:val="center"/>
          </w:tcPr>
          <w:p w14:paraId="3A62C1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4C2CD1EB">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7A922A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w:t>
            </w:r>
          </w:p>
        </w:tc>
        <w:tc>
          <w:tcPr>
            <w:tcW w:w="496" w:type="dxa"/>
            <w:shd w:val="clear" w:color="auto" w:fill="auto"/>
            <w:noWrap/>
            <w:vAlign w:val="center"/>
          </w:tcPr>
          <w:p w14:paraId="1D8D37D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480" w:type="dxa"/>
            <w:shd w:val="clear" w:color="auto" w:fill="auto"/>
            <w:noWrap/>
            <w:vAlign w:val="center"/>
          </w:tcPr>
          <w:p w14:paraId="59ADD6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05CAF4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427" w:type="dxa"/>
            <w:shd w:val="clear" w:color="auto" w:fill="auto"/>
            <w:vAlign w:val="center"/>
          </w:tcPr>
          <w:p w14:paraId="648836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427" w:type="dxa"/>
            <w:shd w:val="clear" w:color="auto" w:fill="auto"/>
            <w:vAlign w:val="center"/>
          </w:tcPr>
          <w:p w14:paraId="32B7F0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w:t>
            </w:r>
          </w:p>
        </w:tc>
        <w:tc>
          <w:tcPr>
            <w:tcW w:w="585" w:type="dxa"/>
            <w:shd w:val="clear" w:color="auto" w:fill="auto"/>
            <w:vAlign w:val="center"/>
          </w:tcPr>
          <w:p w14:paraId="2213EB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52.2</w:t>
            </w:r>
          </w:p>
        </w:tc>
        <w:tc>
          <w:tcPr>
            <w:tcW w:w="427" w:type="dxa"/>
            <w:shd w:val="clear" w:color="auto" w:fill="auto"/>
            <w:vAlign w:val="center"/>
          </w:tcPr>
          <w:p w14:paraId="33F7C5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74</w:t>
            </w:r>
          </w:p>
        </w:tc>
        <w:tc>
          <w:tcPr>
            <w:tcW w:w="427" w:type="dxa"/>
            <w:shd w:val="clear" w:color="auto" w:fill="auto"/>
            <w:vAlign w:val="center"/>
          </w:tcPr>
          <w:p w14:paraId="678FB8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w:t>
            </w:r>
          </w:p>
        </w:tc>
        <w:tc>
          <w:tcPr>
            <w:tcW w:w="427" w:type="dxa"/>
            <w:shd w:val="clear" w:color="auto" w:fill="auto"/>
            <w:vAlign w:val="center"/>
          </w:tcPr>
          <w:p w14:paraId="72C688A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w:t>
            </w:r>
          </w:p>
        </w:tc>
        <w:tc>
          <w:tcPr>
            <w:tcW w:w="427" w:type="dxa"/>
            <w:shd w:val="clear" w:color="auto" w:fill="auto"/>
            <w:vAlign w:val="center"/>
          </w:tcPr>
          <w:p w14:paraId="09CD4A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w:t>
            </w:r>
          </w:p>
        </w:tc>
        <w:tc>
          <w:tcPr>
            <w:tcW w:w="860" w:type="dxa"/>
            <w:shd w:val="clear" w:color="auto" w:fill="auto"/>
            <w:vAlign w:val="center"/>
          </w:tcPr>
          <w:p w14:paraId="361D46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5E8E989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59EAE97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w:t>
            </w:r>
          </w:p>
        </w:tc>
        <w:tc>
          <w:tcPr>
            <w:tcW w:w="427" w:type="dxa"/>
            <w:shd w:val="clear" w:color="auto" w:fill="auto"/>
            <w:vAlign w:val="center"/>
          </w:tcPr>
          <w:p w14:paraId="590D31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w:t>
            </w:r>
          </w:p>
        </w:tc>
        <w:tc>
          <w:tcPr>
            <w:tcW w:w="427" w:type="dxa"/>
            <w:shd w:val="clear" w:color="auto" w:fill="auto"/>
            <w:vAlign w:val="center"/>
          </w:tcPr>
          <w:p w14:paraId="76AA96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427" w:type="dxa"/>
            <w:shd w:val="clear" w:color="auto" w:fill="auto"/>
            <w:vAlign w:val="center"/>
          </w:tcPr>
          <w:p w14:paraId="5A1BE7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357" w:type="dxa"/>
            <w:shd w:val="clear" w:color="auto" w:fill="auto"/>
            <w:vAlign w:val="center"/>
          </w:tcPr>
          <w:p w14:paraId="64B94F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7F207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1" w:type="dxa"/>
            <w:shd w:val="clear" w:color="auto" w:fill="auto"/>
            <w:vAlign w:val="center"/>
          </w:tcPr>
          <w:p w14:paraId="7880075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二栋</w:t>
            </w:r>
          </w:p>
        </w:tc>
        <w:tc>
          <w:tcPr>
            <w:tcW w:w="0" w:type="auto"/>
            <w:shd w:val="clear" w:color="auto" w:fill="auto"/>
            <w:noWrap/>
            <w:vAlign w:val="center"/>
          </w:tcPr>
          <w:p w14:paraId="3E3E9D5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注塑机43</w:t>
            </w:r>
          </w:p>
        </w:tc>
        <w:tc>
          <w:tcPr>
            <w:tcW w:w="0" w:type="auto"/>
            <w:shd w:val="clear" w:color="auto" w:fill="auto"/>
            <w:noWrap/>
            <w:vAlign w:val="center"/>
          </w:tcPr>
          <w:p w14:paraId="0D8B6E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3DBFB387">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223661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w:t>
            </w:r>
          </w:p>
        </w:tc>
        <w:tc>
          <w:tcPr>
            <w:tcW w:w="496" w:type="dxa"/>
            <w:shd w:val="clear" w:color="auto" w:fill="auto"/>
            <w:noWrap/>
            <w:vAlign w:val="center"/>
          </w:tcPr>
          <w:p w14:paraId="505FBE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480" w:type="dxa"/>
            <w:shd w:val="clear" w:color="auto" w:fill="auto"/>
            <w:noWrap/>
            <w:vAlign w:val="center"/>
          </w:tcPr>
          <w:p w14:paraId="11DAC4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00A8F3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427" w:type="dxa"/>
            <w:shd w:val="clear" w:color="auto" w:fill="auto"/>
            <w:vAlign w:val="center"/>
          </w:tcPr>
          <w:p w14:paraId="1D4B57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427" w:type="dxa"/>
            <w:shd w:val="clear" w:color="auto" w:fill="auto"/>
            <w:vAlign w:val="center"/>
          </w:tcPr>
          <w:p w14:paraId="3B598D9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w:t>
            </w:r>
          </w:p>
        </w:tc>
        <w:tc>
          <w:tcPr>
            <w:tcW w:w="585" w:type="dxa"/>
            <w:shd w:val="clear" w:color="auto" w:fill="auto"/>
            <w:vAlign w:val="center"/>
          </w:tcPr>
          <w:p w14:paraId="3BB010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50.2</w:t>
            </w:r>
          </w:p>
        </w:tc>
        <w:tc>
          <w:tcPr>
            <w:tcW w:w="427" w:type="dxa"/>
            <w:shd w:val="clear" w:color="auto" w:fill="auto"/>
            <w:vAlign w:val="center"/>
          </w:tcPr>
          <w:p w14:paraId="1FB97C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427" w:type="dxa"/>
            <w:shd w:val="clear" w:color="auto" w:fill="auto"/>
            <w:vAlign w:val="center"/>
          </w:tcPr>
          <w:p w14:paraId="67B247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427" w:type="dxa"/>
            <w:shd w:val="clear" w:color="auto" w:fill="auto"/>
            <w:vAlign w:val="center"/>
          </w:tcPr>
          <w:p w14:paraId="2AE98F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w:t>
            </w:r>
          </w:p>
        </w:tc>
        <w:tc>
          <w:tcPr>
            <w:tcW w:w="427" w:type="dxa"/>
            <w:shd w:val="clear" w:color="auto" w:fill="auto"/>
            <w:vAlign w:val="center"/>
          </w:tcPr>
          <w:p w14:paraId="4748D6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w:t>
            </w:r>
          </w:p>
        </w:tc>
        <w:tc>
          <w:tcPr>
            <w:tcW w:w="860" w:type="dxa"/>
            <w:shd w:val="clear" w:color="auto" w:fill="auto"/>
            <w:vAlign w:val="center"/>
          </w:tcPr>
          <w:p w14:paraId="5CEC04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7E91692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5E1B57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427" w:type="dxa"/>
            <w:shd w:val="clear" w:color="auto" w:fill="auto"/>
            <w:vAlign w:val="center"/>
          </w:tcPr>
          <w:p w14:paraId="02C84E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427" w:type="dxa"/>
            <w:shd w:val="clear" w:color="auto" w:fill="auto"/>
            <w:vAlign w:val="center"/>
          </w:tcPr>
          <w:p w14:paraId="537A30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427" w:type="dxa"/>
            <w:shd w:val="clear" w:color="auto" w:fill="auto"/>
            <w:vAlign w:val="center"/>
          </w:tcPr>
          <w:p w14:paraId="125098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1357" w:type="dxa"/>
            <w:shd w:val="clear" w:color="auto" w:fill="auto"/>
            <w:vAlign w:val="center"/>
          </w:tcPr>
          <w:p w14:paraId="7F5EE4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3B7F6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81" w:type="dxa"/>
            <w:shd w:val="clear" w:color="auto" w:fill="auto"/>
            <w:vAlign w:val="center"/>
          </w:tcPr>
          <w:p w14:paraId="2DA717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二栋</w:t>
            </w:r>
          </w:p>
        </w:tc>
        <w:tc>
          <w:tcPr>
            <w:tcW w:w="0" w:type="auto"/>
            <w:shd w:val="clear" w:color="auto" w:fill="auto"/>
            <w:noWrap/>
            <w:vAlign w:val="center"/>
          </w:tcPr>
          <w:p w14:paraId="24FD59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注塑机44</w:t>
            </w:r>
          </w:p>
        </w:tc>
        <w:tc>
          <w:tcPr>
            <w:tcW w:w="0" w:type="auto"/>
            <w:shd w:val="clear" w:color="auto" w:fill="auto"/>
            <w:noWrap/>
            <w:vAlign w:val="center"/>
          </w:tcPr>
          <w:p w14:paraId="4D4D25B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78AF0B7B">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02FA49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w:t>
            </w:r>
          </w:p>
        </w:tc>
        <w:tc>
          <w:tcPr>
            <w:tcW w:w="496" w:type="dxa"/>
            <w:shd w:val="clear" w:color="auto" w:fill="auto"/>
            <w:noWrap/>
            <w:vAlign w:val="center"/>
          </w:tcPr>
          <w:p w14:paraId="7AF8D2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480" w:type="dxa"/>
            <w:shd w:val="clear" w:color="auto" w:fill="auto"/>
            <w:noWrap/>
            <w:vAlign w:val="center"/>
          </w:tcPr>
          <w:p w14:paraId="140CEE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4230FA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427" w:type="dxa"/>
            <w:shd w:val="clear" w:color="auto" w:fill="auto"/>
            <w:vAlign w:val="center"/>
          </w:tcPr>
          <w:p w14:paraId="2CF67C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w:t>
            </w:r>
          </w:p>
        </w:tc>
        <w:tc>
          <w:tcPr>
            <w:tcW w:w="427" w:type="dxa"/>
            <w:shd w:val="clear" w:color="auto" w:fill="auto"/>
            <w:vAlign w:val="center"/>
          </w:tcPr>
          <w:p w14:paraId="123743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585" w:type="dxa"/>
            <w:shd w:val="clear" w:color="auto" w:fill="auto"/>
            <w:vAlign w:val="center"/>
          </w:tcPr>
          <w:p w14:paraId="6E8DA3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47.2</w:t>
            </w:r>
          </w:p>
        </w:tc>
        <w:tc>
          <w:tcPr>
            <w:tcW w:w="427" w:type="dxa"/>
            <w:shd w:val="clear" w:color="auto" w:fill="auto"/>
            <w:vAlign w:val="center"/>
          </w:tcPr>
          <w:p w14:paraId="5CAC31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427" w:type="dxa"/>
            <w:shd w:val="clear" w:color="auto" w:fill="auto"/>
            <w:vAlign w:val="center"/>
          </w:tcPr>
          <w:p w14:paraId="686614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427" w:type="dxa"/>
            <w:shd w:val="clear" w:color="auto" w:fill="auto"/>
            <w:vAlign w:val="center"/>
          </w:tcPr>
          <w:p w14:paraId="6FA91D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w:t>
            </w:r>
          </w:p>
        </w:tc>
        <w:tc>
          <w:tcPr>
            <w:tcW w:w="427" w:type="dxa"/>
            <w:shd w:val="clear" w:color="auto" w:fill="auto"/>
            <w:vAlign w:val="center"/>
          </w:tcPr>
          <w:p w14:paraId="2246EA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w:t>
            </w:r>
          </w:p>
        </w:tc>
        <w:tc>
          <w:tcPr>
            <w:tcW w:w="860" w:type="dxa"/>
            <w:shd w:val="clear" w:color="auto" w:fill="auto"/>
            <w:vAlign w:val="center"/>
          </w:tcPr>
          <w:p w14:paraId="7230935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627DD0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2946F3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427" w:type="dxa"/>
            <w:shd w:val="clear" w:color="auto" w:fill="auto"/>
            <w:vAlign w:val="center"/>
          </w:tcPr>
          <w:p w14:paraId="031F9FE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427" w:type="dxa"/>
            <w:shd w:val="clear" w:color="auto" w:fill="auto"/>
            <w:vAlign w:val="center"/>
          </w:tcPr>
          <w:p w14:paraId="745B87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427" w:type="dxa"/>
            <w:shd w:val="clear" w:color="auto" w:fill="auto"/>
            <w:vAlign w:val="center"/>
          </w:tcPr>
          <w:p w14:paraId="0ED3A4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1357" w:type="dxa"/>
            <w:shd w:val="clear" w:color="auto" w:fill="auto"/>
            <w:vAlign w:val="center"/>
          </w:tcPr>
          <w:p w14:paraId="3502E5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4609D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81" w:type="dxa"/>
            <w:shd w:val="clear" w:color="auto" w:fill="auto"/>
            <w:vAlign w:val="center"/>
          </w:tcPr>
          <w:p w14:paraId="37D970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二栋</w:t>
            </w:r>
          </w:p>
        </w:tc>
        <w:tc>
          <w:tcPr>
            <w:tcW w:w="0" w:type="auto"/>
            <w:shd w:val="clear" w:color="auto" w:fill="auto"/>
            <w:noWrap/>
            <w:vAlign w:val="center"/>
          </w:tcPr>
          <w:p w14:paraId="389CAB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注塑机45</w:t>
            </w:r>
          </w:p>
        </w:tc>
        <w:tc>
          <w:tcPr>
            <w:tcW w:w="0" w:type="auto"/>
            <w:shd w:val="clear" w:color="auto" w:fill="auto"/>
            <w:noWrap/>
            <w:vAlign w:val="center"/>
          </w:tcPr>
          <w:p w14:paraId="4B9594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6A92CDE3">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5D96A7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w:t>
            </w:r>
          </w:p>
        </w:tc>
        <w:tc>
          <w:tcPr>
            <w:tcW w:w="496" w:type="dxa"/>
            <w:shd w:val="clear" w:color="auto" w:fill="auto"/>
            <w:noWrap/>
            <w:vAlign w:val="center"/>
          </w:tcPr>
          <w:p w14:paraId="7528DA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480" w:type="dxa"/>
            <w:shd w:val="clear" w:color="auto" w:fill="auto"/>
            <w:noWrap/>
            <w:vAlign w:val="center"/>
          </w:tcPr>
          <w:p w14:paraId="4C74B1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657163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427" w:type="dxa"/>
            <w:shd w:val="clear" w:color="auto" w:fill="auto"/>
            <w:vAlign w:val="center"/>
          </w:tcPr>
          <w:p w14:paraId="6C90BF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w:t>
            </w:r>
          </w:p>
        </w:tc>
        <w:tc>
          <w:tcPr>
            <w:tcW w:w="427" w:type="dxa"/>
            <w:shd w:val="clear" w:color="auto" w:fill="auto"/>
            <w:vAlign w:val="center"/>
          </w:tcPr>
          <w:p w14:paraId="09D09A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585" w:type="dxa"/>
            <w:shd w:val="clear" w:color="auto" w:fill="auto"/>
            <w:vAlign w:val="center"/>
          </w:tcPr>
          <w:p w14:paraId="71073B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45.2</w:t>
            </w:r>
          </w:p>
        </w:tc>
        <w:tc>
          <w:tcPr>
            <w:tcW w:w="427" w:type="dxa"/>
            <w:shd w:val="clear" w:color="auto" w:fill="auto"/>
            <w:vAlign w:val="center"/>
          </w:tcPr>
          <w:p w14:paraId="2A4983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427" w:type="dxa"/>
            <w:shd w:val="clear" w:color="auto" w:fill="auto"/>
            <w:vAlign w:val="center"/>
          </w:tcPr>
          <w:p w14:paraId="6CB681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w:t>
            </w:r>
          </w:p>
        </w:tc>
        <w:tc>
          <w:tcPr>
            <w:tcW w:w="427" w:type="dxa"/>
            <w:shd w:val="clear" w:color="auto" w:fill="auto"/>
            <w:vAlign w:val="center"/>
          </w:tcPr>
          <w:p w14:paraId="6C1D2A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w:t>
            </w:r>
          </w:p>
        </w:tc>
        <w:tc>
          <w:tcPr>
            <w:tcW w:w="427" w:type="dxa"/>
            <w:shd w:val="clear" w:color="auto" w:fill="auto"/>
            <w:vAlign w:val="center"/>
          </w:tcPr>
          <w:p w14:paraId="4D344C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w:t>
            </w:r>
          </w:p>
        </w:tc>
        <w:tc>
          <w:tcPr>
            <w:tcW w:w="860" w:type="dxa"/>
            <w:shd w:val="clear" w:color="auto" w:fill="auto"/>
            <w:vAlign w:val="center"/>
          </w:tcPr>
          <w:p w14:paraId="371CEE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77112F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3D3F7DF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427" w:type="dxa"/>
            <w:shd w:val="clear" w:color="auto" w:fill="auto"/>
            <w:vAlign w:val="center"/>
          </w:tcPr>
          <w:p w14:paraId="1BF6B7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427" w:type="dxa"/>
            <w:shd w:val="clear" w:color="auto" w:fill="auto"/>
            <w:vAlign w:val="center"/>
          </w:tcPr>
          <w:p w14:paraId="772CB1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427" w:type="dxa"/>
            <w:shd w:val="clear" w:color="auto" w:fill="auto"/>
            <w:vAlign w:val="center"/>
          </w:tcPr>
          <w:p w14:paraId="4E2C69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1357" w:type="dxa"/>
            <w:shd w:val="clear" w:color="auto" w:fill="auto"/>
            <w:vAlign w:val="center"/>
          </w:tcPr>
          <w:p w14:paraId="70E1F9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3EDC8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81" w:type="dxa"/>
            <w:shd w:val="clear" w:color="auto" w:fill="auto"/>
            <w:vAlign w:val="center"/>
          </w:tcPr>
          <w:p w14:paraId="4E813F2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二栋</w:t>
            </w:r>
          </w:p>
        </w:tc>
        <w:tc>
          <w:tcPr>
            <w:tcW w:w="0" w:type="auto"/>
            <w:shd w:val="clear" w:color="auto" w:fill="auto"/>
            <w:noWrap/>
            <w:vAlign w:val="center"/>
          </w:tcPr>
          <w:p w14:paraId="0239C0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注塑机46</w:t>
            </w:r>
          </w:p>
        </w:tc>
        <w:tc>
          <w:tcPr>
            <w:tcW w:w="0" w:type="auto"/>
            <w:shd w:val="clear" w:color="auto" w:fill="auto"/>
            <w:noWrap/>
            <w:vAlign w:val="center"/>
          </w:tcPr>
          <w:p w14:paraId="25C77DD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66E58CCE">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25F0E0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w:t>
            </w:r>
          </w:p>
        </w:tc>
        <w:tc>
          <w:tcPr>
            <w:tcW w:w="496" w:type="dxa"/>
            <w:shd w:val="clear" w:color="auto" w:fill="auto"/>
            <w:noWrap/>
            <w:vAlign w:val="center"/>
          </w:tcPr>
          <w:p w14:paraId="6CC4A5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w:t>
            </w:r>
          </w:p>
        </w:tc>
        <w:tc>
          <w:tcPr>
            <w:tcW w:w="480" w:type="dxa"/>
            <w:shd w:val="clear" w:color="auto" w:fill="auto"/>
            <w:noWrap/>
            <w:vAlign w:val="center"/>
          </w:tcPr>
          <w:p w14:paraId="15B596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4EB6B0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427" w:type="dxa"/>
            <w:shd w:val="clear" w:color="auto" w:fill="auto"/>
            <w:vAlign w:val="center"/>
          </w:tcPr>
          <w:p w14:paraId="704E19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w:t>
            </w:r>
          </w:p>
        </w:tc>
        <w:tc>
          <w:tcPr>
            <w:tcW w:w="427" w:type="dxa"/>
            <w:shd w:val="clear" w:color="auto" w:fill="auto"/>
            <w:vAlign w:val="center"/>
          </w:tcPr>
          <w:p w14:paraId="77896AD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585" w:type="dxa"/>
            <w:shd w:val="clear" w:color="auto" w:fill="auto"/>
            <w:vAlign w:val="center"/>
          </w:tcPr>
          <w:p w14:paraId="1AF34B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36.2</w:t>
            </w:r>
          </w:p>
        </w:tc>
        <w:tc>
          <w:tcPr>
            <w:tcW w:w="427" w:type="dxa"/>
            <w:shd w:val="clear" w:color="auto" w:fill="auto"/>
            <w:vAlign w:val="center"/>
          </w:tcPr>
          <w:p w14:paraId="4BFAD3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427" w:type="dxa"/>
            <w:shd w:val="clear" w:color="auto" w:fill="auto"/>
            <w:vAlign w:val="center"/>
          </w:tcPr>
          <w:p w14:paraId="3B9AB0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w:t>
            </w:r>
          </w:p>
        </w:tc>
        <w:tc>
          <w:tcPr>
            <w:tcW w:w="427" w:type="dxa"/>
            <w:shd w:val="clear" w:color="auto" w:fill="auto"/>
            <w:vAlign w:val="center"/>
          </w:tcPr>
          <w:p w14:paraId="286D19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w:t>
            </w:r>
          </w:p>
        </w:tc>
        <w:tc>
          <w:tcPr>
            <w:tcW w:w="427" w:type="dxa"/>
            <w:shd w:val="clear" w:color="auto" w:fill="auto"/>
            <w:vAlign w:val="center"/>
          </w:tcPr>
          <w:p w14:paraId="5CB764B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w:t>
            </w:r>
          </w:p>
        </w:tc>
        <w:tc>
          <w:tcPr>
            <w:tcW w:w="860" w:type="dxa"/>
            <w:shd w:val="clear" w:color="auto" w:fill="auto"/>
            <w:vAlign w:val="center"/>
          </w:tcPr>
          <w:p w14:paraId="406E453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7A19C0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670FEB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427" w:type="dxa"/>
            <w:shd w:val="clear" w:color="auto" w:fill="auto"/>
            <w:vAlign w:val="center"/>
          </w:tcPr>
          <w:p w14:paraId="0655DB4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427" w:type="dxa"/>
            <w:shd w:val="clear" w:color="auto" w:fill="auto"/>
            <w:vAlign w:val="center"/>
          </w:tcPr>
          <w:p w14:paraId="19FA7F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427" w:type="dxa"/>
            <w:shd w:val="clear" w:color="auto" w:fill="auto"/>
            <w:vAlign w:val="center"/>
          </w:tcPr>
          <w:p w14:paraId="55DE0A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1357" w:type="dxa"/>
            <w:shd w:val="clear" w:color="auto" w:fill="auto"/>
            <w:vAlign w:val="center"/>
          </w:tcPr>
          <w:p w14:paraId="1A43C17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49187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1" w:type="dxa"/>
            <w:shd w:val="clear" w:color="auto" w:fill="auto"/>
            <w:vAlign w:val="center"/>
          </w:tcPr>
          <w:p w14:paraId="6CCAA7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二栋</w:t>
            </w:r>
          </w:p>
        </w:tc>
        <w:tc>
          <w:tcPr>
            <w:tcW w:w="0" w:type="auto"/>
            <w:shd w:val="clear" w:color="auto" w:fill="auto"/>
            <w:noWrap/>
            <w:vAlign w:val="center"/>
          </w:tcPr>
          <w:p w14:paraId="6530DAC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注塑机47</w:t>
            </w:r>
          </w:p>
        </w:tc>
        <w:tc>
          <w:tcPr>
            <w:tcW w:w="0" w:type="auto"/>
            <w:shd w:val="clear" w:color="auto" w:fill="auto"/>
            <w:noWrap/>
            <w:vAlign w:val="center"/>
          </w:tcPr>
          <w:p w14:paraId="4BC64F7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5D3B0077">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2F8A56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w:t>
            </w:r>
          </w:p>
        </w:tc>
        <w:tc>
          <w:tcPr>
            <w:tcW w:w="496" w:type="dxa"/>
            <w:shd w:val="clear" w:color="auto" w:fill="auto"/>
            <w:noWrap/>
            <w:vAlign w:val="center"/>
          </w:tcPr>
          <w:p w14:paraId="30AF79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w:t>
            </w:r>
          </w:p>
        </w:tc>
        <w:tc>
          <w:tcPr>
            <w:tcW w:w="480" w:type="dxa"/>
            <w:shd w:val="clear" w:color="auto" w:fill="auto"/>
            <w:noWrap/>
            <w:vAlign w:val="center"/>
          </w:tcPr>
          <w:p w14:paraId="00AA15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411AD6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427" w:type="dxa"/>
            <w:shd w:val="clear" w:color="auto" w:fill="auto"/>
            <w:vAlign w:val="center"/>
          </w:tcPr>
          <w:p w14:paraId="3B07F0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w:t>
            </w:r>
          </w:p>
        </w:tc>
        <w:tc>
          <w:tcPr>
            <w:tcW w:w="427" w:type="dxa"/>
            <w:shd w:val="clear" w:color="auto" w:fill="auto"/>
            <w:vAlign w:val="center"/>
          </w:tcPr>
          <w:p w14:paraId="7D5DE1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585" w:type="dxa"/>
            <w:shd w:val="clear" w:color="auto" w:fill="auto"/>
            <w:vAlign w:val="center"/>
          </w:tcPr>
          <w:p w14:paraId="17C835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34.2</w:t>
            </w:r>
          </w:p>
        </w:tc>
        <w:tc>
          <w:tcPr>
            <w:tcW w:w="427" w:type="dxa"/>
            <w:shd w:val="clear" w:color="auto" w:fill="auto"/>
            <w:vAlign w:val="center"/>
          </w:tcPr>
          <w:p w14:paraId="1B074C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427" w:type="dxa"/>
            <w:shd w:val="clear" w:color="auto" w:fill="auto"/>
            <w:vAlign w:val="center"/>
          </w:tcPr>
          <w:p w14:paraId="3207318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w:t>
            </w:r>
          </w:p>
        </w:tc>
        <w:tc>
          <w:tcPr>
            <w:tcW w:w="427" w:type="dxa"/>
            <w:shd w:val="clear" w:color="auto" w:fill="auto"/>
            <w:vAlign w:val="center"/>
          </w:tcPr>
          <w:p w14:paraId="460AE4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w:t>
            </w:r>
          </w:p>
        </w:tc>
        <w:tc>
          <w:tcPr>
            <w:tcW w:w="427" w:type="dxa"/>
            <w:shd w:val="clear" w:color="auto" w:fill="auto"/>
            <w:vAlign w:val="center"/>
          </w:tcPr>
          <w:p w14:paraId="38CC8E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w:t>
            </w:r>
          </w:p>
        </w:tc>
        <w:tc>
          <w:tcPr>
            <w:tcW w:w="860" w:type="dxa"/>
            <w:shd w:val="clear" w:color="auto" w:fill="auto"/>
            <w:vAlign w:val="center"/>
          </w:tcPr>
          <w:p w14:paraId="71488B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281A9E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4682A17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427" w:type="dxa"/>
            <w:shd w:val="clear" w:color="auto" w:fill="auto"/>
            <w:vAlign w:val="center"/>
          </w:tcPr>
          <w:p w14:paraId="30F5ABD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427" w:type="dxa"/>
            <w:shd w:val="clear" w:color="auto" w:fill="auto"/>
            <w:vAlign w:val="center"/>
          </w:tcPr>
          <w:p w14:paraId="47DB18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427" w:type="dxa"/>
            <w:shd w:val="clear" w:color="auto" w:fill="auto"/>
            <w:vAlign w:val="center"/>
          </w:tcPr>
          <w:p w14:paraId="6D65CF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1357" w:type="dxa"/>
            <w:shd w:val="clear" w:color="auto" w:fill="auto"/>
            <w:vAlign w:val="center"/>
          </w:tcPr>
          <w:p w14:paraId="0CC2862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2F603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81" w:type="dxa"/>
            <w:shd w:val="clear" w:color="auto" w:fill="auto"/>
            <w:vAlign w:val="center"/>
          </w:tcPr>
          <w:p w14:paraId="1468DC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二栋</w:t>
            </w:r>
          </w:p>
        </w:tc>
        <w:tc>
          <w:tcPr>
            <w:tcW w:w="0" w:type="auto"/>
            <w:shd w:val="clear" w:color="auto" w:fill="auto"/>
            <w:noWrap/>
            <w:vAlign w:val="center"/>
          </w:tcPr>
          <w:p w14:paraId="2E23FA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注塑机48</w:t>
            </w:r>
          </w:p>
        </w:tc>
        <w:tc>
          <w:tcPr>
            <w:tcW w:w="0" w:type="auto"/>
            <w:shd w:val="clear" w:color="auto" w:fill="auto"/>
            <w:noWrap/>
            <w:vAlign w:val="center"/>
          </w:tcPr>
          <w:p w14:paraId="79CDF8B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210F93E6">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69C970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w:t>
            </w:r>
          </w:p>
        </w:tc>
        <w:tc>
          <w:tcPr>
            <w:tcW w:w="496" w:type="dxa"/>
            <w:shd w:val="clear" w:color="auto" w:fill="auto"/>
            <w:noWrap/>
            <w:vAlign w:val="center"/>
          </w:tcPr>
          <w:p w14:paraId="1ACEAD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w:t>
            </w:r>
          </w:p>
        </w:tc>
        <w:tc>
          <w:tcPr>
            <w:tcW w:w="480" w:type="dxa"/>
            <w:shd w:val="clear" w:color="auto" w:fill="auto"/>
            <w:noWrap/>
            <w:vAlign w:val="center"/>
          </w:tcPr>
          <w:p w14:paraId="332EEE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7BAA95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427" w:type="dxa"/>
            <w:shd w:val="clear" w:color="auto" w:fill="auto"/>
            <w:vAlign w:val="center"/>
          </w:tcPr>
          <w:p w14:paraId="1C9C97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w:t>
            </w:r>
          </w:p>
        </w:tc>
        <w:tc>
          <w:tcPr>
            <w:tcW w:w="427" w:type="dxa"/>
            <w:shd w:val="clear" w:color="auto" w:fill="auto"/>
            <w:vAlign w:val="center"/>
          </w:tcPr>
          <w:p w14:paraId="4FCDCA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w:t>
            </w:r>
          </w:p>
        </w:tc>
        <w:tc>
          <w:tcPr>
            <w:tcW w:w="585" w:type="dxa"/>
            <w:shd w:val="clear" w:color="auto" w:fill="auto"/>
            <w:vAlign w:val="center"/>
          </w:tcPr>
          <w:p w14:paraId="5750521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31.2</w:t>
            </w:r>
          </w:p>
        </w:tc>
        <w:tc>
          <w:tcPr>
            <w:tcW w:w="427" w:type="dxa"/>
            <w:shd w:val="clear" w:color="auto" w:fill="auto"/>
            <w:vAlign w:val="center"/>
          </w:tcPr>
          <w:p w14:paraId="61446B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74</w:t>
            </w:r>
          </w:p>
        </w:tc>
        <w:tc>
          <w:tcPr>
            <w:tcW w:w="427" w:type="dxa"/>
            <w:shd w:val="clear" w:color="auto" w:fill="auto"/>
            <w:vAlign w:val="center"/>
          </w:tcPr>
          <w:p w14:paraId="39D2E4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w:t>
            </w:r>
          </w:p>
        </w:tc>
        <w:tc>
          <w:tcPr>
            <w:tcW w:w="427" w:type="dxa"/>
            <w:shd w:val="clear" w:color="auto" w:fill="auto"/>
            <w:vAlign w:val="center"/>
          </w:tcPr>
          <w:p w14:paraId="71D5C5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w:t>
            </w:r>
          </w:p>
        </w:tc>
        <w:tc>
          <w:tcPr>
            <w:tcW w:w="427" w:type="dxa"/>
            <w:shd w:val="clear" w:color="auto" w:fill="auto"/>
            <w:vAlign w:val="center"/>
          </w:tcPr>
          <w:p w14:paraId="253226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860" w:type="dxa"/>
            <w:shd w:val="clear" w:color="auto" w:fill="auto"/>
            <w:vAlign w:val="center"/>
          </w:tcPr>
          <w:p w14:paraId="072F75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515444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59A928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w:t>
            </w:r>
          </w:p>
        </w:tc>
        <w:tc>
          <w:tcPr>
            <w:tcW w:w="427" w:type="dxa"/>
            <w:shd w:val="clear" w:color="auto" w:fill="auto"/>
            <w:vAlign w:val="center"/>
          </w:tcPr>
          <w:p w14:paraId="077D02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480ADC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427" w:type="dxa"/>
            <w:shd w:val="clear" w:color="auto" w:fill="auto"/>
            <w:vAlign w:val="center"/>
          </w:tcPr>
          <w:p w14:paraId="34E662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1357" w:type="dxa"/>
            <w:shd w:val="clear" w:color="auto" w:fill="auto"/>
            <w:vAlign w:val="center"/>
          </w:tcPr>
          <w:p w14:paraId="0873F1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7B8E7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1" w:type="dxa"/>
            <w:shd w:val="clear" w:color="auto" w:fill="auto"/>
            <w:vAlign w:val="center"/>
          </w:tcPr>
          <w:p w14:paraId="0F9320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二栋</w:t>
            </w:r>
          </w:p>
        </w:tc>
        <w:tc>
          <w:tcPr>
            <w:tcW w:w="0" w:type="auto"/>
            <w:shd w:val="clear" w:color="auto" w:fill="auto"/>
            <w:noWrap/>
            <w:vAlign w:val="center"/>
          </w:tcPr>
          <w:p w14:paraId="2D7351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注塑机49</w:t>
            </w:r>
          </w:p>
        </w:tc>
        <w:tc>
          <w:tcPr>
            <w:tcW w:w="0" w:type="auto"/>
            <w:shd w:val="clear" w:color="auto" w:fill="auto"/>
            <w:noWrap/>
            <w:vAlign w:val="center"/>
          </w:tcPr>
          <w:p w14:paraId="279A87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21DEDED8">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4ECC15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w:t>
            </w:r>
          </w:p>
        </w:tc>
        <w:tc>
          <w:tcPr>
            <w:tcW w:w="496" w:type="dxa"/>
            <w:shd w:val="clear" w:color="auto" w:fill="auto"/>
            <w:noWrap/>
            <w:vAlign w:val="center"/>
          </w:tcPr>
          <w:p w14:paraId="4B471D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w:t>
            </w:r>
          </w:p>
        </w:tc>
        <w:tc>
          <w:tcPr>
            <w:tcW w:w="480" w:type="dxa"/>
            <w:shd w:val="clear" w:color="auto" w:fill="auto"/>
            <w:noWrap/>
            <w:vAlign w:val="center"/>
          </w:tcPr>
          <w:p w14:paraId="21A197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342DEE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427" w:type="dxa"/>
            <w:shd w:val="clear" w:color="auto" w:fill="auto"/>
            <w:vAlign w:val="center"/>
          </w:tcPr>
          <w:p w14:paraId="3BB5E6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w:t>
            </w:r>
          </w:p>
        </w:tc>
        <w:tc>
          <w:tcPr>
            <w:tcW w:w="427" w:type="dxa"/>
            <w:shd w:val="clear" w:color="auto" w:fill="auto"/>
            <w:vAlign w:val="center"/>
          </w:tcPr>
          <w:p w14:paraId="780461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w:t>
            </w:r>
          </w:p>
        </w:tc>
        <w:tc>
          <w:tcPr>
            <w:tcW w:w="585" w:type="dxa"/>
            <w:shd w:val="clear" w:color="auto" w:fill="auto"/>
            <w:vAlign w:val="center"/>
          </w:tcPr>
          <w:p w14:paraId="4BD9B0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28.2</w:t>
            </w:r>
          </w:p>
        </w:tc>
        <w:tc>
          <w:tcPr>
            <w:tcW w:w="427" w:type="dxa"/>
            <w:shd w:val="clear" w:color="auto" w:fill="auto"/>
            <w:vAlign w:val="center"/>
          </w:tcPr>
          <w:p w14:paraId="664CBF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74</w:t>
            </w:r>
          </w:p>
        </w:tc>
        <w:tc>
          <w:tcPr>
            <w:tcW w:w="427" w:type="dxa"/>
            <w:shd w:val="clear" w:color="auto" w:fill="auto"/>
            <w:vAlign w:val="center"/>
          </w:tcPr>
          <w:p w14:paraId="23B403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w:t>
            </w:r>
          </w:p>
        </w:tc>
        <w:tc>
          <w:tcPr>
            <w:tcW w:w="427" w:type="dxa"/>
            <w:shd w:val="clear" w:color="auto" w:fill="auto"/>
            <w:vAlign w:val="center"/>
          </w:tcPr>
          <w:p w14:paraId="6BBBA7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w:t>
            </w:r>
          </w:p>
        </w:tc>
        <w:tc>
          <w:tcPr>
            <w:tcW w:w="427" w:type="dxa"/>
            <w:shd w:val="clear" w:color="auto" w:fill="auto"/>
            <w:vAlign w:val="center"/>
          </w:tcPr>
          <w:p w14:paraId="5FB59EB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w:t>
            </w:r>
          </w:p>
        </w:tc>
        <w:tc>
          <w:tcPr>
            <w:tcW w:w="860" w:type="dxa"/>
            <w:shd w:val="clear" w:color="auto" w:fill="auto"/>
            <w:vAlign w:val="center"/>
          </w:tcPr>
          <w:p w14:paraId="18628E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49ECD6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43543F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w:t>
            </w:r>
          </w:p>
        </w:tc>
        <w:tc>
          <w:tcPr>
            <w:tcW w:w="427" w:type="dxa"/>
            <w:shd w:val="clear" w:color="auto" w:fill="auto"/>
            <w:vAlign w:val="center"/>
          </w:tcPr>
          <w:p w14:paraId="5A72E8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1999EB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427" w:type="dxa"/>
            <w:shd w:val="clear" w:color="auto" w:fill="auto"/>
            <w:vAlign w:val="center"/>
          </w:tcPr>
          <w:p w14:paraId="493332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w:t>
            </w:r>
          </w:p>
        </w:tc>
        <w:tc>
          <w:tcPr>
            <w:tcW w:w="1357" w:type="dxa"/>
            <w:shd w:val="clear" w:color="auto" w:fill="auto"/>
            <w:vAlign w:val="center"/>
          </w:tcPr>
          <w:p w14:paraId="7F4B3AE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7647A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81" w:type="dxa"/>
            <w:shd w:val="clear" w:color="auto" w:fill="auto"/>
            <w:vAlign w:val="center"/>
          </w:tcPr>
          <w:p w14:paraId="334C4A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二栋</w:t>
            </w:r>
          </w:p>
        </w:tc>
        <w:tc>
          <w:tcPr>
            <w:tcW w:w="0" w:type="auto"/>
            <w:shd w:val="clear" w:color="auto" w:fill="auto"/>
            <w:noWrap/>
            <w:vAlign w:val="center"/>
          </w:tcPr>
          <w:p w14:paraId="6ACEFA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注塑机50</w:t>
            </w:r>
          </w:p>
        </w:tc>
        <w:tc>
          <w:tcPr>
            <w:tcW w:w="0" w:type="auto"/>
            <w:shd w:val="clear" w:color="auto" w:fill="auto"/>
            <w:noWrap/>
            <w:vAlign w:val="center"/>
          </w:tcPr>
          <w:p w14:paraId="191C38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7829556B">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7BC14FA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496" w:type="dxa"/>
            <w:shd w:val="clear" w:color="auto" w:fill="auto"/>
            <w:noWrap/>
            <w:vAlign w:val="center"/>
          </w:tcPr>
          <w:p w14:paraId="1A60945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w:t>
            </w:r>
          </w:p>
        </w:tc>
        <w:tc>
          <w:tcPr>
            <w:tcW w:w="480" w:type="dxa"/>
            <w:shd w:val="clear" w:color="auto" w:fill="auto"/>
            <w:noWrap/>
            <w:vAlign w:val="center"/>
          </w:tcPr>
          <w:p w14:paraId="2C884E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19B151E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27" w:type="dxa"/>
            <w:shd w:val="clear" w:color="auto" w:fill="auto"/>
            <w:vAlign w:val="center"/>
          </w:tcPr>
          <w:p w14:paraId="406E25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56</w:t>
            </w:r>
          </w:p>
        </w:tc>
        <w:tc>
          <w:tcPr>
            <w:tcW w:w="427" w:type="dxa"/>
            <w:shd w:val="clear" w:color="auto" w:fill="auto"/>
            <w:vAlign w:val="center"/>
          </w:tcPr>
          <w:p w14:paraId="4FA8D2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w:t>
            </w:r>
          </w:p>
        </w:tc>
        <w:tc>
          <w:tcPr>
            <w:tcW w:w="585" w:type="dxa"/>
            <w:shd w:val="clear" w:color="auto" w:fill="auto"/>
            <w:vAlign w:val="center"/>
          </w:tcPr>
          <w:p w14:paraId="347195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24.2</w:t>
            </w:r>
          </w:p>
        </w:tc>
        <w:tc>
          <w:tcPr>
            <w:tcW w:w="427" w:type="dxa"/>
            <w:shd w:val="clear" w:color="auto" w:fill="auto"/>
            <w:vAlign w:val="center"/>
          </w:tcPr>
          <w:p w14:paraId="3680DE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70</w:t>
            </w:r>
          </w:p>
        </w:tc>
        <w:tc>
          <w:tcPr>
            <w:tcW w:w="427" w:type="dxa"/>
            <w:shd w:val="clear" w:color="auto" w:fill="auto"/>
            <w:vAlign w:val="center"/>
          </w:tcPr>
          <w:p w14:paraId="705EBA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427" w:type="dxa"/>
            <w:shd w:val="clear" w:color="auto" w:fill="auto"/>
            <w:vAlign w:val="center"/>
          </w:tcPr>
          <w:p w14:paraId="338C7B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427" w:type="dxa"/>
            <w:shd w:val="clear" w:color="auto" w:fill="auto"/>
            <w:vAlign w:val="center"/>
          </w:tcPr>
          <w:p w14:paraId="61A577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w:t>
            </w:r>
          </w:p>
        </w:tc>
        <w:tc>
          <w:tcPr>
            <w:tcW w:w="860" w:type="dxa"/>
            <w:shd w:val="clear" w:color="auto" w:fill="auto"/>
            <w:vAlign w:val="center"/>
          </w:tcPr>
          <w:p w14:paraId="3F485D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4615ED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04B29C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w:t>
            </w:r>
          </w:p>
        </w:tc>
        <w:tc>
          <w:tcPr>
            <w:tcW w:w="427" w:type="dxa"/>
            <w:shd w:val="clear" w:color="auto" w:fill="auto"/>
            <w:vAlign w:val="center"/>
          </w:tcPr>
          <w:p w14:paraId="5915AE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w:t>
            </w:r>
          </w:p>
        </w:tc>
        <w:tc>
          <w:tcPr>
            <w:tcW w:w="427" w:type="dxa"/>
            <w:shd w:val="clear" w:color="auto" w:fill="auto"/>
            <w:vAlign w:val="center"/>
          </w:tcPr>
          <w:p w14:paraId="62D5C2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427" w:type="dxa"/>
            <w:shd w:val="clear" w:color="auto" w:fill="auto"/>
            <w:vAlign w:val="center"/>
          </w:tcPr>
          <w:p w14:paraId="34AA84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w:t>
            </w:r>
          </w:p>
        </w:tc>
        <w:tc>
          <w:tcPr>
            <w:tcW w:w="1357" w:type="dxa"/>
            <w:shd w:val="clear" w:color="auto" w:fill="auto"/>
            <w:vAlign w:val="center"/>
          </w:tcPr>
          <w:p w14:paraId="371CB8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30D7E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1" w:type="dxa"/>
            <w:shd w:val="clear" w:color="auto" w:fill="auto"/>
            <w:vAlign w:val="center"/>
          </w:tcPr>
          <w:p w14:paraId="01CAB6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二栋</w:t>
            </w:r>
          </w:p>
        </w:tc>
        <w:tc>
          <w:tcPr>
            <w:tcW w:w="0" w:type="auto"/>
            <w:shd w:val="clear" w:color="auto" w:fill="auto"/>
            <w:noWrap/>
            <w:vAlign w:val="center"/>
          </w:tcPr>
          <w:p w14:paraId="3AFECA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注塑机51</w:t>
            </w:r>
          </w:p>
        </w:tc>
        <w:tc>
          <w:tcPr>
            <w:tcW w:w="0" w:type="auto"/>
            <w:shd w:val="clear" w:color="auto" w:fill="auto"/>
            <w:noWrap/>
            <w:vAlign w:val="center"/>
          </w:tcPr>
          <w:p w14:paraId="7276F0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3294F51F">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01239D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w:t>
            </w:r>
          </w:p>
        </w:tc>
        <w:tc>
          <w:tcPr>
            <w:tcW w:w="496" w:type="dxa"/>
            <w:shd w:val="clear" w:color="auto" w:fill="auto"/>
            <w:noWrap/>
            <w:vAlign w:val="center"/>
          </w:tcPr>
          <w:p w14:paraId="40B1C0E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w:t>
            </w:r>
          </w:p>
        </w:tc>
        <w:tc>
          <w:tcPr>
            <w:tcW w:w="480" w:type="dxa"/>
            <w:shd w:val="clear" w:color="auto" w:fill="auto"/>
            <w:noWrap/>
            <w:vAlign w:val="center"/>
          </w:tcPr>
          <w:p w14:paraId="427315F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1CD6EC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427" w:type="dxa"/>
            <w:shd w:val="clear" w:color="auto" w:fill="auto"/>
            <w:vAlign w:val="center"/>
          </w:tcPr>
          <w:p w14:paraId="3BDFC0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58</w:t>
            </w:r>
          </w:p>
        </w:tc>
        <w:tc>
          <w:tcPr>
            <w:tcW w:w="427" w:type="dxa"/>
            <w:shd w:val="clear" w:color="auto" w:fill="auto"/>
            <w:vAlign w:val="center"/>
          </w:tcPr>
          <w:p w14:paraId="5C23C52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585" w:type="dxa"/>
            <w:shd w:val="clear" w:color="auto" w:fill="auto"/>
            <w:vAlign w:val="center"/>
          </w:tcPr>
          <w:p w14:paraId="2ACF91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22.2</w:t>
            </w:r>
          </w:p>
        </w:tc>
        <w:tc>
          <w:tcPr>
            <w:tcW w:w="427" w:type="dxa"/>
            <w:shd w:val="clear" w:color="auto" w:fill="auto"/>
            <w:vAlign w:val="center"/>
          </w:tcPr>
          <w:p w14:paraId="0FB37BC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427" w:type="dxa"/>
            <w:shd w:val="clear" w:color="auto" w:fill="auto"/>
            <w:vAlign w:val="center"/>
          </w:tcPr>
          <w:p w14:paraId="7F9A6F1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427" w:type="dxa"/>
            <w:shd w:val="clear" w:color="auto" w:fill="auto"/>
            <w:vAlign w:val="center"/>
          </w:tcPr>
          <w:p w14:paraId="374470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w:t>
            </w:r>
          </w:p>
        </w:tc>
        <w:tc>
          <w:tcPr>
            <w:tcW w:w="427" w:type="dxa"/>
            <w:shd w:val="clear" w:color="auto" w:fill="auto"/>
            <w:vAlign w:val="center"/>
          </w:tcPr>
          <w:p w14:paraId="3B96E4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w:t>
            </w:r>
          </w:p>
        </w:tc>
        <w:tc>
          <w:tcPr>
            <w:tcW w:w="860" w:type="dxa"/>
            <w:shd w:val="clear" w:color="auto" w:fill="auto"/>
            <w:vAlign w:val="center"/>
          </w:tcPr>
          <w:p w14:paraId="59991F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741436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041B07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427" w:type="dxa"/>
            <w:shd w:val="clear" w:color="auto" w:fill="auto"/>
            <w:vAlign w:val="center"/>
          </w:tcPr>
          <w:p w14:paraId="675876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w:t>
            </w:r>
          </w:p>
        </w:tc>
        <w:tc>
          <w:tcPr>
            <w:tcW w:w="427" w:type="dxa"/>
            <w:shd w:val="clear" w:color="auto" w:fill="auto"/>
            <w:vAlign w:val="center"/>
          </w:tcPr>
          <w:p w14:paraId="7FADA5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427" w:type="dxa"/>
            <w:shd w:val="clear" w:color="auto" w:fill="auto"/>
            <w:vAlign w:val="center"/>
          </w:tcPr>
          <w:p w14:paraId="520C03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w:t>
            </w:r>
          </w:p>
        </w:tc>
        <w:tc>
          <w:tcPr>
            <w:tcW w:w="1357" w:type="dxa"/>
            <w:shd w:val="clear" w:color="auto" w:fill="auto"/>
            <w:vAlign w:val="center"/>
          </w:tcPr>
          <w:p w14:paraId="1183F5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7C391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81" w:type="dxa"/>
            <w:shd w:val="clear" w:color="auto" w:fill="auto"/>
            <w:vAlign w:val="center"/>
          </w:tcPr>
          <w:p w14:paraId="6B707A9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二栋</w:t>
            </w:r>
          </w:p>
        </w:tc>
        <w:tc>
          <w:tcPr>
            <w:tcW w:w="0" w:type="auto"/>
            <w:shd w:val="clear" w:color="auto" w:fill="auto"/>
            <w:noWrap/>
            <w:vAlign w:val="center"/>
          </w:tcPr>
          <w:p w14:paraId="10A5E3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注塑机52</w:t>
            </w:r>
          </w:p>
        </w:tc>
        <w:tc>
          <w:tcPr>
            <w:tcW w:w="0" w:type="auto"/>
            <w:shd w:val="clear" w:color="auto" w:fill="auto"/>
            <w:noWrap/>
            <w:vAlign w:val="center"/>
          </w:tcPr>
          <w:p w14:paraId="7C5B88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21E1B8D4">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4A3C6B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496" w:type="dxa"/>
            <w:shd w:val="clear" w:color="auto" w:fill="auto"/>
            <w:noWrap/>
            <w:vAlign w:val="center"/>
          </w:tcPr>
          <w:p w14:paraId="654798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34</w:t>
            </w:r>
          </w:p>
        </w:tc>
        <w:tc>
          <w:tcPr>
            <w:tcW w:w="480" w:type="dxa"/>
            <w:shd w:val="clear" w:color="auto" w:fill="auto"/>
            <w:noWrap/>
            <w:vAlign w:val="center"/>
          </w:tcPr>
          <w:p w14:paraId="772413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412B80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427" w:type="dxa"/>
            <w:shd w:val="clear" w:color="auto" w:fill="auto"/>
            <w:vAlign w:val="center"/>
          </w:tcPr>
          <w:p w14:paraId="641B59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61</w:t>
            </w:r>
          </w:p>
        </w:tc>
        <w:tc>
          <w:tcPr>
            <w:tcW w:w="427" w:type="dxa"/>
            <w:shd w:val="clear" w:color="auto" w:fill="auto"/>
            <w:vAlign w:val="center"/>
          </w:tcPr>
          <w:p w14:paraId="5B2C8D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w:t>
            </w:r>
          </w:p>
        </w:tc>
        <w:tc>
          <w:tcPr>
            <w:tcW w:w="585" w:type="dxa"/>
            <w:shd w:val="clear" w:color="auto" w:fill="auto"/>
            <w:vAlign w:val="center"/>
          </w:tcPr>
          <w:p w14:paraId="20D5FF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19.2</w:t>
            </w:r>
          </w:p>
        </w:tc>
        <w:tc>
          <w:tcPr>
            <w:tcW w:w="427" w:type="dxa"/>
            <w:shd w:val="clear" w:color="auto" w:fill="auto"/>
            <w:vAlign w:val="center"/>
          </w:tcPr>
          <w:p w14:paraId="34C97C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70</w:t>
            </w:r>
          </w:p>
        </w:tc>
        <w:tc>
          <w:tcPr>
            <w:tcW w:w="427" w:type="dxa"/>
            <w:shd w:val="clear" w:color="auto" w:fill="auto"/>
            <w:vAlign w:val="center"/>
          </w:tcPr>
          <w:p w14:paraId="205A858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w:t>
            </w:r>
          </w:p>
        </w:tc>
        <w:tc>
          <w:tcPr>
            <w:tcW w:w="427" w:type="dxa"/>
            <w:shd w:val="clear" w:color="auto" w:fill="auto"/>
            <w:vAlign w:val="center"/>
          </w:tcPr>
          <w:p w14:paraId="68C26A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427" w:type="dxa"/>
            <w:shd w:val="clear" w:color="auto" w:fill="auto"/>
            <w:vAlign w:val="center"/>
          </w:tcPr>
          <w:p w14:paraId="64ACFA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860" w:type="dxa"/>
            <w:shd w:val="clear" w:color="auto" w:fill="auto"/>
            <w:vAlign w:val="center"/>
          </w:tcPr>
          <w:p w14:paraId="476640A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239AF6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1D9D41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w:t>
            </w:r>
          </w:p>
        </w:tc>
        <w:tc>
          <w:tcPr>
            <w:tcW w:w="427" w:type="dxa"/>
            <w:shd w:val="clear" w:color="auto" w:fill="auto"/>
            <w:vAlign w:val="center"/>
          </w:tcPr>
          <w:p w14:paraId="3149A74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427" w:type="dxa"/>
            <w:shd w:val="clear" w:color="auto" w:fill="auto"/>
            <w:vAlign w:val="center"/>
          </w:tcPr>
          <w:p w14:paraId="0CA00E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427" w:type="dxa"/>
            <w:shd w:val="clear" w:color="auto" w:fill="auto"/>
            <w:vAlign w:val="center"/>
          </w:tcPr>
          <w:p w14:paraId="03D680E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1357" w:type="dxa"/>
            <w:shd w:val="clear" w:color="auto" w:fill="auto"/>
            <w:vAlign w:val="center"/>
          </w:tcPr>
          <w:p w14:paraId="5858EE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43C5E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1" w:type="dxa"/>
            <w:shd w:val="clear" w:color="auto" w:fill="auto"/>
            <w:vAlign w:val="center"/>
          </w:tcPr>
          <w:p w14:paraId="3E9D7E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二栋</w:t>
            </w:r>
          </w:p>
        </w:tc>
        <w:tc>
          <w:tcPr>
            <w:tcW w:w="0" w:type="auto"/>
            <w:shd w:val="clear" w:color="auto" w:fill="auto"/>
            <w:noWrap/>
            <w:vAlign w:val="center"/>
          </w:tcPr>
          <w:p w14:paraId="19DACFB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注塑机53</w:t>
            </w:r>
          </w:p>
        </w:tc>
        <w:tc>
          <w:tcPr>
            <w:tcW w:w="0" w:type="auto"/>
            <w:shd w:val="clear" w:color="auto" w:fill="auto"/>
            <w:noWrap/>
            <w:vAlign w:val="center"/>
          </w:tcPr>
          <w:p w14:paraId="43B3C8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465FF5F5">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37F08E1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w:t>
            </w:r>
          </w:p>
        </w:tc>
        <w:tc>
          <w:tcPr>
            <w:tcW w:w="496" w:type="dxa"/>
            <w:shd w:val="clear" w:color="auto" w:fill="auto"/>
            <w:noWrap/>
            <w:vAlign w:val="center"/>
          </w:tcPr>
          <w:p w14:paraId="6556D8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37</w:t>
            </w:r>
          </w:p>
        </w:tc>
        <w:tc>
          <w:tcPr>
            <w:tcW w:w="480" w:type="dxa"/>
            <w:shd w:val="clear" w:color="auto" w:fill="auto"/>
            <w:noWrap/>
            <w:vAlign w:val="center"/>
          </w:tcPr>
          <w:p w14:paraId="4598C5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4FC771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427" w:type="dxa"/>
            <w:shd w:val="clear" w:color="auto" w:fill="auto"/>
            <w:vAlign w:val="center"/>
          </w:tcPr>
          <w:p w14:paraId="429604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64</w:t>
            </w:r>
          </w:p>
        </w:tc>
        <w:tc>
          <w:tcPr>
            <w:tcW w:w="427" w:type="dxa"/>
            <w:shd w:val="clear" w:color="auto" w:fill="auto"/>
            <w:vAlign w:val="center"/>
          </w:tcPr>
          <w:p w14:paraId="40BE2F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w:t>
            </w:r>
          </w:p>
        </w:tc>
        <w:tc>
          <w:tcPr>
            <w:tcW w:w="585" w:type="dxa"/>
            <w:shd w:val="clear" w:color="auto" w:fill="auto"/>
            <w:vAlign w:val="center"/>
          </w:tcPr>
          <w:p w14:paraId="109F37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16.2</w:t>
            </w:r>
          </w:p>
        </w:tc>
        <w:tc>
          <w:tcPr>
            <w:tcW w:w="427" w:type="dxa"/>
            <w:shd w:val="clear" w:color="auto" w:fill="auto"/>
            <w:vAlign w:val="center"/>
          </w:tcPr>
          <w:p w14:paraId="17A1D9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427" w:type="dxa"/>
            <w:shd w:val="clear" w:color="auto" w:fill="auto"/>
            <w:vAlign w:val="center"/>
          </w:tcPr>
          <w:p w14:paraId="039697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w:t>
            </w:r>
          </w:p>
        </w:tc>
        <w:tc>
          <w:tcPr>
            <w:tcW w:w="427" w:type="dxa"/>
            <w:shd w:val="clear" w:color="auto" w:fill="auto"/>
            <w:vAlign w:val="center"/>
          </w:tcPr>
          <w:p w14:paraId="1974BE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w:t>
            </w:r>
          </w:p>
        </w:tc>
        <w:tc>
          <w:tcPr>
            <w:tcW w:w="427" w:type="dxa"/>
            <w:shd w:val="clear" w:color="auto" w:fill="auto"/>
            <w:vAlign w:val="center"/>
          </w:tcPr>
          <w:p w14:paraId="19BADB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56</w:t>
            </w:r>
          </w:p>
        </w:tc>
        <w:tc>
          <w:tcPr>
            <w:tcW w:w="860" w:type="dxa"/>
            <w:shd w:val="clear" w:color="auto" w:fill="auto"/>
            <w:vAlign w:val="center"/>
          </w:tcPr>
          <w:p w14:paraId="667DCB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108231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16234B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427" w:type="dxa"/>
            <w:shd w:val="clear" w:color="auto" w:fill="auto"/>
            <w:vAlign w:val="center"/>
          </w:tcPr>
          <w:p w14:paraId="7A4C9F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427" w:type="dxa"/>
            <w:shd w:val="clear" w:color="auto" w:fill="auto"/>
            <w:vAlign w:val="center"/>
          </w:tcPr>
          <w:p w14:paraId="0860D8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427" w:type="dxa"/>
            <w:shd w:val="clear" w:color="auto" w:fill="auto"/>
            <w:vAlign w:val="center"/>
          </w:tcPr>
          <w:p w14:paraId="21ECC2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1357" w:type="dxa"/>
            <w:shd w:val="clear" w:color="auto" w:fill="auto"/>
            <w:vAlign w:val="center"/>
          </w:tcPr>
          <w:p w14:paraId="57C899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0BCA9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81" w:type="dxa"/>
            <w:shd w:val="clear" w:color="auto" w:fill="auto"/>
            <w:vAlign w:val="center"/>
          </w:tcPr>
          <w:p w14:paraId="2B2F6D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二栋</w:t>
            </w:r>
          </w:p>
        </w:tc>
        <w:tc>
          <w:tcPr>
            <w:tcW w:w="0" w:type="auto"/>
            <w:shd w:val="clear" w:color="auto" w:fill="auto"/>
            <w:noWrap/>
            <w:vAlign w:val="center"/>
          </w:tcPr>
          <w:p w14:paraId="459763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注塑机54</w:t>
            </w:r>
          </w:p>
        </w:tc>
        <w:tc>
          <w:tcPr>
            <w:tcW w:w="0" w:type="auto"/>
            <w:shd w:val="clear" w:color="auto" w:fill="auto"/>
            <w:noWrap/>
            <w:vAlign w:val="center"/>
          </w:tcPr>
          <w:p w14:paraId="3EE2FC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0B3C024B">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1B5FD5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w:t>
            </w:r>
          </w:p>
        </w:tc>
        <w:tc>
          <w:tcPr>
            <w:tcW w:w="496" w:type="dxa"/>
            <w:shd w:val="clear" w:color="auto" w:fill="auto"/>
            <w:noWrap/>
            <w:vAlign w:val="center"/>
          </w:tcPr>
          <w:p w14:paraId="72C4D7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w:t>
            </w:r>
          </w:p>
        </w:tc>
        <w:tc>
          <w:tcPr>
            <w:tcW w:w="480" w:type="dxa"/>
            <w:shd w:val="clear" w:color="auto" w:fill="auto"/>
            <w:noWrap/>
            <w:vAlign w:val="center"/>
          </w:tcPr>
          <w:p w14:paraId="677C7B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427" w:type="dxa"/>
            <w:shd w:val="clear" w:color="auto" w:fill="auto"/>
            <w:vAlign w:val="center"/>
          </w:tcPr>
          <w:p w14:paraId="6F51AA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427" w:type="dxa"/>
            <w:shd w:val="clear" w:color="auto" w:fill="auto"/>
            <w:vAlign w:val="center"/>
          </w:tcPr>
          <w:p w14:paraId="21B384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w:t>
            </w:r>
          </w:p>
        </w:tc>
        <w:tc>
          <w:tcPr>
            <w:tcW w:w="427" w:type="dxa"/>
            <w:shd w:val="clear" w:color="auto" w:fill="auto"/>
            <w:vAlign w:val="center"/>
          </w:tcPr>
          <w:p w14:paraId="1E2AED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585" w:type="dxa"/>
            <w:shd w:val="clear" w:color="auto" w:fill="auto"/>
            <w:vAlign w:val="center"/>
          </w:tcPr>
          <w:p w14:paraId="16902B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11.2</w:t>
            </w:r>
          </w:p>
        </w:tc>
        <w:tc>
          <w:tcPr>
            <w:tcW w:w="427" w:type="dxa"/>
            <w:shd w:val="clear" w:color="auto" w:fill="auto"/>
            <w:vAlign w:val="center"/>
          </w:tcPr>
          <w:p w14:paraId="4493DD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427" w:type="dxa"/>
            <w:shd w:val="clear" w:color="auto" w:fill="auto"/>
            <w:vAlign w:val="center"/>
          </w:tcPr>
          <w:p w14:paraId="5401E6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w:t>
            </w:r>
          </w:p>
        </w:tc>
        <w:tc>
          <w:tcPr>
            <w:tcW w:w="427" w:type="dxa"/>
            <w:shd w:val="clear" w:color="auto" w:fill="auto"/>
            <w:vAlign w:val="center"/>
          </w:tcPr>
          <w:p w14:paraId="43C39CF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w:t>
            </w:r>
          </w:p>
        </w:tc>
        <w:tc>
          <w:tcPr>
            <w:tcW w:w="427" w:type="dxa"/>
            <w:shd w:val="clear" w:color="auto" w:fill="auto"/>
            <w:vAlign w:val="center"/>
          </w:tcPr>
          <w:p w14:paraId="63EA3C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59</w:t>
            </w:r>
          </w:p>
        </w:tc>
        <w:tc>
          <w:tcPr>
            <w:tcW w:w="860" w:type="dxa"/>
            <w:shd w:val="clear" w:color="auto" w:fill="auto"/>
            <w:vAlign w:val="center"/>
          </w:tcPr>
          <w:p w14:paraId="0F6B7AE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41F769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4DBA66F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427" w:type="dxa"/>
            <w:shd w:val="clear" w:color="auto" w:fill="auto"/>
            <w:vAlign w:val="center"/>
          </w:tcPr>
          <w:p w14:paraId="704F0D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w:t>
            </w:r>
          </w:p>
        </w:tc>
        <w:tc>
          <w:tcPr>
            <w:tcW w:w="427" w:type="dxa"/>
            <w:shd w:val="clear" w:color="auto" w:fill="auto"/>
            <w:vAlign w:val="center"/>
          </w:tcPr>
          <w:p w14:paraId="4256F4B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427" w:type="dxa"/>
            <w:shd w:val="clear" w:color="auto" w:fill="auto"/>
            <w:vAlign w:val="center"/>
          </w:tcPr>
          <w:p w14:paraId="441AE0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w:t>
            </w:r>
          </w:p>
        </w:tc>
        <w:tc>
          <w:tcPr>
            <w:tcW w:w="1357" w:type="dxa"/>
            <w:shd w:val="clear" w:color="auto" w:fill="auto"/>
            <w:vAlign w:val="center"/>
          </w:tcPr>
          <w:p w14:paraId="736248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13467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1" w:type="dxa"/>
            <w:shd w:val="clear" w:color="auto" w:fill="auto"/>
            <w:vAlign w:val="center"/>
          </w:tcPr>
          <w:p w14:paraId="5AED28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一栋</w:t>
            </w:r>
          </w:p>
        </w:tc>
        <w:tc>
          <w:tcPr>
            <w:tcW w:w="0" w:type="auto"/>
            <w:shd w:val="clear" w:color="auto" w:fill="auto"/>
            <w:noWrap/>
            <w:vAlign w:val="center"/>
          </w:tcPr>
          <w:p w14:paraId="7AAFEE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移印机1</w:t>
            </w:r>
          </w:p>
        </w:tc>
        <w:tc>
          <w:tcPr>
            <w:tcW w:w="0" w:type="auto"/>
            <w:shd w:val="clear" w:color="auto" w:fill="auto"/>
            <w:noWrap/>
            <w:vAlign w:val="center"/>
          </w:tcPr>
          <w:p w14:paraId="35319A7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75455D73">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5C0C32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w:t>
            </w:r>
          </w:p>
        </w:tc>
        <w:tc>
          <w:tcPr>
            <w:tcW w:w="496" w:type="dxa"/>
            <w:shd w:val="clear" w:color="auto" w:fill="auto"/>
            <w:noWrap/>
            <w:vAlign w:val="center"/>
          </w:tcPr>
          <w:p w14:paraId="494F3E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480" w:type="dxa"/>
            <w:shd w:val="clear" w:color="auto" w:fill="auto"/>
            <w:noWrap/>
            <w:vAlign w:val="center"/>
          </w:tcPr>
          <w:p w14:paraId="2D0787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7.2</w:t>
            </w:r>
          </w:p>
        </w:tc>
        <w:tc>
          <w:tcPr>
            <w:tcW w:w="427" w:type="dxa"/>
            <w:shd w:val="clear" w:color="auto" w:fill="auto"/>
            <w:vAlign w:val="center"/>
          </w:tcPr>
          <w:p w14:paraId="0B4500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427" w:type="dxa"/>
            <w:shd w:val="clear" w:color="auto" w:fill="auto"/>
            <w:vAlign w:val="center"/>
          </w:tcPr>
          <w:p w14:paraId="7C7829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427" w:type="dxa"/>
            <w:shd w:val="clear" w:color="auto" w:fill="auto"/>
            <w:vAlign w:val="center"/>
          </w:tcPr>
          <w:p w14:paraId="62B3BC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585" w:type="dxa"/>
            <w:shd w:val="clear" w:color="auto" w:fill="auto"/>
            <w:vAlign w:val="center"/>
          </w:tcPr>
          <w:p w14:paraId="2692E2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30.2</w:t>
            </w:r>
          </w:p>
        </w:tc>
        <w:tc>
          <w:tcPr>
            <w:tcW w:w="427" w:type="dxa"/>
            <w:shd w:val="clear" w:color="auto" w:fill="auto"/>
            <w:vAlign w:val="center"/>
          </w:tcPr>
          <w:p w14:paraId="6003D2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427" w:type="dxa"/>
            <w:shd w:val="clear" w:color="auto" w:fill="auto"/>
            <w:vAlign w:val="center"/>
          </w:tcPr>
          <w:p w14:paraId="32D0E0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w:t>
            </w:r>
          </w:p>
        </w:tc>
        <w:tc>
          <w:tcPr>
            <w:tcW w:w="427" w:type="dxa"/>
            <w:shd w:val="clear" w:color="auto" w:fill="auto"/>
            <w:vAlign w:val="center"/>
          </w:tcPr>
          <w:p w14:paraId="3CDC90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64</w:t>
            </w:r>
          </w:p>
        </w:tc>
        <w:tc>
          <w:tcPr>
            <w:tcW w:w="427" w:type="dxa"/>
            <w:shd w:val="clear" w:color="auto" w:fill="auto"/>
            <w:vAlign w:val="center"/>
          </w:tcPr>
          <w:p w14:paraId="2F37EB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860" w:type="dxa"/>
            <w:shd w:val="clear" w:color="auto" w:fill="auto"/>
            <w:vAlign w:val="center"/>
          </w:tcPr>
          <w:p w14:paraId="1243BE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昼夜</w:t>
            </w:r>
          </w:p>
        </w:tc>
        <w:tc>
          <w:tcPr>
            <w:tcW w:w="1291" w:type="dxa"/>
            <w:shd w:val="clear" w:color="auto" w:fill="auto"/>
            <w:vAlign w:val="center"/>
          </w:tcPr>
          <w:p w14:paraId="5995A1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13162D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427" w:type="dxa"/>
            <w:shd w:val="clear" w:color="auto" w:fill="auto"/>
            <w:vAlign w:val="center"/>
          </w:tcPr>
          <w:p w14:paraId="1FC3AE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70F871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38</w:t>
            </w:r>
          </w:p>
        </w:tc>
        <w:tc>
          <w:tcPr>
            <w:tcW w:w="427" w:type="dxa"/>
            <w:shd w:val="clear" w:color="auto" w:fill="auto"/>
            <w:vAlign w:val="center"/>
          </w:tcPr>
          <w:p w14:paraId="7CA3661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1357" w:type="dxa"/>
            <w:shd w:val="clear" w:color="auto" w:fill="auto"/>
            <w:vAlign w:val="center"/>
          </w:tcPr>
          <w:p w14:paraId="17B48B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2A540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1" w:type="dxa"/>
            <w:shd w:val="clear" w:color="auto" w:fill="auto"/>
            <w:vAlign w:val="center"/>
          </w:tcPr>
          <w:p w14:paraId="7936D7E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一栋</w:t>
            </w:r>
          </w:p>
        </w:tc>
        <w:tc>
          <w:tcPr>
            <w:tcW w:w="0" w:type="auto"/>
            <w:shd w:val="clear" w:color="auto" w:fill="auto"/>
            <w:noWrap/>
            <w:vAlign w:val="center"/>
          </w:tcPr>
          <w:p w14:paraId="21A84E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移印机2</w:t>
            </w:r>
          </w:p>
        </w:tc>
        <w:tc>
          <w:tcPr>
            <w:tcW w:w="0" w:type="auto"/>
            <w:shd w:val="clear" w:color="auto" w:fill="auto"/>
            <w:noWrap/>
            <w:vAlign w:val="center"/>
          </w:tcPr>
          <w:p w14:paraId="016E0F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2B7BD1E3">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23BC00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w:t>
            </w:r>
          </w:p>
        </w:tc>
        <w:tc>
          <w:tcPr>
            <w:tcW w:w="496" w:type="dxa"/>
            <w:shd w:val="clear" w:color="auto" w:fill="auto"/>
            <w:noWrap/>
            <w:vAlign w:val="center"/>
          </w:tcPr>
          <w:p w14:paraId="30D256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w:t>
            </w:r>
          </w:p>
        </w:tc>
        <w:tc>
          <w:tcPr>
            <w:tcW w:w="480" w:type="dxa"/>
            <w:shd w:val="clear" w:color="auto" w:fill="auto"/>
            <w:noWrap/>
            <w:vAlign w:val="center"/>
          </w:tcPr>
          <w:p w14:paraId="7395CD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7.2</w:t>
            </w:r>
          </w:p>
        </w:tc>
        <w:tc>
          <w:tcPr>
            <w:tcW w:w="427" w:type="dxa"/>
            <w:shd w:val="clear" w:color="auto" w:fill="auto"/>
            <w:vAlign w:val="center"/>
          </w:tcPr>
          <w:p w14:paraId="7BE797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w:t>
            </w:r>
          </w:p>
        </w:tc>
        <w:tc>
          <w:tcPr>
            <w:tcW w:w="427" w:type="dxa"/>
            <w:shd w:val="clear" w:color="auto" w:fill="auto"/>
            <w:vAlign w:val="center"/>
          </w:tcPr>
          <w:p w14:paraId="0691A4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w:t>
            </w:r>
          </w:p>
        </w:tc>
        <w:tc>
          <w:tcPr>
            <w:tcW w:w="427" w:type="dxa"/>
            <w:shd w:val="clear" w:color="auto" w:fill="auto"/>
            <w:vAlign w:val="center"/>
          </w:tcPr>
          <w:p w14:paraId="7ADD3C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585" w:type="dxa"/>
            <w:shd w:val="clear" w:color="auto" w:fill="auto"/>
            <w:vAlign w:val="center"/>
          </w:tcPr>
          <w:p w14:paraId="4D396AE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27.2</w:t>
            </w:r>
          </w:p>
        </w:tc>
        <w:tc>
          <w:tcPr>
            <w:tcW w:w="427" w:type="dxa"/>
            <w:shd w:val="clear" w:color="auto" w:fill="auto"/>
            <w:vAlign w:val="center"/>
          </w:tcPr>
          <w:p w14:paraId="6F0809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427" w:type="dxa"/>
            <w:shd w:val="clear" w:color="auto" w:fill="auto"/>
            <w:vAlign w:val="center"/>
          </w:tcPr>
          <w:p w14:paraId="7E7D75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w:t>
            </w:r>
          </w:p>
        </w:tc>
        <w:tc>
          <w:tcPr>
            <w:tcW w:w="427" w:type="dxa"/>
            <w:shd w:val="clear" w:color="auto" w:fill="auto"/>
            <w:vAlign w:val="center"/>
          </w:tcPr>
          <w:p w14:paraId="7D838C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66</w:t>
            </w:r>
          </w:p>
        </w:tc>
        <w:tc>
          <w:tcPr>
            <w:tcW w:w="427" w:type="dxa"/>
            <w:shd w:val="clear" w:color="auto" w:fill="auto"/>
            <w:vAlign w:val="center"/>
          </w:tcPr>
          <w:p w14:paraId="2538E11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w:t>
            </w:r>
          </w:p>
        </w:tc>
        <w:tc>
          <w:tcPr>
            <w:tcW w:w="860" w:type="dxa"/>
            <w:shd w:val="clear" w:color="auto" w:fill="auto"/>
            <w:vAlign w:val="center"/>
          </w:tcPr>
          <w:p w14:paraId="3789ABF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昼夜</w:t>
            </w:r>
          </w:p>
        </w:tc>
        <w:tc>
          <w:tcPr>
            <w:tcW w:w="1291" w:type="dxa"/>
            <w:shd w:val="clear" w:color="auto" w:fill="auto"/>
            <w:vAlign w:val="center"/>
          </w:tcPr>
          <w:p w14:paraId="6B1AB0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05A5CD1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427" w:type="dxa"/>
            <w:shd w:val="clear" w:color="auto" w:fill="auto"/>
            <w:vAlign w:val="center"/>
          </w:tcPr>
          <w:p w14:paraId="65C65A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18FDCF5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w:t>
            </w:r>
          </w:p>
        </w:tc>
        <w:tc>
          <w:tcPr>
            <w:tcW w:w="427" w:type="dxa"/>
            <w:shd w:val="clear" w:color="auto" w:fill="auto"/>
            <w:vAlign w:val="center"/>
          </w:tcPr>
          <w:p w14:paraId="25F1C3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w:t>
            </w:r>
          </w:p>
        </w:tc>
        <w:tc>
          <w:tcPr>
            <w:tcW w:w="1357" w:type="dxa"/>
            <w:shd w:val="clear" w:color="auto" w:fill="auto"/>
            <w:vAlign w:val="center"/>
          </w:tcPr>
          <w:p w14:paraId="62720B8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369B6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81" w:type="dxa"/>
            <w:shd w:val="clear" w:color="auto" w:fill="auto"/>
            <w:vAlign w:val="center"/>
          </w:tcPr>
          <w:p w14:paraId="3AE39A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一栋</w:t>
            </w:r>
          </w:p>
        </w:tc>
        <w:tc>
          <w:tcPr>
            <w:tcW w:w="0" w:type="auto"/>
            <w:shd w:val="clear" w:color="auto" w:fill="auto"/>
            <w:noWrap/>
            <w:vAlign w:val="center"/>
          </w:tcPr>
          <w:p w14:paraId="713E1B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移印机3</w:t>
            </w:r>
          </w:p>
        </w:tc>
        <w:tc>
          <w:tcPr>
            <w:tcW w:w="0" w:type="auto"/>
            <w:shd w:val="clear" w:color="auto" w:fill="auto"/>
            <w:noWrap/>
            <w:vAlign w:val="center"/>
          </w:tcPr>
          <w:p w14:paraId="55F340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5AA2A4D2">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1684C5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w:t>
            </w:r>
          </w:p>
        </w:tc>
        <w:tc>
          <w:tcPr>
            <w:tcW w:w="496" w:type="dxa"/>
            <w:shd w:val="clear" w:color="auto" w:fill="auto"/>
            <w:noWrap/>
            <w:vAlign w:val="center"/>
          </w:tcPr>
          <w:p w14:paraId="46C79D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480" w:type="dxa"/>
            <w:shd w:val="clear" w:color="auto" w:fill="auto"/>
            <w:noWrap/>
            <w:vAlign w:val="center"/>
          </w:tcPr>
          <w:p w14:paraId="402669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7.2</w:t>
            </w:r>
          </w:p>
        </w:tc>
        <w:tc>
          <w:tcPr>
            <w:tcW w:w="427" w:type="dxa"/>
            <w:shd w:val="clear" w:color="auto" w:fill="auto"/>
            <w:vAlign w:val="center"/>
          </w:tcPr>
          <w:p w14:paraId="773D9F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w:t>
            </w:r>
          </w:p>
        </w:tc>
        <w:tc>
          <w:tcPr>
            <w:tcW w:w="427" w:type="dxa"/>
            <w:shd w:val="clear" w:color="auto" w:fill="auto"/>
            <w:vAlign w:val="center"/>
          </w:tcPr>
          <w:p w14:paraId="35E0B1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56</w:t>
            </w:r>
          </w:p>
        </w:tc>
        <w:tc>
          <w:tcPr>
            <w:tcW w:w="427" w:type="dxa"/>
            <w:shd w:val="clear" w:color="auto" w:fill="auto"/>
            <w:vAlign w:val="center"/>
          </w:tcPr>
          <w:p w14:paraId="2E42A3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585" w:type="dxa"/>
            <w:shd w:val="clear" w:color="auto" w:fill="auto"/>
            <w:vAlign w:val="center"/>
          </w:tcPr>
          <w:p w14:paraId="0AE2C5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24.2</w:t>
            </w:r>
          </w:p>
        </w:tc>
        <w:tc>
          <w:tcPr>
            <w:tcW w:w="427" w:type="dxa"/>
            <w:shd w:val="clear" w:color="auto" w:fill="auto"/>
            <w:vAlign w:val="center"/>
          </w:tcPr>
          <w:p w14:paraId="4DA29D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427" w:type="dxa"/>
            <w:shd w:val="clear" w:color="auto" w:fill="auto"/>
            <w:vAlign w:val="center"/>
          </w:tcPr>
          <w:p w14:paraId="461ED4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427" w:type="dxa"/>
            <w:shd w:val="clear" w:color="auto" w:fill="auto"/>
            <w:vAlign w:val="center"/>
          </w:tcPr>
          <w:p w14:paraId="2792AE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66</w:t>
            </w:r>
          </w:p>
        </w:tc>
        <w:tc>
          <w:tcPr>
            <w:tcW w:w="427" w:type="dxa"/>
            <w:shd w:val="clear" w:color="auto" w:fill="auto"/>
            <w:vAlign w:val="center"/>
          </w:tcPr>
          <w:p w14:paraId="25D125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w:t>
            </w:r>
          </w:p>
        </w:tc>
        <w:tc>
          <w:tcPr>
            <w:tcW w:w="860" w:type="dxa"/>
            <w:shd w:val="clear" w:color="auto" w:fill="auto"/>
            <w:vAlign w:val="center"/>
          </w:tcPr>
          <w:p w14:paraId="526E901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昼夜</w:t>
            </w:r>
          </w:p>
        </w:tc>
        <w:tc>
          <w:tcPr>
            <w:tcW w:w="1291" w:type="dxa"/>
            <w:shd w:val="clear" w:color="auto" w:fill="auto"/>
            <w:vAlign w:val="center"/>
          </w:tcPr>
          <w:p w14:paraId="2E0087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7BFEC6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427" w:type="dxa"/>
            <w:shd w:val="clear" w:color="auto" w:fill="auto"/>
            <w:vAlign w:val="center"/>
          </w:tcPr>
          <w:p w14:paraId="792263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w:t>
            </w:r>
          </w:p>
        </w:tc>
        <w:tc>
          <w:tcPr>
            <w:tcW w:w="427" w:type="dxa"/>
            <w:shd w:val="clear" w:color="auto" w:fill="auto"/>
            <w:vAlign w:val="center"/>
          </w:tcPr>
          <w:p w14:paraId="30BB62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w:t>
            </w:r>
          </w:p>
        </w:tc>
        <w:tc>
          <w:tcPr>
            <w:tcW w:w="427" w:type="dxa"/>
            <w:shd w:val="clear" w:color="auto" w:fill="auto"/>
            <w:vAlign w:val="center"/>
          </w:tcPr>
          <w:p w14:paraId="44126E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w:t>
            </w:r>
          </w:p>
        </w:tc>
        <w:tc>
          <w:tcPr>
            <w:tcW w:w="1357" w:type="dxa"/>
            <w:shd w:val="clear" w:color="auto" w:fill="auto"/>
            <w:vAlign w:val="center"/>
          </w:tcPr>
          <w:p w14:paraId="017893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07ED4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1" w:type="dxa"/>
            <w:shd w:val="clear" w:color="auto" w:fill="auto"/>
            <w:vAlign w:val="center"/>
          </w:tcPr>
          <w:p w14:paraId="515FD1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一栋</w:t>
            </w:r>
          </w:p>
        </w:tc>
        <w:tc>
          <w:tcPr>
            <w:tcW w:w="0" w:type="auto"/>
            <w:shd w:val="clear" w:color="auto" w:fill="auto"/>
            <w:noWrap/>
            <w:vAlign w:val="center"/>
          </w:tcPr>
          <w:p w14:paraId="732C99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移印机4</w:t>
            </w:r>
          </w:p>
        </w:tc>
        <w:tc>
          <w:tcPr>
            <w:tcW w:w="0" w:type="auto"/>
            <w:shd w:val="clear" w:color="auto" w:fill="auto"/>
            <w:noWrap/>
            <w:vAlign w:val="center"/>
          </w:tcPr>
          <w:p w14:paraId="52630B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5F2DBD95">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226644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-37</w:t>
            </w:r>
          </w:p>
        </w:tc>
        <w:tc>
          <w:tcPr>
            <w:tcW w:w="496" w:type="dxa"/>
            <w:shd w:val="clear" w:color="auto" w:fill="auto"/>
            <w:noWrap/>
            <w:vAlign w:val="center"/>
          </w:tcPr>
          <w:p w14:paraId="193F88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w:t>
            </w:r>
          </w:p>
        </w:tc>
        <w:tc>
          <w:tcPr>
            <w:tcW w:w="480" w:type="dxa"/>
            <w:shd w:val="clear" w:color="auto" w:fill="auto"/>
            <w:noWrap/>
            <w:vAlign w:val="center"/>
          </w:tcPr>
          <w:p w14:paraId="11826F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7.2</w:t>
            </w:r>
          </w:p>
        </w:tc>
        <w:tc>
          <w:tcPr>
            <w:tcW w:w="427" w:type="dxa"/>
            <w:shd w:val="clear" w:color="auto" w:fill="auto"/>
            <w:vAlign w:val="center"/>
          </w:tcPr>
          <w:p w14:paraId="57CCBE1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w:t>
            </w:r>
          </w:p>
        </w:tc>
        <w:tc>
          <w:tcPr>
            <w:tcW w:w="427" w:type="dxa"/>
            <w:shd w:val="clear" w:color="auto" w:fill="auto"/>
            <w:vAlign w:val="center"/>
          </w:tcPr>
          <w:p w14:paraId="53AFA6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58</w:t>
            </w:r>
          </w:p>
        </w:tc>
        <w:tc>
          <w:tcPr>
            <w:tcW w:w="427" w:type="dxa"/>
            <w:shd w:val="clear" w:color="auto" w:fill="auto"/>
            <w:vAlign w:val="center"/>
          </w:tcPr>
          <w:p w14:paraId="73839C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585" w:type="dxa"/>
            <w:shd w:val="clear" w:color="auto" w:fill="auto"/>
            <w:vAlign w:val="center"/>
          </w:tcPr>
          <w:p w14:paraId="037068B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22.2</w:t>
            </w:r>
          </w:p>
        </w:tc>
        <w:tc>
          <w:tcPr>
            <w:tcW w:w="427" w:type="dxa"/>
            <w:shd w:val="clear" w:color="auto" w:fill="auto"/>
            <w:vAlign w:val="center"/>
          </w:tcPr>
          <w:p w14:paraId="5F7749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427" w:type="dxa"/>
            <w:shd w:val="clear" w:color="auto" w:fill="auto"/>
            <w:vAlign w:val="center"/>
          </w:tcPr>
          <w:p w14:paraId="73AD22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427" w:type="dxa"/>
            <w:shd w:val="clear" w:color="auto" w:fill="auto"/>
            <w:vAlign w:val="center"/>
          </w:tcPr>
          <w:p w14:paraId="7F18FB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68</w:t>
            </w:r>
          </w:p>
        </w:tc>
        <w:tc>
          <w:tcPr>
            <w:tcW w:w="427" w:type="dxa"/>
            <w:shd w:val="clear" w:color="auto" w:fill="auto"/>
            <w:vAlign w:val="center"/>
          </w:tcPr>
          <w:p w14:paraId="5E20C1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w:t>
            </w:r>
          </w:p>
        </w:tc>
        <w:tc>
          <w:tcPr>
            <w:tcW w:w="860" w:type="dxa"/>
            <w:shd w:val="clear" w:color="auto" w:fill="auto"/>
            <w:vAlign w:val="center"/>
          </w:tcPr>
          <w:p w14:paraId="0F4DC2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昼夜</w:t>
            </w:r>
          </w:p>
        </w:tc>
        <w:tc>
          <w:tcPr>
            <w:tcW w:w="1291" w:type="dxa"/>
            <w:shd w:val="clear" w:color="auto" w:fill="auto"/>
            <w:vAlign w:val="center"/>
          </w:tcPr>
          <w:p w14:paraId="594C18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7EE31E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427" w:type="dxa"/>
            <w:shd w:val="clear" w:color="auto" w:fill="auto"/>
            <w:vAlign w:val="center"/>
          </w:tcPr>
          <w:p w14:paraId="138FB1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w:t>
            </w:r>
          </w:p>
        </w:tc>
        <w:tc>
          <w:tcPr>
            <w:tcW w:w="427" w:type="dxa"/>
            <w:shd w:val="clear" w:color="auto" w:fill="auto"/>
            <w:vAlign w:val="center"/>
          </w:tcPr>
          <w:p w14:paraId="00DD614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w:t>
            </w:r>
          </w:p>
        </w:tc>
        <w:tc>
          <w:tcPr>
            <w:tcW w:w="427" w:type="dxa"/>
            <w:shd w:val="clear" w:color="auto" w:fill="auto"/>
            <w:vAlign w:val="center"/>
          </w:tcPr>
          <w:p w14:paraId="7EC1EF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w:t>
            </w:r>
          </w:p>
        </w:tc>
        <w:tc>
          <w:tcPr>
            <w:tcW w:w="1357" w:type="dxa"/>
            <w:shd w:val="clear" w:color="auto" w:fill="auto"/>
            <w:vAlign w:val="center"/>
          </w:tcPr>
          <w:p w14:paraId="6C5030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44459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81" w:type="dxa"/>
            <w:shd w:val="clear" w:color="auto" w:fill="auto"/>
            <w:vAlign w:val="center"/>
          </w:tcPr>
          <w:p w14:paraId="5A15AD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一栋</w:t>
            </w:r>
          </w:p>
        </w:tc>
        <w:tc>
          <w:tcPr>
            <w:tcW w:w="0" w:type="auto"/>
            <w:shd w:val="clear" w:color="auto" w:fill="auto"/>
            <w:noWrap/>
            <w:vAlign w:val="center"/>
          </w:tcPr>
          <w:p w14:paraId="7E946B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移印机5</w:t>
            </w:r>
          </w:p>
        </w:tc>
        <w:tc>
          <w:tcPr>
            <w:tcW w:w="0" w:type="auto"/>
            <w:shd w:val="clear" w:color="auto" w:fill="auto"/>
            <w:noWrap/>
            <w:vAlign w:val="center"/>
          </w:tcPr>
          <w:p w14:paraId="2C47FA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064B2484">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7D2BB6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w:t>
            </w:r>
          </w:p>
        </w:tc>
        <w:tc>
          <w:tcPr>
            <w:tcW w:w="496" w:type="dxa"/>
            <w:shd w:val="clear" w:color="auto" w:fill="auto"/>
            <w:noWrap/>
            <w:vAlign w:val="center"/>
          </w:tcPr>
          <w:p w14:paraId="1A2EC1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w:t>
            </w:r>
          </w:p>
        </w:tc>
        <w:tc>
          <w:tcPr>
            <w:tcW w:w="480" w:type="dxa"/>
            <w:shd w:val="clear" w:color="auto" w:fill="auto"/>
            <w:noWrap/>
            <w:vAlign w:val="center"/>
          </w:tcPr>
          <w:p w14:paraId="01FC24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7.2</w:t>
            </w:r>
          </w:p>
        </w:tc>
        <w:tc>
          <w:tcPr>
            <w:tcW w:w="427" w:type="dxa"/>
            <w:shd w:val="clear" w:color="auto" w:fill="auto"/>
            <w:vAlign w:val="center"/>
          </w:tcPr>
          <w:p w14:paraId="03B8DD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w:t>
            </w:r>
          </w:p>
        </w:tc>
        <w:tc>
          <w:tcPr>
            <w:tcW w:w="427" w:type="dxa"/>
            <w:shd w:val="clear" w:color="auto" w:fill="auto"/>
            <w:vAlign w:val="center"/>
          </w:tcPr>
          <w:p w14:paraId="3A29F7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62</w:t>
            </w:r>
          </w:p>
        </w:tc>
        <w:tc>
          <w:tcPr>
            <w:tcW w:w="427" w:type="dxa"/>
            <w:shd w:val="clear" w:color="auto" w:fill="auto"/>
            <w:vAlign w:val="center"/>
          </w:tcPr>
          <w:p w14:paraId="0861E7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585" w:type="dxa"/>
            <w:shd w:val="clear" w:color="auto" w:fill="auto"/>
            <w:vAlign w:val="center"/>
          </w:tcPr>
          <w:p w14:paraId="744CBB2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18.2</w:t>
            </w:r>
          </w:p>
        </w:tc>
        <w:tc>
          <w:tcPr>
            <w:tcW w:w="427" w:type="dxa"/>
            <w:shd w:val="clear" w:color="auto" w:fill="auto"/>
            <w:vAlign w:val="center"/>
          </w:tcPr>
          <w:p w14:paraId="7A1500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427" w:type="dxa"/>
            <w:shd w:val="clear" w:color="auto" w:fill="auto"/>
            <w:vAlign w:val="center"/>
          </w:tcPr>
          <w:p w14:paraId="4CCA10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w:t>
            </w:r>
          </w:p>
        </w:tc>
        <w:tc>
          <w:tcPr>
            <w:tcW w:w="427" w:type="dxa"/>
            <w:shd w:val="clear" w:color="auto" w:fill="auto"/>
            <w:vAlign w:val="center"/>
          </w:tcPr>
          <w:p w14:paraId="1984A5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66</w:t>
            </w:r>
          </w:p>
        </w:tc>
        <w:tc>
          <w:tcPr>
            <w:tcW w:w="427" w:type="dxa"/>
            <w:shd w:val="clear" w:color="auto" w:fill="auto"/>
            <w:vAlign w:val="center"/>
          </w:tcPr>
          <w:p w14:paraId="52A4D2C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w:t>
            </w:r>
          </w:p>
        </w:tc>
        <w:tc>
          <w:tcPr>
            <w:tcW w:w="860" w:type="dxa"/>
            <w:shd w:val="clear" w:color="auto" w:fill="auto"/>
            <w:vAlign w:val="center"/>
          </w:tcPr>
          <w:p w14:paraId="1925DB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昼夜</w:t>
            </w:r>
          </w:p>
        </w:tc>
        <w:tc>
          <w:tcPr>
            <w:tcW w:w="1291" w:type="dxa"/>
            <w:shd w:val="clear" w:color="auto" w:fill="auto"/>
            <w:vAlign w:val="center"/>
          </w:tcPr>
          <w:p w14:paraId="72067A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56B5317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427" w:type="dxa"/>
            <w:shd w:val="clear" w:color="auto" w:fill="auto"/>
            <w:vAlign w:val="center"/>
          </w:tcPr>
          <w:p w14:paraId="5BAEAC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427" w:type="dxa"/>
            <w:shd w:val="clear" w:color="auto" w:fill="auto"/>
            <w:vAlign w:val="center"/>
          </w:tcPr>
          <w:p w14:paraId="5B3C5D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w:t>
            </w:r>
          </w:p>
        </w:tc>
        <w:tc>
          <w:tcPr>
            <w:tcW w:w="427" w:type="dxa"/>
            <w:shd w:val="clear" w:color="auto" w:fill="auto"/>
            <w:vAlign w:val="center"/>
          </w:tcPr>
          <w:p w14:paraId="7F66F1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w:t>
            </w:r>
          </w:p>
        </w:tc>
        <w:tc>
          <w:tcPr>
            <w:tcW w:w="1357" w:type="dxa"/>
            <w:shd w:val="clear" w:color="auto" w:fill="auto"/>
            <w:vAlign w:val="center"/>
          </w:tcPr>
          <w:p w14:paraId="2AD6B42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61BAB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81" w:type="dxa"/>
            <w:shd w:val="clear" w:color="auto" w:fill="auto"/>
            <w:vAlign w:val="center"/>
          </w:tcPr>
          <w:p w14:paraId="31B378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一栋</w:t>
            </w:r>
          </w:p>
        </w:tc>
        <w:tc>
          <w:tcPr>
            <w:tcW w:w="0" w:type="auto"/>
            <w:shd w:val="clear" w:color="auto" w:fill="auto"/>
            <w:noWrap/>
            <w:vAlign w:val="center"/>
          </w:tcPr>
          <w:p w14:paraId="136DCD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移印机6</w:t>
            </w:r>
          </w:p>
        </w:tc>
        <w:tc>
          <w:tcPr>
            <w:tcW w:w="0" w:type="auto"/>
            <w:shd w:val="clear" w:color="auto" w:fill="auto"/>
            <w:noWrap/>
            <w:vAlign w:val="center"/>
          </w:tcPr>
          <w:p w14:paraId="3AB594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3D156BCA">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524609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-37</w:t>
            </w:r>
          </w:p>
        </w:tc>
        <w:tc>
          <w:tcPr>
            <w:tcW w:w="496" w:type="dxa"/>
            <w:shd w:val="clear" w:color="auto" w:fill="auto"/>
            <w:noWrap/>
            <w:vAlign w:val="center"/>
          </w:tcPr>
          <w:p w14:paraId="0B6F50B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w:t>
            </w:r>
          </w:p>
        </w:tc>
        <w:tc>
          <w:tcPr>
            <w:tcW w:w="480" w:type="dxa"/>
            <w:shd w:val="clear" w:color="auto" w:fill="auto"/>
            <w:noWrap/>
            <w:vAlign w:val="center"/>
          </w:tcPr>
          <w:p w14:paraId="00C3BCC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7.2</w:t>
            </w:r>
          </w:p>
        </w:tc>
        <w:tc>
          <w:tcPr>
            <w:tcW w:w="427" w:type="dxa"/>
            <w:shd w:val="clear" w:color="auto" w:fill="auto"/>
            <w:vAlign w:val="center"/>
          </w:tcPr>
          <w:p w14:paraId="35779D5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w:t>
            </w:r>
          </w:p>
        </w:tc>
        <w:tc>
          <w:tcPr>
            <w:tcW w:w="427" w:type="dxa"/>
            <w:shd w:val="clear" w:color="auto" w:fill="auto"/>
            <w:vAlign w:val="center"/>
          </w:tcPr>
          <w:p w14:paraId="4E37926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65</w:t>
            </w:r>
          </w:p>
        </w:tc>
        <w:tc>
          <w:tcPr>
            <w:tcW w:w="427" w:type="dxa"/>
            <w:shd w:val="clear" w:color="auto" w:fill="auto"/>
            <w:vAlign w:val="center"/>
          </w:tcPr>
          <w:p w14:paraId="6242CB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585" w:type="dxa"/>
            <w:shd w:val="clear" w:color="auto" w:fill="auto"/>
            <w:vAlign w:val="center"/>
          </w:tcPr>
          <w:p w14:paraId="6DD68BA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15.2</w:t>
            </w:r>
          </w:p>
        </w:tc>
        <w:tc>
          <w:tcPr>
            <w:tcW w:w="427" w:type="dxa"/>
            <w:shd w:val="clear" w:color="auto" w:fill="auto"/>
            <w:vAlign w:val="center"/>
          </w:tcPr>
          <w:p w14:paraId="694E83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427" w:type="dxa"/>
            <w:shd w:val="clear" w:color="auto" w:fill="auto"/>
            <w:vAlign w:val="center"/>
          </w:tcPr>
          <w:p w14:paraId="08069F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w:t>
            </w:r>
          </w:p>
        </w:tc>
        <w:tc>
          <w:tcPr>
            <w:tcW w:w="427" w:type="dxa"/>
            <w:shd w:val="clear" w:color="auto" w:fill="auto"/>
            <w:vAlign w:val="center"/>
          </w:tcPr>
          <w:p w14:paraId="53B67B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68</w:t>
            </w:r>
          </w:p>
        </w:tc>
        <w:tc>
          <w:tcPr>
            <w:tcW w:w="427" w:type="dxa"/>
            <w:shd w:val="clear" w:color="auto" w:fill="auto"/>
            <w:vAlign w:val="center"/>
          </w:tcPr>
          <w:p w14:paraId="7DC4CA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56</w:t>
            </w:r>
          </w:p>
        </w:tc>
        <w:tc>
          <w:tcPr>
            <w:tcW w:w="860" w:type="dxa"/>
            <w:shd w:val="clear" w:color="auto" w:fill="auto"/>
            <w:vAlign w:val="center"/>
          </w:tcPr>
          <w:p w14:paraId="7030C0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昼夜</w:t>
            </w:r>
          </w:p>
        </w:tc>
        <w:tc>
          <w:tcPr>
            <w:tcW w:w="1291" w:type="dxa"/>
            <w:shd w:val="clear" w:color="auto" w:fill="auto"/>
            <w:vAlign w:val="center"/>
          </w:tcPr>
          <w:p w14:paraId="5AB86B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6FD49E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427" w:type="dxa"/>
            <w:shd w:val="clear" w:color="auto" w:fill="auto"/>
            <w:vAlign w:val="center"/>
          </w:tcPr>
          <w:p w14:paraId="262E5A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427" w:type="dxa"/>
            <w:shd w:val="clear" w:color="auto" w:fill="auto"/>
            <w:vAlign w:val="center"/>
          </w:tcPr>
          <w:p w14:paraId="24B672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w:t>
            </w:r>
          </w:p>
        </w:tc>
        <w:tc>
          <w:tcPr>
            <w:tcW w:w="427" w:type="dxa"/>
            <w:shd w:val="clear" w:color="auto" w:fill="auto"/>
            <w:vAlign w:val="center"/>
          </w:tcPr>
          <w:p w14:paraId="278AB0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1357" w:type="dxa"/>
            <w:shd w:val="clear" w:color="auto" w:fill="auto"/>
            <w:vAlign w:val="center"/>
          </w:tcPr>
          <w:p w14:paraId="616C80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41E76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1" w:type="dxa"/>
            <w:shd w:val="clear" w:color="auto" w:fill="auto"/>
            <w:vAlign w:val="center"/>
          </w:tcPr>
          <w:p w14:paraId="002900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一栋</w:t>
            </w:r>
          </w:p>
        </w:tc>
        <w:tc>
          <w:tcPr>
            <w:tcW w:w="0" w:type="auto"/>
            <w:shd w:val="clear" w:color="auto" w:fill="auto"/>
            <w:noWrap/>
            <w:vAlign w:val="center"/>
          </w:tcPr>
          <w:p w14:paraId="3882034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移印机7</w:t>
            </w:r>
          </w:p>
        </w:tc>
        <w:tc>
          <w:tcPr>
            <w:tcW w:w="0" w:type="auto"/>
            <w:shd w:val="clear" w:color="auto" w:fill="auto"/>
            <w:noWrap/>
            <w:vAlign w:val="center"/>
          </w:tcPr>
          <w:p w14:paraId="60B912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1D662B97">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74C416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w:t>
            </w:r>
          </w:p>
        </w:tc>
        <w:tc>
          <w:tcPr>
            <w:tcW w:w="496" w:type="dxa"/>
            <w:shd w:val="clear" w:color="auto" w:fill="auto"/>
            <w:noWrap/>
            <w:vAlign w:val="center"/>
          </w:tcPr>
          <w:p w14:paraId="7EF8B9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w:t>
            </w:r>
          </w:p>
        </w:tc>
        <w:tc>
          <w:tcPr>
            <w:tcW w:w="480" w:type="dxa"/>
            <w:shd w:val="clear" w:color="auto" w:fill="auto"/>
            <w:noWrap/>
            <w:vAlign w:val="center"/>
          </w:tcPr>
          <w:p w14:paraId="792ABD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7.2</w:t>
            </w:r>
          </w:p>
        </w:tc>
        <w:tc>
          <w:tcPr>
            <w:tcW w:w="427" w:type="dxa"/>
            <w:shd w:val="clear" w:color="auto" w:fill="auto"/>
            <w:vAlign w:val="center"/>
          </w:tcPr>
          <w:p w14:paraId="2B83F8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w:t>
            </w:r>
          </w:p>
        </w:tc>
        <w:tc>
          <w:tcPr>
            <w:tcW w:w="427" w:type="dxa"/>
            <w:shd w:val="clear" w:color="auto" w:fill="auto"/>
            <w:vAlign w:val="center"/>
          </w:tcPr>
          <w:p w14:paraId="51FFB8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w:t>
            </w:r>
          </w:p>
        </w:tc>
        <w:tc>
          <w:tcPr>
            <w:tcW w:w="427" w:type="dxa"/>
            <w:shd w:val="clear" w:color="auto" w:fill="auto"/>
            <w:vAlign w:val="center"/>
          </w:tcPr>
          <w:p w14:paraId="5EEE05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585" w:type="dxa"/>
            <w:shd w:val="clear" w:color="auto" w:fill="auto"/>
            <w:vAlign w:val="center"/>
          </w:tcPr>
          <w:p w14:paraId="6A9D91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11.2</w:t>
            </w:r>
          </w:p>
        </w:tc>
        <w:tc>
          <w:tcPr>
            <w:tcW w:w="427" w:type="dxa"/>
            <w:shd w:val="clear" w:color="auto" w:fill="auto"/>
            <w:vAlign w:val="center"/>
          </w:tcPr>
          <w:p w14:paraId="3057D5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427" w:type="dxa"/>
            <w:shd w:val="clear" w:color="auto" w:fill="auto"/>
            <w:vAlign w:val="center"/>
          </w:tcPr>
          <w:p w14:paraId="5443B1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w:t>
            </w:r>
          </w:p>
        </w:tc>
        <w:tc>
          <w:tcPr>
            <w:tcW w:w="427" w:type="dxa"/>
            <w:shd w:val="clear" w:color="auto" w:fill="auto"/>
            <w:vAlign w:val="center"/>
          </w:tcPr>
          <w:p w14:paraId="7068D9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66</w:t>
            </w:r>
          </w:p>
        </w:tc>
        <w:tc>
          <w:tcPr>
            <w:tcW w:w="427" w:type="dxa"/>
            <w:shd w:val="clear" w:color="auto" w:fill="auto"/>
            <w:vAlign w:val="center"/>
          </w:tcPr>
          <w:p w14:paraId="494D52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59</w:t>
            </w:r>
          </w:p>
        </w:tc>
        <w:tc>
          <w:tcPr>
            <w:tcW w:w="860" w:type="dxa"/>
            <w:shd w:val="clear" w:color="auto" w:fill="auto"/>
            <w:vAlign w:val="center"/>
          </w:tcPr>
          <w:p w14:paraId="16E207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昼夜</w:t>
            </w:r>
          </w:p>
        </w:tc>
        <w:tc>
          <w:tcPr>
            <w:tcW w:w="1291" w:type="dxa"/>
            <w:shd w:val="clear" w:color="auto" w:fill="auto"/>
            <w:vAlign w:val="center"/>
          </w:tcPr>
          <w:p w14:paraId="0067983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32C2A1B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427" w:type="dxa"/>
            <w:shd w:val="clear" w:color="auto" w:fill="auto"/>
            <w:vAlign w:val="center"/>
          </w:tcPr>
          <w:p w14:paraId="48D74C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w:t>
            </w:r>
          </w:p>
        </w:tc>
        <w:tc>
          <w:tcPr>
            <w:tcW w:w="427" w:type="dxa"/>
            <w:shd w:val="clear" w:color="auto" w:fill="auto"/>
            <w:vAlign w:val="center"/>
          </w:tcPr>
          <w:p w14:paraId="19080A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w:t>
            </w:r>
          </w:p>
        </w:tc>
        <w:tc>
          <w:tcPr>
            <w:tcW w:w="427" w:type="dxa"/>
            <w:shd w:val="clear" w:color="auto" w:fill="auto"/>
            <w:vAlign w:val="center"/>
          </w:tcPr>
          <w:p w14:paraId="14FEFF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w:t>
            </w:r>
          </w:p>
        </w:tc>
        <w:tc>
          <w:tcPr>
            <w:tcW w:w="1357" w:type="dxa"/>
            <w:shd w:val="clear" w:color="auto" w:fill="auto"/>
            <w:vAlign w:val="center"/>
          </w:tcPr>
          <w:p w14:paraId="2DED05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30D18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81" w:type="dxa"/>
            <w:shd w:val="clear" w:color="auto" w:fill="auto"/>
            <w:vAlign w:val="center"/>
          </w:tcPr>
          <w:p w14:paraId="768C32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一栋</w:t>
            </w:r>
          </w:p>
        </w:tc>
        <w:tc>
          <w:tcPr>
            <w:tcW w:w="0" w:type="auto"/>
            <w:shd w:val="clear" w:color="auto" w:fill="auto"/>
            <w:noWrap/>
            <w:vAlign w:val="center"/>
          </w:tcPr>
          <w:p w14:paraId="5E8F0C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移印机8</w:t>
            </w:r>
          </w:p>
        </w:tc>
        <w:tc>
          <w:tcPr>
            <w:tcW w:w="0" w:type="auto"/>
            <w:shd w:val="clear" w:color="auto" w:fill="auto"/>
            <w:noWrap/>
            <w:vAlign w:val="center"/>
          </w:tcPr>
          <w:p w14:paraId="474117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4DF14224">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5460D3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w:t>
            </w:r>
          </w:p>
        </w:tc>
        <w:tc>
          <w:tcPr>
            <w:tcW w:w="496" w:type="dxa"/>
            <w:shd w:val="clear" w:color="auto" w:fill="auto"/>
            <w:noWrap/>
            <w:vAlign w:val="center"/>
          </w:tcPr>
          <w:p w14:paraId="02B87D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w:t>
            </w:r>
          </w:p>
        </w:tc>
        <w:tc>
          <w:tcPr>
            <w:tcW w:w="480" w:type="dxa"/>
            <w:shd w:val="clear" w:color="auto" w:fill="auto"/>
            <w:noWrap/>
            <w:vAlign w:val="center"/>
          </w:tcPr>
          <w:p w14:paraId="002F4E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7.2</w:t>
            </w:r>
          </w:p>
        </w:tc>
        <w:tc>
          <w:tcPr>
            <w:tcW w:w="427" w:type="dxa"/>
            <w:shd w:val="clear" w:color="auto" w:fill="auto"/>
            <w:vAlign w:val="center"/>
          </w:tcPr>
          <w:p w14:paraId="37B419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w:t>
            </w:r>
          </w:p>
        </w:tc>
        <w:tc>
          <w:tcPr>
            <w:tcW w:w="427" w:type="dxa"/>
            <w:shd w:val="clear" w:color="auto" w:fill="auto"/>
            <w:vAlign w:val="center"/>
          </w:tcPr>
          <w:p w14:paraId="6588CAD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73</w:t>
            </w:r>
          </w:p>
        </w:tc>
        <w:tc>
          <w:tcPr>
            <w:tcW w:w="427" w:type="dxa"/>
            <w:shd w:val="clear" w:color="auto" w:fill="auto"/>
            <w:vAlign w:val="center"/>
          </w:tcPr>
          <w:p w14:paraId="6CB1553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585" w:type="dxa"/>
            <w:shd w:val="clear" w:color="auto" w:fill="auto"/>
            <w:vAlign w:val="center"/>
          </w:tcPr>
          <w:p w14:paraId="5C42DE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7.2</w:t>
            </w:r>
          </w:p>
        </w:tc>
        <w:tc>
          <w:tcPr>
            <w:tcW w:w="427" w:type="dxa"/>
            <w:shd w:val="clear" w:color="auto" w:fill="auto"/>
            <w:vAlign w:val="center"/>
          </w:tcPr>
          <w:p w14:paraId="688FBF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427" w:type="dxa"/>
            <w:shd w:val="clear" w:color="auto" w:fill="auto"/>
            <w:vAlign w:val="center"/>
          </w:tcPr>
          <w:p w14:paraId="7FC305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w:t>
            </w:r>
          </w:p>
        </w:tc>
        <w:tc>
          <w:tcPr>
            <w:tcW w:w="427" w:type="dxa"/>
            <w:shd w:val="clear" w:color="auto" w:fill="auto"/>
            <w:vAlign w:val="center"/>
          </w:tcPr>
          <w:p w14:paraId="30AB2E5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66</w:t>
            </w:r>
          </w:p>
        </w:tc>
        <w:tc>
          <w:tcPr>
            <w:tcW w:w="427" w:type="dxa"/>
            <w:shd w:val="clear" w:color="auto" w:fill="auto"/>
            <w:vAlign w:val="center"/>
          </w:tcPr>
          <w:p w14:paraId="3F3AE7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w:t>
            </w:r>
          </w:p>
        </w:tc>
        <w:tc>
          <w:tcPr>
            <w:tcW w:w="860" w:type="dxa"/>
            <w:shd w:val="clear" w:color="auto" w:fill="auto"/>
            <w:vAlign w:val="center"/>
          </w:tcPr>
          <w:p w14:paraId="2FFFC1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243C4D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506AB4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427" w:type="dxa"/>
            <w:shd w:val="clear" w:color="auto" w:fill="auto"/>
            <w:vAlign w:val="center"/>
          </w:tcPr>
          <w:p w14:paraId="37D0DE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w:t>
            </w:r>
          </w:p>
        </w:tc>
        <w:tc>
          <w:tcPr>
            <w:tcW w:w="427" w:type="dxa"/>
            <w:shd w:val="clear" w:color="auto" w:fill="auto"/>
            <w:vAlign w:val="center"/>
          </w:tcPr>
          <w:p w14:paraId="15442A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w:t>
            </w:r>
          </w:p>
        </w:tc>
        <w:tc>
          <w:tcPr>
            <w:tcW w:w="427" w:type="dxa"/>
            <w:shd w:val="clear" w:color="auto" w:fill="auto"/>
            <w:vAlign w:val="center"/>
          </w:tcPr>
          <w:p w14:paraId="29159E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37</w:t>
            </w:r>
          </w:p>
        </w:tc>
        <w:tc>
          <w:tcPr>
            <w:tcW w:w="1357" w:type="dxa"/>
            <w:shd w:val="clear" w:color="auto" w:fill="auto"/>
            <w:vAlign w:val="center"/>
          </w:tcPr>
          <w:p w14:paraId="4A5B54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176CB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1" w:type="dxa"/>
            <w:shd w:val="clear" w:color="auto" w:fill="auto"/>
            <w:vAlign w:val="center"/>
          </w:tcPr>
          <w:p w14:paraId="6C2F1D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一栋</w:t>
            </w:r>
          </w:p>
        </w:tc>
        <w:tc>
          <w:tcPr>
            <w:tcW w:w="0" w:type="auto"/>
            <w:shd w:val="clear" w:color="auto" w:fill="auto"/>
            <w:noWrap/>
            <w:vAlign w:val="center"/>
          </w:tcPr>
          <w:p w14:paraId="6AEB9E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移印机9</w:t>
            </w:r>
          </w:p>
        </w:tc>
        <w:tc>
          <w:tcPr>
            <w:tcW w:w="0" w:type="auto"/>
            <w:shd w:val="clear" w:color="auto" w:fill="auto"/>
            <w:noWrap/>
            <w:vAlign w:val="center"/>
          </w:tcPr>
          <w:p w14:paraId="1F6E2DD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04EA2ED1">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35EDE0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-34</w:t>
            </w:r>
          </w:p>
        </w:tc>
        <w:tc>
          <w:tcPr>
            <w:tcW w:w="496" w:type="dxa"/>
            <w:shd w:val="clear" w:color="auto" w:fill="auto"/>
            <w:noWrap/>
            <w:vAlign w:val="center"/>
          </w:tcPr>
          <w:p w14:paraId="6069A1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480" w:type="dxa"/>
            <w:shd w:val="clear" w:color="auto" w:fill="auto"/>
            <w:noWrap/>
            <w:vAlign w:val="center"/>
          </w:tcPr>
          <w:p w14:paraId="4391D2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7.2</w:t>
            </w:r>
          </w:p>
        </w:tc>
        <w:tc>
          <w:tcPr>
            <w:tcW w:w="427" w:type="dxa"/>
            <w:shd w:val="clear" w:color="auto" w:fill="auto"/>
            <w:vAlign w:val="center"/>
          </w:tcPr>
          <w:p w14:paraId="7464054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w:t>
            </w:r>
          </w:p>
        </w:tc>
        <w:tc>
          <w:tcPr>
            <w:tcW w:w="427" w:type="dxa"/>
            <w:shd w:val="clear" w:color="auto" w:fill="auto"/>
            <w:vAlign w:val="center"/>
          </w:tcPr>
          <w:p w14:paraId="3C1C968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w:t>
            </w:r>
          </w:p>
        </w:tc>
        <w:tc>
          <w:tcPr>
            <w:tcW w:w="427" w:type="dxa"/>
            <w:shd w:val="clear" w:color="auto" w:fill="auto"/>
            <w:vAlign w:val="center"/>
          </w:tcPr>
          <w:p w14:paraId="6238AB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585" w:type="dxa"/>
            <w:shd w:val="clear" w:color="auto" w:fill="auto"/>
            <w:vAlign w:val="center"/>
          </w:tcPr>
          <w:p w14:paraId="195B6E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33.2</w:t>
            </w:r>
          </w:p>
        </w:tc>
        <w:tc>
          <w:tcPr>
            <w:tcW w:w="427" w:type="dxa"/>
            <w:shd w:val="clear" w:color="auto" w:fill="auto"/>
            <w:vAlign w:val="center"/>
          </w:tcPr>
          <w:p w14:paraId="738ED8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w:t>
            </w:r>
          </w:p>
        </w:tc>
        <w:tc>
          <w:tcPr>
            <w:tcW w:w="427" w:type="dxa"/>
            <w:shd w:val="clear" w:color="auto" w:fill="auto"/>
            <w:vAlign w:val="center"/>
          </w:tcPr>
          <w:p w14:paraId="14DBCB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w:t>
            </w:r>
          </w:p>
        </w:tc>
        <w:tc>
          <w:tcPr>
            <w:tcW w:w="427" w:type="dxa"/>
            <w:shd w:val="clear" w:color="auto" w:fill="auto"/>
            <w:vAlign w:val="center"/>
          </w:tcPr>
          <w:p w14:paraId="54B317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w:t>
            </w:r>
          </w:p>
        </w:tc>
        <w:tc>
          <w:tcPr>
            <w:tcW w:w="427" w:type="dxa"/>
            <w:shd w:val="clear" w:color="auto" w:fill="auto"/>
            <w:vAlign w:val="center"/>
          </w:tcPr>
          <w:p w14:paraId="793432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860" w:type="dxa"/>
            <w:shd w:val="clear" w:color="auto" w:fill="auto"/>
            <w:vAlign w:val="center"/>
          </w:tcPr>
          <w:p w14:paraId="66DD1C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7F6A3E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30F0BA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w:t>
            </w:r>
          </w:p>
        </w:tc>
        <w:tc>
          <w:tcPr>
            <w:tcW w:w="427" w:type="dxa"/>
            <w:shd w:val="clear" w:color="auto" w:fill="auto"/>
            <w:vAlign w:val="center"/>
          </w:tcPr>
          <w:p w14:paraId="54FEC9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427" w:type="dxa"/>
            <w:shd w:val="clear" w:color="auto" w:fill="auto"/>
            <w:vAlign w:val="center"/>
          </w:tcPr>
          <w:p w14:paraId="0303967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37</w:t>
            </w:r>
          </w:p>
        </w:tc>
        <w:tc>
          <w:tcPr>
            <w:tcW w:w="427" w:type="dxa"/>
            <w:shd w:val="clear" w:color="auto" w:fill="auto"/>
            <w:vAlign w:val="center"/>
          </w:tcPr>
          <w:p w14:paraId="60B5D9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1357" w:type="dxa"/>
            <w:shd w:val="clear" w:color="auto" w:fill="auto"/>
            <w:vAlign w:val="center"/>
          </w:tcPr>
          <w:p w14:paraId="2DF8C5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2F7A1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81" w:type="dxa"/>
            <w:shd w:val="clear" w:color="auto" w:fill="auto"/>
            <w:vAlign w:val="center"/>
          </w:tcPr>
          <w:p w14:paraId="3989F46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一栋</w:t>
            </w:r>
          </w:p>
        </w:tc>
        <w:tc>
          <w:tcPr>
            <w:tcW w:w="0" w:type="auto"/>
            <w:shd w:val="clear" w:color="auto" w:fill="auto"/>
            <w:noWrap/>
            <w:vAlign w:val="center"/>
          </w:tcPr>
          <w:p w14:paraId="7DFC17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移印机10</w:t>
            </w:r>
          </w:p>
        </w:tc>
        <w:tc>
          <w:tcPr>
            <w:tcW w:w="0" w:type="auto"/>
            <w:shd w:val="clear" w:color="auto" w:fill="auto"/>
            <w:noWrap/>
            <w:vAlign w:val="center"/>
          </w:tcPr>
          <w:p w14:paraId="3B569A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0187E338">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751673A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w:t>
            </w:r>
          </w:p>
        </w:tc>
        <w:tc>
          <w:tcPr>
            <w:tcW w:w="496" w:type="dxa"/>
            <w:shd w:val="clear" w:color="auto" w:fill="auto"/>
            <w:noWrap/>
            <w:vAlign w:val="center"/>
          </w:tcPr>
          <w:p w14:paraId="52A487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w:t>
            </w:r>
          </w:p>
        </w:tc>
        <w:tc>
          <w:tcPr>
            <w:tcW w:w="480" w:type="dxa"/>
            <w:shd w:val="clear" w:color="auto" w:fill="auto"/>
            <w:noWrap/>
            <w:vAlign w:val="center"/>
          </w:tcPr>
          <w:p w14:paraId="5ADEDD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7.2</w:t>
            </w:r>
          </w:p>
        </w:tc>
        <w:tc>
          <w:tcPr>
            <w:tcW w:w="427" w:type="dxa"/>
            <w:shd w:val="clear" w:color="auto" w:fill="auto"/>
            <w:vAlign w:val="center"/>
          </w:tcPr>
          <w:p w14:paraId="25F8F0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427" w:type="dxa"/>
            <w:shd w:val="clear" w:color="auto" w:fill="auto"/>
            <w:vAlign w:val="center"/>
          </w:tcPr>
          <w:p w14:paraId="1AF994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w:t>
            </w:r>
          </w:p>
        </w:tc>
        <w:tc>
          <w:tcPr>
            <w:tcW w:w="427" w:type="dxa"/>
            <w:shd w:val="clear" w:color="auto" w:fill="auto"/>
            <w:vAlign w:val="center"/>
          </w:tcPr>
          <w:p w14:paraId="5BAE04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585" w:type="dxa"/>
            <w:shd w:val="clear" w:color="auto" w:fill="auto"/>
            <w:vAlign w:val="center"/>
          </w:tcPr>
          <w:p w14:paraId="7CEC78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32.2</w:t>
            </w:r>
          </w:p>
        </w:tc>
        <w:tc>
          <w:tcPr>
            <w:tcW w:w="427" w:type="dxa"/>
            <w:shd w:val="clear" w:color="auto" w:fill="auto"/>
            <w:vAlign w:val="center"/>
          </w:tcPr>
          <w:p w14:paraId="69D331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427" w:type="dxa"/>
            <w:shd w:val="clear" w:color="auto" w:fill="auto"/>
            <w:vAlign w:val="center"/>
          </w:tcPr>
          <w:p w14:paraId="133986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w:t>
            </w:r>
          </w:p>
        </w:tc>
        <w:tc>
          <w:tcPr>
            <w:tcW w:w="427" w:type="dxa"/>
            <w:shd w:val="clear" w:color="auto" w:fill="auto"/>
            <w:vAlign w:val="center"/>
          </w:tcPr>
          <w:p w14:paraId="54626C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56</w:t>
            </w:r>
          </w:p>
        </w:tc>
        <w:tc>
          <w:tcPr>
            <w:tcW w:w="427" w:type="dxa"/>
            <w:shd w:val="clear" w:color="auto" w:fill="auto"/>
            <w:vAlign w:val="center"/>
          </w:tcPr>
          <w:p w14:paraId="3E3768D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860" w:type="dxa"/>
            <w:shd w:val="clear" w:color="auto" w:fill="auto"/>
            <w:vAlign w:val="center"/>
          </w:tcPr>
          <w:p w14:paraId="60BA37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0E62E2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1D49C1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427" w:type="dxa"/>
            <w:shd w:val="clear" w:color="auto" w:fill="auto"/>
            <w:vAlign w:val="center"/>
          </w:tcPr>
          <w:p w14:paraId="2D58F4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64AF97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427" w:type="dxa"/>
            <w:shd w:val="clear" w:color="auto" w:fill="auto"/>
            <w:vAlign w:val="center"/>
          </w:tcPr>
          <w:p w14:paraId="789D9C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1357" w:type="dxa"/>
            <w:shd w:val="clear" w:color="auto" w:fill="auto"/>
            <w:vAlign w:val="center"/>
          </w:tcPr>
          <w:p w14:paraId="076C15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20203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81" w:type="dxa"/>
            <w:shd w:val="clear" w:color="auto" w:fill="auto"/>
            <w:vAlign w:val="center"/>
          </w:tcPr>
          <w:p w14:paraId="7D1393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一栋</w:t>
            </w:r>
          </w:p>
        </w:tc>
        <w:tc>
          <w:tcPr>
            <w:tcW w:w="0" w:type="auto"/>
            <w:shd w:val="clear" w:color="auto" w:fill="auto"/>
            <w:noWrap/>
            <w:vAlign w:val="center"/>
          </w:tcPr>
          <w:p w14:paraId="638BA9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移印机11</w:t>
            </w:r>
          </w:p>
        </w:tc>
        <w:tc>
          <w:tcPr>
            <w:tcW w:w="0" w:type="auto"/>
            <w:shd w:val="clear" w:color="auto" w:fill="auto"/>
            <w:noWrap/>
            <w:vAlign w:val="center"/>
          </w:tcPr>
          <w:p w14:paraId="5F1463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13BF9558">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07F0AE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w:t>
            </w:r>
          </w:p>
        </w:tc>
        <w:tc>
          <w:tcPr>
            <w:tcW w:w="496" w:type="dxa"/>
            <w:shd w:val="clear" w:color="auto" w:fill="auto"/>
            <w:noWrap/>
            <w:vAlign w:val="center"/>
          </w:tcPr>
          <w:p w14:paraId="62DE6C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w:t>
            </w:r>
          </w:p>
        </w:tc>
        <w:tc>
          <w:tcPr>
            <w:tcW w:w="480" w:type="dxa"/>
            <w:shd w:val="clear" w:color="auto" w:fill="auto"/>
            <w:noWrap/>
            <w:vAlign w:val="center"/>
          </w:tcPr>
          <w:p w14:paraId="0C8718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7.2</w:t>
            </w:r>
          </w:p>
        </w:tc>
        <w:tc>
          <w:tcPr>
            <w:tcW w:w="427" w:type="dxa"/>
            <w:shd w:val="clear" w:color="auto" w:fill="auto"/>
            <w:vAlign w:val="center"/>
          </w:tcPr>
          <w:p w14:paraId="0A39B6C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1DB052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w:t>
            </w:r>
          </w:p>
        </w:tc>
        <w:tc>
          <w:tcPr>
            <w:tcW w:w="427" w:type="dxa"/>
            <w:shd w:val="clear" w:color="auto" w:fill="auto"/>
            <w:vAlign w:val="center"/>
          </w:tcPr>
          <w:p w14:paraId="4F7E75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585" w:type="dxa"/>
            <w:shd w:val="clear" w:color="auto" w:fill="auto"/>
            <w:vAlign w:val="center"/>
          </w:tcPr>
          <w:p w14:paraId="34637D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29.2</w:t>
            </w:r>
          </w:p>
        </w:tc>
        <w:tc>
          <w:tcPr>
            <w:tcW w:w="427" w:type="dxa"/>
            <w:shd w:val="clear" w:color="auto" w:fill="auto"/>
            <w:vAlign w:val="center"/>
          </w:tcPr>
          <w:p w14:paraId="4F8A49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427" w:type="dxa"/>
            <w:shd w:val="clear" w:color="auto" w:fill="auto"/>
            <w:vAlign w:val="center"/>
          </w:tcPr>
          <w:p w14:paraId="28E022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w:t>
            </w:r>
          </w:p>
        </w:tc>
        <w:tc>
          <w:tcPr>
            <w:tcW w:w="427" w:type="dxa"/>
            <w:shd w:val="clear" w:color="auto" w:fill="auto"/>
            <w:vAlign w:val="center"/>
          </w:tcPr>
          <w:p w14:paraId="0268FF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56</w:t>
            </w:r>
          </w:p>
        </w:tc>
        <w:tc>
          <w:tcPr>
            <w:tcW w:w="427" w:type="dxa"/>
            <w:shd w:val="clear" w:color="auto" w:fill="auto"/>
            <w:vAlign w:val="center"/>
          </w:tcPr>
          <w:p w14:paraId="314BC6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w:t>
            </w:r>
          </w:p>
        </w:tc>
        <w:tc>
          <w:tcPr>
            <w:tcW w:w="860" w:type="dxa"/>
            <w:shd w:val="clear" w:color="auto" w:fill="auto"/>
            <w:vAlign w:val="center"/>
          </w:tcPr>
          <w:p w14:paraId="5E08E78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7321F5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1DA02E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427" w:type="dxa"/>
            <w:shd w:val="clear" w:color="auto" w:fill="auto"/>
            <w:vAlign w:val="center"/>
          </w:tcPr>
          <w:p w14:paraId="161CCD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2AB517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427" w:type="dxa"/>
            <w:shd w:val="clear" w:color="auto" w:fill="auto"/>
            <w:vAlign w:val="center"/>
          </w:tcPr>
          <w:p w14:paraId="59FE14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w:t>
            </w:r>
          </w:p>
        </w:tc>
        <w:tc>
          <w:tcPr>
            <w:tcW w:w="1357" w:type="dxa"/>
            <w:shd w:val="clear" w:color="auto" w:fill="auto"/>
            <w:vAlign w:val="center"/>
          </w:tcPr>
          <w:p w14:paraId="56594A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1AC84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1" w:type="dxa"/>
            <w:shd w:val="clear" w:color="auto" w:fill="auto"/>
            <w:vAlign w:val="center"/>
          </w:tcPr>
          <w:p w14:paraId="0888F81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一栋</w:t>
            </w:r>
          </w:p>
        </w:tc>
        <w:tc>
          <w:tcPr>
            <w:tcW w:w="0" w:type="auto"/>
            <w:shd w:val="clear" w:color="auto" w:fill="auto"/>
            <w:noWrap/>
            <w:vAlign w:val="center"/>
          </w:tcPr>
          <w:p w14:paraId="095C92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移印机12</w:t>
            </w:r>
          </w:p>
        </w:tc>
        <w:tc>
          <w:tcPr>
            <w:tcW w:w="0" w:type="auto"/>
            <w:shd w:val="clear" w:color="auto" w:fill="auto"/>
            <w:noWrap/>
            <w:vAlign w:val="center"/>
          </w:tcPr>
          <w:p w14:paraId="1EC9E4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0230F41D">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6B14B7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w:t>
            </w:r>
          </w:p>
        </w:tc>
        <w:tc>
          <w:tcPr>
            <w:tcW w:w="496" w:type="dxa"/>
            <w:shd w:val="clear" w:color="auto" w:fill="auto"/>
            <w:noWrap/>
            <w:vAlign w:val="center"/>
          </w:tcPr>
          <w:p w14:paraId="08E8E4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480" w:type="dxa"/>
            <w:shd w:val="clear" w:color="auto" w:fill="auto"/>
            <w:noWrap/>
            <w:vAlign w:val="center"/>
          </w:tcPr>
          <w:p w14:paraId="3F3807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7.2</w:t>
            </w:r>
          </w:p>
        </w:tc>
        <w:tc>
          <w:tcPr>
            <w:tcW w:w="427" w:type="dxa"/>
            <w:shd w:val="clear" w:color="auto" w:fill="auto"/>
            <w:vAlign w:val="center"/>
          </w:tcPr>
          <w:p w14:paraId="2B24F8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20A1D6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427" w:type="dxa"/>
            <w:shd w:val="clear" w:color="auto" w:fill="auto"/>
            <w:vAlign w:val="center"/>
          </w:tcPr>
          <w:p w14:paraId="15B88A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585" w:type="dxa"/>
            <w:shd w:val="clear" w:color="auto" w:fill="auto"/>
            <w:vAlign w:val="center"/>
          </w:tcPr>
          <w:p w14:paraId="5DC75C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26.2</w:t>
            </w:r>
          </w:p>
        </w:tc>
        <w:tc>
          <w:tcPr>
            <w:tcW w:w="427" w:type="dxa"/>
            <w:shd w:val="clear" w:color="auto" w:fill="auto"/>
            <w:vAlign w:val="center"/>
          </w:tcPr>
          <w:p w14:paraId="1E0873C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427" w:type="dxa"/>
            <w:shd w:val="clear" w:color="auto" w:fill="auto"/>
            <w:vAlign w:val="center"/>
          </w:tcPr>
          <w:p w14:paraId="2CB0B7D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427" w:type="dxa"/>
            <w:shd w:val="clear" w:color="auto" w:fill="auto"/>
            <w:vAlign w:val="center"/>
          </w:tcPr>
          <w:p w14:paraId="23BC5F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56</w:t>
            </w:r>
          </w:p>
        </w:tc>
        <w:tc>
          <w:tcPr>
            <w:tcW w:w="427" w:type="dxa"/>
            <w:shd w:val="clear" w:color="auto" w:fill="auto"/>
            <w:vAlign w:val="center"/>
          </w:tcPr>
          <w:p w14:paraId="4E5570E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w:t>
            </w:r>
          </w:p>
        </w:tc>
        <w:tc>
          <w:tcPr>
            <w:tcW w:w="860" w:type="dxa"/>
            <w:shd w:val="clear" w:color="auto" w:fill="auto"/>
            <w:vAlign w:val="center"/>
          </w:tcPr>
          <w:p w14:paraId="1018EE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7797EF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72C85F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427" w:type="dxa"/>
            <w:shd w:val="clear" w:color="auto" w:fill="auto"/>
            <w:vAlign w:val="center"/>
          </w:tcPr>
          <w:p w14:paraId="7A3342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w:t>
            </w:r>
          </w:p>
        </w:tc>
        <w:tc>
          <w:tcPr>
            <w:tcW w:w="427" w:type="dxa"/>
            <w:shd w:val="clear" w:color="auto" w:fill="auto"/>
            <w:vAlign w:val="center"/>
          </w:tcPr>
          <w:p w14:paraId="74F29E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427" w:type="dxa"/>
            <w:shd w:val="clear" w:color="auto" w:fill="auto"/>
            <w:vAlign w:val="center"/>
          </w:tcPr>
          <w:p w14:paraId="2E2D71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w:t>
            </w:r>
          </w:p>
        </w:tc>
        <w:tc>
          <w:tcPr>
            <w:tcW w:w="1357" w:type="dxa"/>
            <w:shd w:val="clear" w:color="auto" w:fill="auto"/>
            <w:vAlign w:val="center"/>
          </w:tcPr>
          <w:p w14:paraId="520B4F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09792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81" w:type="dxa"/>
            <w:shd w:val="clear" w:color="auto" w:fill="auto"/>
            <w:vAlign w:val="center"/>
          </w:tcPr>
          <w:p w14:paraId="7ADCAB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一栋</w:t>
            </w:r>
          </w:p>
        </w:tc>
        <w:tc>
          <w:tcPr>
            <w:tcW w:w="0" w:type="auto"/>
            <w:shd w:val="clear" w:color="auto" w:fill="auto"/>
            <w:noWrap/>
            <w:vAlign w:val="center"/>
          </w:tcPr>
          <w:p w14:paraId="72B0C2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移印机13</w:t>
            </w:r>
          </w:p>
        </w:tc>
        <w:tc>
          <w:tcPr>
            <w:tcW w:w="0" w:type="auto"/>
            <w:shd w:val="clear" w:color="auto" w:fill="auto"/>
            <w:noWrap/>
            <w:vAlign w:val="center"/>
          </w:tcPr>
          <w:p w14:paraId="0919E0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03D02E70">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25F324F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w:t>
            </w:r>
          </w:p>
        </w:tc>
        <w:tc>
          <w:tcPr>
            <w:tcW w:w="496" w:type="dxa"/>
            <w:shd w:val="clear" w:color="auto" w:fill="auto"/>
            <w:noWrap/>
            <w:vAlign w:val="center"/>
          </w:tcPr>
          <w:p w14:paraId="17FBCC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480" w:type="dxa"/>
            <w:shd w:val="clear" w:color="auto" w:fill="auto"/>
            <w:noWrap/>
            <w:vAlign w:val="center"/>
          </w:tcPr>
          <w:p w14:paraId="2174CF1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7.2</w:t>
            </w:r>
          </w:p>
        </w:tc>
        <w:tc>
          <w:tcPr>
            <w:tcW w:w="427" w:type="dxa"/>
            <w:shd w:val="clear" w:color="auto" w:fill="auto"/>
            <w:vAlign w:val="center"/>
          </w:tcPr>
          <w:p w14:paraId="05B206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16DC074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56</w:t>
            </w:r>
          </w:p>
        </w:tc>
        <w:tc>
          <w:tcPr>
            <w:tcW w:w="427" w:type="dxa"/>
            <w:shd w:val="clear" w:color="auto" w:fill="auto"/>
            <w:vAlign w:val="center"/>
          </w:tcPr>
          <w:p w14:paraId="74CBF6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585" w:type="dxa"/>
            <w:shd w:val="clear" w:color="auto" w:fill="auto"/>
            <w:vAlign w:val="center"/>
          </w:tcPr>
          <w:p w14:paraId="7A6DF5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24.2</w:t>
            </w:r>
          </w:p>
        </w:tc>
        <w:tc>
          <w:tcPr>
            <w:tcW w:w="427" w:type="dxa"/>
            <w:shd w:val="clear" w:color="auto" w:fill="auto"/>
            <w:vAlign w:val="center"/>
          </w:tcPr>
          <w:p w14:paraId="49F3C2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427" w:type="dxa"/>
            <w:shd w:val="clear" w:color="auto" w:fill="auto"/>
            <w:vAlign w:val="center"/>
          </w:tcPr>
          <w:p w14:paraId="678C7D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427" w:type="dxa"/>
            <w:shd w:val="clear" w:color="auto" w:fill="auto"/>
            <w:vAlign w:val="center"/>
          </w:tcPr>
          <w:p w14:paraId="09E15E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56</w:t>
            </w:r>
          </w:p>
        </w:tc>
        <w:tc>
          <w:tcPr>
            <w:tcW w:w="427" w:type="dxa"/>
            <w:shd w:val="clear" w:color="auto" w:fill="auto"/>
            <w:vAlign w:val="center"/>
          </w:tcPr>
          <w:p w14:paraId="0AFE23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w:t>
            </w:r>
          </w:p>
        </w:tc>
        <w:tc>
          <w:tcPr>
            <w:tcW w:w="860" w:type="dxa"/>
            <w:shd w:val="clear" w:color="auto" w:fill="auto"/>
            <w:vAlign w:val="center"/>
          </w:tcPr>
          <w:p w14:paraId="179EAD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1E2EDD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090082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427" w:type="dxa"/>
            <w:shd w:val="clear" w:color="auto" w:fill="auto"/>
            <w:vAlign w:val="center"/>
          </w:tcPr>
          <w:p w14:paraId="66D8B09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w:t>
            </w:r>
          </w:p>
        </w:tc>
        <w:tc>
          <w:tcPr>
            <w:tcW w:w="427" w:type="dxa"/>
            <w:shd w:val="clear" w:color="auto" w:fill="auto"/>
            <w:vAlign w:val="center"/>
          </w:tcPr>
          <w:p w14:paraId="4DE273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427" w:type="dxa"/>
            <w:shd w:val="clear" w:color="auto" w:fill="auto"/>
            <w:vAlign w:val="center"/>
          </w:tcPr>
          <w:p w14:paraId="73AD37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w:t>
            </w:r>
          </w:p>
        </w:tc>
        <w:tc>
          <w:tcPr>
            <w:tcW w:w="1357" w:type="dxa"/>
            <w:shd w:val="clear" w:color="auto" w:fill="auto"/>
            <w:vAlign w:val="center"/>
          </w:tcPr>
          <w:p w14:paraId="4564A5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1412F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81" w:type="dxa"/>
            <w:shd w:val="clear" w:color="auto" w:fill="auto"/>
            <w:vAlign w:val="center"/>
          </w:tcPr>
          <w:p w14:paraId="26C05C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一栋</w:t>
            </w:r>
          </w:p>
        </w:tc>
        <w:tc>
          <w:tcPr>
            <w:tcW w:w="0" w:type="auto"/>
            <w:shd w:val="clear" w:color="auto" w:fill="auto"/>
            <w:noWrap/>
            <w:vAlign w:val="center"/>
          </w:tcPr>
          <w:p w14:paraId="6CB49E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移印机14</w:t>
            </w:r>
          </w:p>
        </w:tc>
        <w:tc>
          <w:tcPr>
            <w:tcW w:w="0" w:type="auto"/>
            <w:shd w:val="clear" w:color="auto" w:fill="auto"/>
            <w:noWrap/>
            <w:vAlign w:val="center"/>
          </w:tcPr>
          <w:p w14:paraId="1F78F2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5C79870E">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2E147D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w:t>
            </w:r>
          </w:p>
        </w:tc>
        <w:tc>
          <w:tcPr>
            <w:tcW w:w="496" w:type="dxa"/>
            <w:shd w:val="clear" w:color="auto" w:fill="auto"/>
            <w:noWrap/>
            <w:vAlign w:val="center"/>
          </w:tcPr>
          <w:p w14:paraId="326DAB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34</w:t>
            </w:r>
          </w:p>
        </w:tc>
        <w:tc>
          <w:tcPr>
            <w:tcW w:w="480" w:type="dxa"/>
            <w:shd w:val="clear" w:color="auto" w:fill="auto"/>
            <w:noWrap/>
            <w:vAlign w:val="center"/>
          </w:tcPr>
          <w:p w14:paraId="1C1F1B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7.2</w:t>
            </w:r>
          </w:p>
        </w:tc>
        <w:tc>
          <w:tcPr>
            <w:tcW w:w="427" w:type="dxa"/>
            <w:shd w:val="clear" w:color="auto" w:fill="auto"/>
            <w:vAlign w:val="center"/>
          </w:tcPr>
          <w:p w14:paraId="59E01D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19A0A7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p>
        </w:tc>
        <w:tc>
          <w:tcPr>
            <w:tcW w:w="427" w:type="dxa"/>
            <w:shd w:val="clear" w:color="auto" w:fill="auto"/>
            <w:vAlign w:val="center"/>
          </w:tcPr>
          <w:p w14:paraId="5EFADC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585" w:type="dxa"/>
            <w:shd w:val="clear" w:color="auto" w:fill="auto"/>
            <w:vAlign w:val="center"/>
          </w:tcPr>
          <w:p w14:paraId="716628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w:t>
            </w:r>
          </w:p>
        </w:tc>
        <w:tc>
          <w:tcPr>
            <w:tcW w:w="427" w:type="dxa"/>
            <w:shd w:val="clear" w:color="auto" w:fill="auto"/>
            <w:vAlign w:val="center"/>
          </w:tcPr>
          <w:p w14:paraId="482846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427" w:type="dxa"/>
            <w:shd w:val="clear" w:color="auto" w:fill="auto"/>
            <w:vAlign w:val="center"/>
          </w:tcPr>
          <w:p w14:paraId="55B5F0C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w:t>
            </w:r>
          </w:p>
        </w:tc>
        <w:tc>
          <w:tcPr>
            <w:tcW w:w="427" w:type="dxa"/>
            <w:shd w:val="clear" w:color="auto" w:fill="auto"/>
            <w:vAlign w:val="center"/>
          </w:tcPr>
          <w:p w14:paraId="177E56E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56</w:t>
            </w:r>
          </w:p>
        </w:tc>
        <w:tc>
          <w:tcPr>
            <w:tcW w:w="427" w:type="dxa"/>
            <w:shd w:val="clear" w:color="auto" w:fill="auto"/>
            <w:vAlign w:val="center"/>
          </w:tcPr>
          <w:p w14:paraId="04591B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860" w:type="dxa"/>
            <w:shd w:val="clear" w:color="auto" w:fill="auto"/>
            <w:vAlign w:val="center"/>
          </w:tcPr>
          <w:p w14:paraId="035543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7D5A859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272EC90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427" w:type="dxa"/>
            <w:shd w:val="clear" w:color="auto" w:fill="auto"/>
            <w:vAlign w:val="center"/>
          </w:tcPr>
          <w:p w14:paraId="19C4351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427" w:type="dxa"/>
            <w:shd w:val="clear" w:color="auto" w:fill="auto"/>
            <w:vAlign w:val="center"/>
          </w:tcPr>
          <w:p w14:paraId="114443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427" w:type="dxa"/>
            <w:shd w:val="clear" w:color="auto" w:fill="auto"/>
            <w:vAlign w:val="center"/>
          </w:tcPr>
          <w:p w14:paraId="7838BB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1357" w:type="dxa"/>
            <w:shd w:val="clear" w:color="auto" w:fill="auto"/>
            <w:vAlign w:val="center"/>
          </w:tcPr>
          <w:p w14:paraId="3CEE0B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66A2A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81" w:type="dxa"/>
            <w:shd w:val="clear" w:color="auto" w:fill="auto"/>
            <w:vAlign w:val="center"/>
          </w:tcPr>
          <w:p w14:paraId="064173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一栋</w:t>
            </w:r>
          </w:p>
        </w:tc>
        <w:tc>
          <w:tcPr>
            <w:tcW w:w="0" w:type="auto"/>
            <w:shd w:val="clear" w:color="auto" w:fill="auto"/>
            <w:noWrap/>
            <w:vAlign w:val="center"/>
          </w:tcPr>
          <w:p w14:paraId="68DC2F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移印机15</w:t>
            </w:r>
          </w:p>
        </w:tc>
        <w:tc>
          <w:tcPr>
            <w:tcW w:w="0" w:type="auto"/>
            <w:shd w:val="clear" w:color="auto" w:fill="auto"/>
            <w:noWrap/>
            <w:vAlign w:val="center"/>
          </w:tcPr>
          <w:p w14:paraId="037013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222938F8">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65F572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w:t>
            </w:r>
          </w:p>
        </w:tc>
        <w:tc>
          <w:tcPr>
            <w:tcW w:w="496" w:type="dxa"/>
            <w:shd w:val="clear" w:color="auto" w:fill="auto"/>
            <w:noWrap/>
            <w:vAlign w:val="center"/>
          </w:tcPr>
          <w:p w14:paraId="5CCC10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37</w:t>
            </w:r>
          </w:p>
        </w:tc>
        <w:tc>
          <w:tcPr>
            <w:tcW w:w="480" w:type="dxa"/>
            <w:shd w:val="clear" w:color="auto" w:fill="auto"/>
            <w:noWrap/>
            <w:vAlign w:val="center"/>
          </w:tcPr>
          <w:p w14:paraId="0B35BC2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7.2</w:t>
            </w:r>
          </w:p>
        </w:tc>
        <w:tc>
          <w:tcPr>
            <w:tcW w:w="427" w:type="dxa"/>
            <w:shd w:val="clear" w:color="auto" w:fill="auto"/>
            <w:vAlign w:val="center"/>
          </w:tcPr>
          <w:p w14:paraId="6A64A15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427" w:type="dxa"/>
            <w:shd w:val="clear" w:color="auto" w:fill="auto"/>
            <w:vAlign w:val="center"/>
          </w:tcPr>
          <w:p w14:paraId="02F62B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w:t>
            </w:r>
          </w:p>
        </w:tc>
        <w:tc>
          <w:tcPr>
            <w:tcW w:w="427" w:type="dxa"/>
            <w:shd w:val="clear" w:color="auto" w:fill="auto"/>
            <w:vAlign w:val="center"/>
          </w:tcPr>
          <w:p w14:paraId="69CA01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585" w:type="dxa"/>
            <w:shd w:val="clear" w:color="auto" w:fill="auto"/>
            <w:vAlign w:val="center"/>
          </w:tcPr>
          <w:p w14:paraId="38F607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17.2</w:t>
            </w:r>
          </w:p>
        </w:tc>
        <w:tc>
          <w:tcPr>
            <w:tcW w:w="427" w:type="dxa"/>
            <w:shd w:val="clear" w:color="auto" w:fill="auto"/>
            <w:vAlign w:val="center"/>
          </w:tcPr>
          <w:p w14:paraId="3AA55B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427" w:type="dxa"/>
            <w:shd w:val="clear" w:color="auto" w:fill="auto"/>
            <w:vAlign w:val="center"/>
          </w:tcPr>
          <w:p w14:paraId="5EA27F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w:t>
            </w:r>
          </w:p>
        </w:tc>
        <w:tc>
          <w:tcPr>
            <w:tcW w:w="427" w:type="dxa"/>
            <w:shd w:val="clear" w:color="auto" w:fill="auto"/>
            <w:vAlign w:val="center"/>
          </w:tcPr>
          <w:p w14:paraId="2819716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56</w:t>
            </w:r>
          </w:p>
        </w:tc>
        <w:tc>
          <w:tcPr>
            <w:tcW w:w="427" w:type="dxa"/>
            <w:shd w:val="clear" w:color="auto" w:fill="auto"/>
            <w:vAlign w:val="center"/>
          </w:tcPr>
          <w:p w14:paraId="710C84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w:t>
            </w:r>
          </w:p>
        </w:tc>
        <w:tc>
          <w:tcPr>
            <w:tcW w:w="860" w:type="dxa"/>
            <w:shd w:val="clear" w:color="auto" w:fill="auto"/>
            <w:vAlign w:val="center"/>
          </w:tcPr>
          <w:p w14:paraId="632F20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36817A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3D3DEF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427" w:type="dxa"/>
            <w:shd w:val="clear" w:color="auto" w:fill="auto"/>
            <w:vAlign w:val="center"/>
          </w:tcPr>
          <w:p w14:paraId="176309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427" w:type="dxa"/>
            <w:shd w:val="clear" w:color="auto" w:fill="auto"/>
            <w:vAlign w:val="center"/>
          </w:tcPr>
          <w:p w14:paraId="11F719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427" w:type="dxa"/>
            <w:shd w:val="clear" w:color="auto" w:fill="auto"/>
            <w:vAlign w:val="center"/>
          </w:tcPr>
          <w:p w14:paraId="59789E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w:t>
            </w:r>
          </w:p>
        </w:tc>
        <w:tc>
          <w:tcPr>
            <w:tcW w:w="1357" w:type="dxa"/>
            <w:shd w:val="clear" w:color="auto" w:fill="auto"/>
            <w:vAlign w:val="center"/>
          </w:tcPr>
          <w:p w14:paraId="4F10B4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66650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1" w:type="dxa"/>
            <w:shd w:val="clear" w:color="auto" w:fill="auto"/>
            <w:vAlign w:val="center"/>
          </w:tcPr>
          <w:p w14:paraId="2D58AF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一栋</w:t>
            </w:r>
          </w:p>
        </w:tc>
        <w:tc>
          <w:tcPr>
            <w:tcW w:w="0" w:type="auto"/>
            <w:shd w:val="clear" w:color="auto" w:fill="auto"/>
            <w:noWrap/>
            <w:vAlign w:val="center"/>
          </w:tcPr>
          <w:p w14:paraId="24962A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移印机16</w:t>
            </w:r>
          </w:p>
        </w:tc>
        <w:tc>
          <w:tcPr>
            <w:tcW w:w="0" w:type="auto"/>
            <w:shd w:val="clear" w:color="auto" w:fill="auto"/>
            <w:noWrap/>
            <w:vAlign w:val="center"/>
          </w:tcPr>
          <w:p w14:paraId="617B7D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62A4B0A0">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28CDC6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w:t>
            </w:r>
          </w:p>
        </w:tc>
        <w:tc>
          <w:tcPr>
            <w:tcW w:w="496" w:type="dxa"/>
            <w:shd w:val="clear" w:color="auto" w:fill="auto"/>
            <w:noWrap/>
            <w:vAlign w:val="center"/>
          </w:tcPr>
          <w:p w14:paraId="4577DA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w:t>
            </w:r>
          </w:p>
        </w:tc>
        <w:tc>
          <w:tcPr>
            <w:tcW w:w="480" w:type="dxa"/>
            <w:shd w:val="clear" w:color="auto" w:fill="auto"/>
            <w:noWrap/>
            <w:vAlign w:val="center"/>
          </w:tcPr>
          <w:p w14:paraId="302B62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7.2</w:t>
            </w:r>
          </w:p>
        </w:tc>
        <w:tc>
          <w:tcPr>
            <w:tcW w:w="427" w:type="dxa"/>
            <w:shd w:val="clear" w:color="auto" w:fill="auto"/>
            <w:vAlign w:val="center"/>
          </w:tcPr>
          <w:p w14:paraId="7D9857E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2CBDA1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65</w:t>
            </w:r>
          </w:p>
        </w:tc>
        <w:tc>
          <w:tcPr>
            <w:tcW w:w="427" w:type="dxa"/>
            <w:shd w:val="clear" w:color="auto" w:fill="auto"/>
            <w:vAlign w:val="center"/>
          </w:tcPr>
          <w:p w14:paraId="0F0ADF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585" w:type="dxa"/>
            <w:shd w:val="clear" w:color="auto" w:fill="auto"/>
            <w:vAlign w:val="center"/>
          </w:tcPr>
          <w:p w14:paraId="1C786A5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15.2</w:t>
            </w:r>
          </w:p>
        </w:tc>
        <w:tc>
          <w:tcPr>
            <w:tcW w:w="427" w:type="dxa"/>
            <w:shd w:val="clear" w:color="auto" w:fill="auto"/>
            <w:vAlign w:val="center"/>
          </w:tcPr>
          <w:p w14:paraId="22B3E26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427" w:type="dxa"/>
            <w:shd w:val="clear" w:color="auto" w:fill="auto"/>
            <w:vAlign w:val="center"/>
          </w:tcPr>
          <w:p w14:paraId="368CCE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w:t>
            </w:r>
          </w:p>
        </w:tc>
        <w:tc>
          <w:tcPr>
            <w:tcW w:w="427" w:type="dxa"/>
            <w:shd w:val="clear" w:color="auto" w:fill="auto"/>
            <w:vAlign w:val="center"/>
          </w:tcPr>
          <w:p w14:paraId="09C3E8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56</w:t>
            </w:r>
          </w:p>
        </w:tc>
        <w:tc>
          <w:tcPr>
            <w:tcW w:w="427" w:type="dxa"/>
            <w:shd w:val="clear" w:color="auto" w:fill="auto"/>
            <w:vAlign w:val="center"/>
          </w:tcPr>
          <w:p w14:paraId="2594339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56</w:t>
            </w:r>
          </w:p>
        </w:tc>
        <w:tc>
          <w:tcPr>
            <w:tcW w:w="860" w:type="dxa"/>
            <w:shd w:val="clear" w:color="auto" w:fill="auto"/>
            <w:vAlign w:val="center"/>
          </w:tcPr>
          <w:p w14:paraId="7B2CCE0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56B45B7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171D21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427" w:type="dxa"/>
            <w:shd w:val="clear" w:color="auto" w:fill="auto"/>
            <w:vAlign w:val="center"/>
          </w:tcPr>
          <w:p w14:paraId="0EDBE1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427" w:type="dxa"/>
            <w:shd w:val="clear" w:color="auto" w:fill="auto"/>
            <w:vAlign w:val="center"/>
          </w:tcPr>
          <w:p w14:paraId="13A8C7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427" w:type="dxa"/>
            <w:shd w:val="clear" w:color="auto" w:fill="auto"/>
            <w:vAlign w:val="center"/>
          </w:tcPr>
          <w:p w14:paraId="4A20BA3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1357" w:type="dxa"/>
            <w:shd w:val="clear" w:color="auto" w:fill="auto"/>
            <w:vAlign w:val="center"/>
          </w:tcPr>
          <w:p w14:paraId="5CDEB2F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092EF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81" w:type="dxa"/>
            <w:shd w:val="clear" w:color="auto" w:fill="auto"/>
            <w:vAlign w:val="center"/>
          </w:tcPr>
          <w:p w14:paraId="7D79E5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一栋</w:t>
            </w:r>
          </w:p>
        </w:tc>
        <w:tc>
          <w:tcPr>
            <w:tcW w:w="0" w:type="auto"/>
            <w:shd w:val="clear" w:color="auto" w:fill="auto"/>
            <w:noWrap/>
            <w:vAlign w:val="center"/>
          </w:tcPr>
          <w:p w14:paraId="016124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移印机17</w:t>
            </w:r>
          </w:p>
        </w:tc>
        <w:tc>
          <w:tcPr>
            <w:tcW w:w="0" w:type="auto"/>
            <w:shd w:val="clear" w:color="auto" w:fill="auto"/>
            <w:noWrap/>
            <w:vAlign w:val="center"/>
          </w:tcPr>
          <w:p w14:paraId="55C0ED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0CD13C49">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5212B9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w:t>
            </w:r>
          </w:p>
        </w:tc>
        <w:tc>
          <w:tcPr>
            <w:tcW w:w="496" w:type="dxa"/>
            <w:shd w:val="clear" w:color="auto" w:fill="auto"/>
            <w:noWrap/>
            <w:vAlign w:val="center"/>
          </w:tcPr>
          <w:p w14:paraId="3402CA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w:t>
            </w:r>
          </w:p>
        </w:tc>
        <w:tc>
          <w:tcPr>
            <w:tcW w:w="480" w:type="dxa"/>
            <w:shd w:val="clear" w:color="auto" w:fill="auto"/>
            <w:noWrap/>
            <w:vAlign w:val="center"/>
          </w:tcPr>
          <w:p w14:paraId="58C4217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7.2</w:t>
            </w:r>
          </w:p>
        </w:tc>
        <w:tc>
          <w:tcPr>
            <w:tcW w:w="427" w:type="dxa"/>
            <w:shd w:val="clear" w:color="auto" w:fill="auto"/>
            <w:vAlign w:val="center"/>
          </w:tcPr>
          <w:p w14:paraId="2E25B8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66429E9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68</w:t>
            </w:r>
          </w:p>
        </w:tc>
        <w:tc>
          <w:tcPr>
            <w:tcW w:w="427" w:type="dxa"/>
            <w:shd w:val="clear" w:color="auto" w:fill="auto"/>
            <w:vAlign w:val="center"/>
          </w:tcPr>
          <w:p w14:paraId="587CD07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585" w:type="dxa"/>
            <w:shd w:val="clear" w:color="auto" w:fill="auto"/>
            <w:vAlign w:val="center"/>
          </w:tcPr>
          <w:p w14:paraId="159CC99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12.2</w:t>
            </w:r>
          </w:p>
        </w:tc>
        <w:tc>
          <w:tcPr>
            <w:tcW w:w="427" w:type="dxa"/>
            <w:shd w:val="clear" w:color="auto" w:fill="auto"/>
            <w:vAlign w:val="center"/>
          </w:tcPr>
          <w:p w14:paraId="7F56B5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427" w:type="dxa"/>
            <w:shd w:val="clear" w:color="auto" w:fill="auto"/>
            <w:vAlign w:val="center"/>
          </w:tcPr>
          <w:p w14:paraId="136EA2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w:t>
            </w:r>
          </w:p>
        </w:tc>
        <w:tc>
          <w:tcPr>
            <w:tcW w:w="427" w:type="dxa"/>
            <w:shd w:val="clear" w:color="auto" w:fill="auto"/>
            <w:vAlign w:val="center"/>
          </w:tcPr>
          <w:p w14:paraId="375F51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56</w:t>
            </w:r>
          </w:p>
        </w:tc>
        <w:tc>
          <w:tcPr>
            <w:tcW w:w="427" w:type="dxa"/>
            <w:shd w:val="clear" w:color="auto" w:fill="auto"/>
            <w:vAlign w:val="center"/>
          </w:tcPr>
          <w:p w14:paraId="59F8E60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58</w:t>
            </w:r>
          </w:p>
        </w:tc>
        <w:tc>
          <w:tcPr>
            <w:tcW w:w="860" w:type="dxa"/>
            <w:shd w:val="clear" w:color="auto" w:fill="auto"/>
            <w:vAlign w:val="center"/>
          </w:tcPr>
          <w:p w14:paraId="011821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6C1DC7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69D858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427" w:type="dxa"/>
            <w:shd w:val="clear" w:color="auto" w:fill="auto"/>
            <w:vAlign w:val="center"/>
          </w:tcPr>
          <w:p w14:paraId="47294E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w:t>
            </w:r>
          </w:p>
        </w:tc>
        <w:tc>
          <w:tcPr>
            <w:tcW w:w="427" w:type="dxa"/>
            <w:shd w:val="clear" w:color="auto" w:fill="auto"/>
            <w:vAlign w:val="center"/>
          </w:tcPr>
          <w:p w14:paraId="3AA92F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427" w:type="dxa"/>
            <w:shd w:val="clear" w:color="auto" w:fill="auto"/>
            <w:vAlign w:val="center"/>
          </w:tcPr>
          <w:p w14:paraId="099183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w:t>
            </w:r>
          </w:p>
        </w:tc>
        <w:tc>
          <w:tcPr>
            <w:tcW w:w="1357" w:type="dxa"/>
            <w:shd w:val="clear" w:color="auto" w:fill="auto"/>
            <w:vAlign w:val="center"/>
          </w:tcPr>
          <w:p w14:paraId="07F57DA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157AB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681" w:type="dxa"/>
            <w:shd w:val="clear" w:color="auto" w:fill="auto"/>
            <w:vAlign w:val="center"/>
          </w:tcPr>
          <w:p w14:paraId="286EC4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一栋</w:t>
            </w:r>
          </w:p>
        </w:tc>
        <w:tc>
          <w:tcPr>
            <w:tcW w:w="0" w:type="auto"/>
            <w:shd w:val="clear" w:color="auto" w:fill="auto"/>
            <w:noWrap/>
            <w:vAlign w:val="center"/>
          </w:tcPr>
          <w:p w14:paraId="3D6C8D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移印机18</w:t>
            </w:r>
          </w:p>
        </w:tc>
        <w:tc>
          <w:tcPr>
            <w:tcW w:w="0" w:type="auto"/>
            <w:shd w:val="clear" w:color="auto" w:fill="auto"/>
            <w:noWrap/>
            <w:vAlign w:val="center"/>
          </w:tcPr>
          <w:p w14:paraId="4A4382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26" w:type="dxa"/>
            <w:vMerge w:val="continue"/>
            <w:shd w:val="clear" w:color="auto" w:fill="auto"/>
            <w:vAlign w:val="center"/>
          </w:tcPr>
          <w:p w14:paraId="637E8B63">
            <w:pPr>
              <w:jc w:val="center"/>
              <w:rPr>
                <w:rFonts w:hint="default" w:ascii="Times New Roman" w:hAnsi="Times New Roman" w:eastAsia="宋体" w:cs="Times New Roman"/>
                <w:i w:val="0"/>
                <w:iCs w:val="0"/>
                <w:color w:val="auto"/>
                <w:sz w:val="21"/>
                <w:szCs w:val="21"/>
                <w:u w:val="none"/>
              </w:rPr>
            </w:pPr>
          </w:p>
        </w:tc>
        <w:tc>
          <w:tcPr>
            <w:tcW w:w="0" w:type="auto"/>
            <w:shd w:val="clear" w:color="auto" w:fill="auto"/>
            <w:noWrap/>
            <w:vAlign w:val="center"/>
          </w:tcPr>
          <w:p w14:paraId="4EC9BB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w:t>
            </w:r>
          </w:p>
        </w:tc>
        <w:tc>
          <w:tcPr>
            <w:tcW w:w="496" w:type="dxa"/>
            <w:shd w:val="clear" w:color="auto" w:fill="auto"/>
            <w:noWrap/>
            <w:vAlign w:val="center"/>
          </w:tcPr>
          <w:p w14:paraId="482AA7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w:t>
            </w:r>
          </w:p>
        </w:tc>
        <w:tc>
          <w:tcPr>
            <w:tcW w:w="480" w:type="dxa"/>
            <w:shd w:val="clear" w:color="auto" w:fill="auto"/>
            <w:noWrap/>
            <w:vAlign w:val="center"/>
          </w:tcPr>
          <w:p w14:paraId="422B38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7.2</w:t>
            </w:r>
          </w:p>
        </w:tc>
        <w:tc>
          <w:tcPr>
            <w:tcW w:w="427" w:type="dxa"/>
            <w:shd w:val="clear" w:color="auto" w:fill="auto"/>
            <w:vAlign w:val="center"/>
          </w:tcPr>
          <w:p w14:paraId="041AAE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151CE01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70</w:t>
            </w:r>
          </w:p>
        </w:tc>
        <w:tc>
          <w:tcPr>
            <w:tcW w:w="427" w:type="dxa"/>
            <w:shd w:val="clear" w:color="auto" w:fill="auto"/>
            <w:vAlign w:val="center"/>
          </w:tcPr>
          <w:p w14:paraId="752DED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585" w:type="dxa"/>
            <w:shd w:val="clear" w:color="auto" w:fill="auto"/>
            <w:vAlign w:val="center"/>
          </w:tcPr>
          <w:p w14:paraId="1A18CFA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10.2</w:t>
            </w:r>
          </w:p>
        </w:tc>
        <w:tc>
          <w:tcPr>
            <w:tcW w:w="427" w:type="dxa"/>
            <w:shd w:val="clear" w:color="auto" w:fill="auto"/>
            <w:vAlign w:val="center"/>
          </w:tcPr>
          <w:p w14:paraId="4D2A098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427" w:type="dxa"/>
            <w:shd w:val="clear" w:color="auto" w:fill="auto"/>
            <w:vAlign w:val="center"/>
          </w:tcPr>
          <w:p w14:paraId="29168E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w:t>
            </w:r>
          </w:p>
        </w:tc>
        <w:tc>
          <w:tcPr>
            <w:tcW w:w="427" w:type="dxa"/>
            <w:shd w:val="clear" w:color="auto" w:fill="auto"/>
            <w:vAlign w:val="center"/>
          </w:tcPr>
          <w:p w14:paraId="6E1F04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56</w:t>
            </w:r>
          </w:p>
        </w:tc>
        <w:tc>
          <w:tcPr>
            <w:tcW w:w="427" w:type="dxa"/>
            <w:shd w:val="clear" w:color="auto" w:fill="auto"/>
            <w:vAlign w:val="center"/>
          </w:tcPr>
          <w:p w14:paraId="2910C4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p>
        </w:tc>
        <w:tc>
          <w:tcPr>
            <w:tcW w:w="860" w:type="dxa"/>
            <w:shd w:val="clear" w:color="auto" w:fill="auto"/>
            <w:vAlign w:val="center"/>
          </w:tcPr>
          <w:p w14:paraId="72E7F6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291" w:type="dxa"/>
            <w:shd w:val="clear" w:color="auto" w:fill="auto"/>
            <w:vAlign w:val="center"/>
          </w:tcPr>
          <w:p w14:paraId="62CCCE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427" w:type="dxa"/>
            <w:shd w:val="clear" w:color="auto" w:fill="auto"/>
            <w:vAlign w:val="center"/>
          </w:tcPr>
          <w:p w14:paraId="6A35C6D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427" w:type="dxa"/>
            <w:shd w:val="clear" w:color="auto" w:fill="auto"/>
            <w:vAlign w:val="center"/>
          </w:tcPr>
          <w:p w14:paraId="2E64FFA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w:t>
            </w:r>
          </w:p>
        </w:tc>
        <w:tc>
          <w:tcPr>
            <w:tcW w:w="427" w:type="dxa"/>
            <w:shd w:val="clear" w:color="auto" w:fill="auto"/>
            <w:vAlign w:val="center"/>
          </w:tcPr>
          <w:p w14:paraId="79D718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427" w:type="dxa"/>
            <w:shd w:val="clear" w:color="auto" w:fill="auto"/>
            <w:vAlign w:val="center"/>
          </w:tcPr>
          <w:p w14:paraId="4E1092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34</w:t>
            </w:r>
          </w:p>
        </w:tc>
        <w:tc>
          <w:tcPr>
            <w:tcW w:w="1357" w:type="dxa"/>
            <w:shd w:val="clear" w:color="auto" w:fill="auto"/>
            <w:vAlign w:val="center"/>
          </w:tcPr>
          <w:p w14:paraId="2C3147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3ABD1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681" w:type="dxa"/>
            <w:shd w:val="clear" w:color="auto" w:fill="auto"/>
            <w:vAlign w:val="center"/>
          </w:tcPr>
          <w:p w14:paraId="55D3A88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一栋</w:t>
            </w:r>
          </w:p>
        </w:tc>
        <w:tc>
          <w:tcPr>
            <w:tcW w:w="0" w:type="auto"/>
            <w:shd w:val="clear" w:color="auto" w:fill="auto"/>
            <w:noWrap/>
            <w:vAlign w:val="center"/>
          </w:tcPr>
          <w:p w14:paraId="3747722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机边破碎1</w:t>
            </w:r>
          </w:p>
        </w:tc>
        <w:tc>
          <w:tcPr>
            <w:tcW w:w="0" w:type="auto"/>
            <w:shd w:val="clear" w:color="auto" w:fill="auto"/>
            <w:noWrap/>
            <w:vAlign w:val="center"/>
          </w:tcPr>
          <w:p w14:paraId="508494D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726" w:type="dxa"/>
            <w:vMerge w:val="continue"/>
            <w:shd w:val="clear" w:color="auto" w:fill="auto"/>
            <w:vAlign w:val="center"/>
          </w:tcPr>
          <w:p w14:paraId="6F87F891">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56ECA51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-15</w:t>
            </w:r>
          </w:p>
        </w:tc>
        <w:tc>
          <w:tcPr>
            <w:tcW w:w="496" w:type="dxa"/>
            <w:shd w:val="clear" w:color="auto" w:fill="auto"/>
            <w:noWrap/>
            <w:vAlign w:val="center"/>
          </w:tcPr>
          <w:p w14:paraId="2E9E8E1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-17</w:t>
            </w:r>
          </w:p>
        </w:tc>
        <w:tc>
          <w:tcPr>
            <w:tcW w:w="480" w:type="dxa"/>
            <w:shd w:val="clear" w:color="auto" w:fill="auto"/>
            <w:noWrap/>
            <w:vAlign w:val="center"/>
          </w:tcPr>
          <w:p w14:paraId="31C75E6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74E6F92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10</w:t>
            </w:r>
          </w:p>
        </w:tc>
        <w:tc>
          <w:tcPr>
            <w:tcW w:w="427" w:type="dxa"/>
            <w:shd w:val="clear" w:color="auto" w:fill="auto"/>
            <w:vAlign w:val="center"/>
          </w:tcPr>
          <w:p w14:paraId="50DAC56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9</w:t>
            </w:r>
          </w:p>
        </w:tc>
        <w:tc>
          <w:tcPr>
            <w:tcW w:w="427" w:type="dxa"/>
            <w:shd w:val="clear" w:color="auto" w:fill="auto"/>
            <w:vAlign w:val="center"/>
          </w:tcPr>
          <w:p w14:paraId="083F4A2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26</w:t>
            </w:r>
          </w:p>
        </w:tc>
        <w:tc>
          <w:tcPr>
            <w:tcW w:w="585" w:type="dxa"/>
            <w:shd w:val="clear" w:color="auto" w:fill="auto"/>
            <w:vAlign w:val="center"/>
          </w:tcPr>
          <w:p w14:paraId="3E1FDF6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71.2</w:t>
            </w:r>
          </w:p>
        </w:tc>
        <w:tc>
          <w:tcPr>
            <w:tcW w:w="427" w:type="dxa"/>
            <w:shd w:val="clear" w:color="auto" w:fill="auto"/>
            <w:vAlign w:val="center"/>
          </w:tcPr>
          <w:p w14:paraId="65152B2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60</w:t>
            </w:r>
          </w:p>
        </w:tc>
        <w:tc>
          <w:tcPr>
            <w:tcW w:w="427" w:type="dxa"/>
            <w:shd w:val="clear" w:color="auto" w:fill="auto"/>
            <w:vAlign w:val="center"/>
          </w:tcPr>
          <w:p w14:paraId="052BB76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61</w:t>
            </w:r>
          </w:p>
        </w:tc>
        <w:tc>
          <w:tcPr>
            <w:tcW w:w="427" w:type="dxa"/>
            <w:shd w:val="clear" w:color="auto" w:fill="auto"/>
            <w:vAlign w:val="center"/>
          </w:tcPr>
          <w:p w14:paraId="305B922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52</w:t>
            </w:r>
          </w:p>
        </w:tc>
        <w:tc>
          <w:tcPr>
            <w:tcW w:w="427" w:type="dxa"/>
            <w:shd w:val="clear" w:color="auto" w:fill="auto"/>
            <w:vAlign w:val="center"/>
          </w:tcPr>
          <w:p w14:paraId="4D91836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43</w:t>
            </w:r>
          </w:p>
        </w:tc>
        <w:tc>
          <w:tcPr>
            <w:tcW w:w="860" w:type="dxa"/>
            <w:shd w:val="clear" w:color="auto" w:fill="auto"/>
            <w:vAlign w:val="center"/>
          </w:tcPr>
          <w:p w14:paraId="26F6936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昼夜</w:t>
            </w:r>
          </w:p>
        </w:tc>
        <w:tc>
          <w:tcPr>
            <w:tcW w:w="1291" w:type="dxa"/>
            <w:shd w:val="clear" w:color="auto" w:fill="auto"/>
            <w:vAlign w:val="center"/>
          </w:tcPr>
          <w:p w14:paraId="52FA8CA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4538F6A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34</w:t>
            </w:r>
          </w:p>
        </w:tc>
        <w:tc>
          <w:tcPr>
            <w:tcW w:w="427" w:type="dxa"/>
            <w:shd w:val="clear" w:color="auto" w:fill="auto"/>
            <w:vAlign w:val="center"/>
          </w:tcPr>
          <w:p w14:paraId="7DFC2FD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35</w:t>
            </w:r>
          </w:p>
        </w:tc>
        <w:tc>
          <w:tcPr>
            <w:tcW w:w="427" w:type="dxa"/>
            <w:shd w:val="clear" w:color="auto" w:fill="auto"/>
            <w:vAlign w:val="center"/>
          </w:tcPr>
          <w:p w14:paraId="4B556F7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26</w:t>
            </w:r>
          </w:p>
        </w:tc>
        <w:tc>
          <w:tcPr>
            <w:tcW w:w="427" w:type="dxa"/>
            <w:shd w:val="clear" w:color="auto" w:fill="auto"/>
            <w:vAlign w:val="center"/>
          </w:tcPr>
          <w:p w14:paraId="18528F6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17</w:t>
            </w:r>
          </w:p>
        </w:tc>
        <w:tc>
          <w:tcPr>
            <w:tcW w:w="1357" w:type="dxa"/>
            <w:shd w:val="clear" w:color="auto" w:fill="auto"/>
            <w:vAlign w:val="center"/>
          </w:tcPr>
          <w:p w14:paraId="47F707F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7220D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681" w:type="dxa"/>
            <w:shd w:val="clear" w:color="auto" w:fill="auto"/>
            <w:vAlign w:val="center"/>
          </w:tcPr>
          <w:p w14:paraId="7E12D97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一栋</w:t>
            </w:r>
          </w:p>
        </w:tc>
        <w:tc>
          <w:tcPr>
            <w:tcW w:w="0" w:type="auto"/>
            <w:shd w:val="clear" w:color="auto" w:fill="auto"/>
            <w:noWrap/>
            <w:vAlign w:val="center"/>
          </w:tcPr>
          <w:p w14:paraId="0EB041C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机边破碎2</w:t>
            </w:r>
          </w:p>
        </w:tc>
        <w:tc>
          <w:tcPr>
            <w:tcW w:w="0" w:type="auto"/>
            <w:shd w:val="clear" w:color="auto" w:fill="auto"/>
            <w:noWrap/>
            <w:vAlign w:val="center"/>
          </w:tcPr>
          <w:p w14:paraId="4B59119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726" w:type="dxa"/>
            <w:vMerge w:val="continue"/>
            <w:shd w:val="clear" w:color="auto" w:fill="auto"/>
            <w:vAlign w:val="center"/>
          </w:tcPr>
          <w:p w14:paraId="4C577F34">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372967C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-15</w:t>
            </w:r>
          </w:p>
        </w:tc>
        <w:tc>
          <w:tcPr>
            <w:tcW w:w="496" w:type="dxa"/>
            <w:shd w:val="clear" w:color="auto" w:fill="auto"/>
            <w:noWrap/>
            <w:vAlign w:val="center"/>
          </w:tcPr>
          <w:p w14:paraId="78135DA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-15</w:t>
            </w:r>
          </w:p>
        </w:tc>
        <w:tc>
          <w:tcPr>
            <w:tcW w:w="480" w:type="dxa"/>
            <w:shd w:val="clear" w:color="auto" w:fill="auto"/>
            <w:noWrap/>
            <w:vAlign w:val="center"/>
          </w:tcPr>
          <w:p w14:paraId="2DD1585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158B373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10</w:t>
            </w:r>
          </w:p>
        </w:tc>
        <w:tc>
          <w:tcPr>
            <w:tcW w:w="427" w:type="dxa"/>
            <w:shd w:val="clear" w:color="auto" w:fill="auto"/>
            <w:vAlign w:val="center"/>
          </w:tcPr>
          <w:p w14:paraId="601BE21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11</w:t>
            </w:r>
          </w:p>
        </w:tc>
        <w:tc>
          <w:tcPr>
            <w:tcW w:w="427" w:type="dxa"/>
            <w:shd w:val="clear" w:color="auto" w:fill="auto"/>
            <w:vAlign w:val="center"/>
          </w:tcPr>
          <w:p w14:paraId="7855B77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26</w:t>
            </w:r>
          </w:p>
        </w:tc>
        <w:tc>
          <w:tcPr>
            <w:tcW w:w="585" w:type="dxa"/>
            <w:shd w:val="clear" w:color="auto" w:fill="auto"/>
            <w:vAlign w:val="center"/>
          </w:tcPr>
          <w:p w14:paraId="7531995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69.2</w:t>
            </w:r>
          </w:p>
        </w:tc>
        <w:tc>
          <w:tcPr>
            <w:tcW w:w="427" w:type="dxa"/>
            <w:shd w:val="clear" w:color="auto" w:fill="auto"/>
            <w:vAlign w:val="center"/>
          </w:tcPr>
          <w:p w14:paraId="6ED7AD0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60</w:t>
            </w:r>
          </w:p>
        </w:tc>
        <w:tc>
          <w:tcPr>
            <w:tcW w:w="427" w:type="dxa"/>
            <w:shd w:val="clear" w:color="auto" w:fill="auto"/>
            <w:vAlign w:val="center"/>
          </w:tcPr>
          <w:p w14:paraId="47708EB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59</w:t>
            </w:r>
          </w:p>
        </w:tc>
        <w:tc>
          <w:tcPr>
            <w:tcW w:w="427" w:type="dxa"/>
            <w:shd w:val="clear" w:color="auto" w:fill="auto"/>
            <w:vAlign w:val="center"/>
          </w:tcPr>
          <w:p w14:paraId="7972DC6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52</w:t>
            </w:r>
          </w:p>
        </w:tc>
        <w:tc>
          <w:tcPr>
            <w:tcW w:w="427" w:type="dxa"/>
            <w:shd w:val="clear" w:color="auto" w:fill="auto"/>
            <w:vAlign w:val="center"/>
          </w:tcPr>
          <w:p w14:paraId="74A5FFF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43</w:t>
            </w:r>
          </w:p>
        </w:tc>
        <w:tc>
          <w:tcPr>
            <w:tcW w:w="860" w:type="dxa"/>
            <w:shd w:val="clear" w:color="auto" w:fill="auto"/>
            <w:vAlign w:val="center"/>
          </w:tcPr>
          <w:p w14:paraId="3D3D3A1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昼夜</w:t>
            </w:r>
          </w:p>
        </w:tc>
        <w:tc>
          <w:tcPr>
            <w:tcW w:w="1291" w:type="dxa"/>
            <w:shd w:val="clear" w:color="auto" w:fill="auto"/>
            <w:vAlign w:val="center"/>
          </w:tcPr>
          <w:p w14:paraId="0A6246A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7022FCE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34</w:t>
            </w:r>
          </w:p>
        </w:tc>
        <w:tc>
          <w:tcPr>
            <w:tcW w:w="427" w:type="dxa"/>
            <w:shd w:val="clear" w:color="auto" w:fill="auto"/>
            <w:vAlign w:val="center"/>
          </w:tcPr>
          <w:p w14:paraId="2EA2711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33</w:t>
            </w:r>
          </w:p>
        </w:tc>
        <w:tc>
          <w:tcPr>
            <w:tcW w:w="427" w:type="dxa"/>
            <w:shd w:val="clear" w:color="auto" w:fill="auto"/>
            <w:vAlign w:val="center"/>
          </w:tcPr>
          <w:p w14:paraId="5CDA236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26</w:t>
            </w:r>
          </w:p>
        </w:tc>
        <w:tc>
          <w:tcPr>
            <w:tcW w:w="427" w:type="dxa"/>
            <w:shd w:val="clear" w:color="auto" w:fill="auto"/>
            <w:vAlign w:val="center"/>
          </w:tcPr>
          <w:p w14:paraId="3B9D894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17</w:t>
            </w:r>
          </w:p>
        </w:tc>
        <w:tc>
          <w:tcPr>
            <w:tcW w:w="1357" w:type="dxa"/>
            <w:shd w:val="clear" w:color="auto" w:fill="auto"/>
            <w:vAlign w:val="center"/>
          </w:tcPr>
          <w:p w14:paraId="4F4514B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5FB4F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1" w:type="dxa"/>
            <w:shd w:val="clear" w:color="auto" w:fill="auto"/>
            <w:vAlign w:val="center"/>
          </w:tcPr>
          <w:p w14:paraId="646B6F5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一栋</w:t>
            </w:r>
          </w:p>
        </w:tc>
        <w:tc>
          <w:tcPr>
            <w:tcW w:w="0" w:type="auto"/>
            <w:shd w:val="clear" w:color="auto" w:fill="auto"/>
            <w:noWrap/>
            <w:vAlign w:val="center"/>
          </w:tcPr>
          <w:p w14:paraId="7CEE9F8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机边破碎3</w:t>
            </w:r>
          </w:p>
        </w:tc>
        <w:tc>
          <w:tcPr>
            <w:tcW w:w="0" w:type="auto"/>
            <w:shd w:val="clear" w:color="auto" w:fill="auto"/>
            <w:noWrap/>
            <w:vAlign w:val="center"/>
          </w:tcPr>
          <w:p w14:paraId="7E6A998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726" w:type="dxa"/>
            <w:vMerge w:val="continue"/>
            <w:shd w:val="clear" w:color="auto" w:fill="auto"/>
            <w:vAlign w:val="center"/>
          </w:tcPr>
          <w:p w14:paraId="28C51D3F">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3B27610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-15</w:t>
            </w:r>
          </w:p>
        </w:tc>
        <w:tc>
          <w:tcPr>
            <w:tcW w:w="496" w:type="dxa"/>
            <w:shd w:val="clear" w:color="auto" w:fill="auto"/>
            <w:noWrap/>
            <w:vAlign w:val="center"/>
          </w:tcPr>
          <w:p w14:paraId="21EC8DD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-13</w:t>
            </w:r>
          </w:p>
        </w:tc>
        <w:tc>
          <w:tcPr>
            <w:tcW w:w="480" w:type="dxa"/>
            <w:shd w:val="clear" w:color="auto" w:fill="auto"/>
            <w:noWrap/>
            <w:vAlign w:val="center"/>
          </w:tcPr>
          <w:p w14:paraId="2B8959A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04F9444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10</w:t>
            </w:r>
          </w:p>
        </w:tc>
        <w:tc>
          <w:tcPr>
            <w:tcW w:w="427" w:type="dxa"/>
            <w:shd w:val="clear" w:color="auto" w:fill="auto"/>
            <w:vAlign w:val="center"/>
          </w:tcPr>
          <w:p w14:paraId="7E80D3C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13</w:t>
            </w:r>
          </w:p>
        </w:tc>
        <w:tc>
          <w:tcPr>
            <w:tcW w:w="427" w:type="dxa"/>
            <w:shd w:val="clear" w:color="auto" w:fill="auto"/>
            <w:vAlign w:val="center"/>
          </w:tcPr>
          <w:p w14:paraId="5AE8A22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26</w:t>
            </w:r>
          </w:p>
        </w:tc>
        <w:tc>
          <w:tcPr>
            <w:tcW w:w="585" w:type="dxa"/>
            <w:shd w:val="clear" w:color="auto" w:fill="auto"/>
            <w:vAlign w:val="center"/>
          </w:tcPr>
          <w:p w14:paraId="6253683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67.2</w:t>
            </w:r>
          </w:p>
        </w:tc>
        <w:tc>
          <w:tcPr>
            <w:tcW w:w="427" w:type="dxa"/>
            <w:shd w:val="clear" w:color="auto" w:fill="auto"/>
            <w:vAlign w:val="center"/>
          </w:tcPr>
          <w:p w14:paraId="608F31D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60</w:t>
            </w:r>
          </w:p>
        </w:tc>
        <w:tc>
          <w:tcPr>
            <w:tcW w:w="427" w:type="dxa"/>
            <w:shd w:val="clear" w:color="auto" w:fill="auto"/>
            <w:vAlign w:val="center"/>
          </w:tcPr>
          <w:p w14:paraId="20F9125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58</w:t>
            </w:r>
          </w:p>
        </w:tc>
        <w:tc>
          <w:tcPr>
            <w:tcW w:w="427" w:type="dxa"/>
            <w:shd w:val="clear" w:color="auto" w:fill="auto"/>
            <w:vAlign w:val="center"/>
          </w:tcPr>
          <w:p w14:paraId="1FB42F0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52</w:t>
            </w:r>
          </w:p>
        </w:tc>
        <w:tc>
          <w:tcPr>
            <w:tcW w:w="427" w:type="dxa"/>
            <w:shd w:val="clear" w:color="auto" w:fill="auto"/>
            <w:vAlign w:val="center"/>
          </w:tcPr>
          <w:p w14:paraId="47A44C1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43</w:t>
            </w:r>
          </w:p>
        </w:tc>
        <w:tc>
          <w:tcPr>
            <w:tcW w:w="860" w:type="dxa"/>
            <w:shd w:val="clear" w:color="auto" w:fill="auto"/>
            <w:vAlign w:val="center"/>
          </w:tcPr>
          <w:p w14:paraId="367B69F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昼夜</w:t>
            </w:r>
          </w:p>
        </w:tc>
        <w:tc>
          <w:tcPr>
            <w:tcW w:w="1291" w:type="dxa"/>
            <w:shd w:val="clear" w:color="auto" w:fill="auto"/>
            <w:vAlign w:val="center"/>
          </w:tcPr>
          <w:p w14:paraId="6A8F521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006B7D0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34</w:t>
            </w:r>
          </w:p>
        </w:tc>
        <w:tc>
          <w:tcPr>
            <w:tcW w:w="427" w:type="dxa"/>
            <w:shd w:val="clear" w:color="auto" w:fill="auto"/>
            <w:vAlign w:val="center"/>
          </w:tcPr>
          <w:p w14:paraId="552D545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32</w:t>
            </w:r>
          </w:p>
        </w:tc>
        <w:tc>
          <w:tcPr>
            <w:tcW w:w="427" w:type="dxa"/>
            <w:shd w:val="clear" w:color="auto" w:fill="auto"/>
            <w:vAlign w:val="center"/>
          </w:tcPr>
          <w:p w14:paraId="56F00A9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26</w:t>
            </w:r>
          </w:p>
        </w:tc>
        <w:tc>
          <w:tcPr>
            <w:tcW w:w="427" w:type="dxa"/>
            <w:shd w:val="clear" w:color="auto" w:fill="auto"/>
            <w:vAlign w:val="center"/>
          </w:tcPr>
          <w:p w14:paraId="6065341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17</w:t>
            </w:r>
          </w:p>
        </w:tc>
        <w:tc>
          <w:tcPr>
            <w:tcW w:w="1357" w:type="dxa"/>
            <w:shd w:val="clear" w:color="auto" w:fill="auto"/>
            <w:vAlign w:val="center"/>
          </w:tcPr>
          <w:p w14:paraId="07E61D9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4A987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681" w:type="dxa"/>
            <w:shd w:val="clear" w:color="auto" w:fill="auto"/>
            <w:vAlign w:val="center"/>
          </w:tcPr>
          <w:p w14:paraId="7CED8BD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一栋</w:t>
            </w:r>
          </w:p>
        </w:tc>
        <w:tc>
          <w:tcPr>
            <w:tcW w:w="0" w:type="auto"/>
            <w:shd w:val="clear" w:color="auto" w:fill="auto"/>
            <w:noWrap/>
            <w:vAlign w:val="center"/>
          </w:tcPr>
          <w:p w14:paraId="7CAFE4B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机边破碎4</w:t>
            </w:r>
          </w:p>
        </w:tc>
        <w:tc>
          <w:tcPr>
            <w:tcW w:w="0" w:type="auto"/>
            <w:shd w:val="clear" w:color="auto" w:fill="auto"/>
            <w:noWrap/>
            <w:vAlign w:val="center"/>
          </w:tcPr>
          <w:p w14:paraId="17A6699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726" w:type="dxa"/>
            <w:vMerge w:val="continue"/>
            <w:shd w:val="clear" w:color="auto" w:fill="auto"/>
            <w:vAlign w:val="center"/>
          </w:tcPr>
          <w:p w14:paraId="16051D65">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49A844B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-15</w:t>
            </w:r>
          </w:p>
        </w:tc>
        <w:tc>
          <w:tcPr>
            <w:tcW w:w="496" w:type="dxa"/>
            <w:shd w:val="clear" w:color="auto" w:fill="auto"/>
            <w:noWrap/>
            <w:vAlign w:val="center"/>
          </w:tcPr>
          <w:p w14:paraId="1B0E055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w:t>
            </w:r>
          </w:p>
        </w:tc>
        <w:tc>
          <w:tcPr>
            <w:tcW w:w="480" w:type="dxa"/>
            <w:shd w:val="clear" w:color="auto" w:fill="auto"/>
            <w:noWrap/>
            <w:vAlign w:val="center"/>
          </w:tcPr>
          <w:p w14:paraId="26E0407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5B46BA4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10</w:t>
            </w:r>
          </w:p>
        </w:tc>
        <w:tc>
          <w:tcPr>
            <w:tcW w:w="427" w:type="dxa"/>
            <w:shd w:val="clear" w:color="auto" w:fill="auto"/>
            <w:vAlign w:val="center"/>
          </w:tcPr>
          <w:p w14:paraId="31AB4C9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21</w:t>
            </w:r>
          </w:p>
        </w:tc>
        <w:tc>
          <w:tcPr>
            <w:tcW w:w="427" w:type="dxa"/>
            <w:shd w:val="clear" w:color="auto" w:fill="auto"/>
            <w:vAlign w:val="center"/>
          </w:tcPr>
          <w:p w14:paraId="0FEB81D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26</w:t>
            </w:r>
          </w:p>
        </w:tc>
        <w:tc>
          <w:tcPr>
            <w:tcW w:w="585" w:type="dxa"/>
            <w:shd w:val="clear" w:color="auto" w:fill="auto"/>
            <w:vAlign w:val="center"/>
          </w:tcPr>
          <w:p w14:paraId="6C6D7A9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59.2</w:t>
            </w:r>
          </w:p>
        </w:tc>
        <w:tc>
          <w:tcPr>
            <w:tcW w:w="427" w:type="dxa"/>
            <w:shd w:val="clear" w:color="auto" w:fill="auto"/>
            <w:vAlign w:val="center"/>
          </w:tcPr>
          <w:p w14:paraId="6C72E91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60</w:t>
            </w:r>
          </w:p>
        </w:tc>
        <w:tc>
          <w:tcPr>
            <w:tcW w:w="427" w:type="dxa"/>
            <w:shd w:val="clear" w:color="auto" w:fill="auto"/>
            <w:vAlign w:val="center"/>
          </w:tcPr>
          <w:p w14:paraId="03DAC4F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54</w:t>
            </w:r>
          </w:p>
        </w:tc>
        <w:tc>
          <w:tcPr>
            <w:tcW w:w="427" w:type="dxa"/>
            <w:shd w:val="clear" w:color="auto" w:fill="auto"/>
            <w:vAlign w:val="center"/>
          </w:tcPr>
          <w:p w14:paraId="02F56A2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52</w:t>
            </w:r>
          </w:p>
        </w:tc>
        <w:tc>
          <w:tcPr>
            <w:tcW w:w="427" w:type="dxa"/>
            <w:shd w:val="clear" w:color="auto" w:fill="auto"/>
            <w:vAlign w:val="center"/>
          </w:tcPr>
          <w:p w14:paraId="7D1E536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45</w:t>
            </w:r>
          </w:p>
        </w:tc>
        <w:tc>
          <w:tcPr>
            <w:tcW w:w="860" w:type="dxa"/>
            <w:shd w:val="clear" w:color="auto" w:fill="auto"/>
            <w:vAlign w:val="center"/>
          </w:tcPr>
          <w:p w14:paraId="613F9A7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昼夜</w:t>
            </w:r>
          </w:p>
        </w:tc>
        <w:tc>
          <w:tcPr>
            <w:tcW w:w="1291" w:type="dxa"/>
            <w:shd w:val="clear" w:color="auto" w:fill="auto"/>
            <w:vAlign w:val="center"/>
          </w:tcPr>
          <w:p w14:paraId="2790E34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4091617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34</w:t>
            </w:r>
          </w:p>
        </w:tc>
        <w:tc>
          <w:tcPr>
            <w:tcW w:w="427" w:type="dxa"/>
            <w:shd w:val="clear" w:color="auto" w:fill="auto"/>
            <w:vAlign w:val="center"/>
          </w:tcPr>
          <w:p w14:paraId="2FBFFF4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28</w:t>
            </w:r>
          </w:p>
        </w:tc>
        <w:tc>
          <w:tcPr>
            <w:tcW w:w="427" w:type="dxa"/>
            <w:shd w:val="clear" w:color="auto" w:fill="auto"/>
            <w:vAlign w:val="center"/>
          </w:tcPr>
          <w:p w14:paraId="5536417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26</w:t>
            </w:r>
          </w:p>
        </w:tc>
        <w:tc>
          <w:tcPr>
            <w:tcW w:w="427" w:type="dxa"/>
            <w:shd w:val="clear" w:color="auto" w:fill="auto"/>
            <w:vAlign w:val="center"/>
          </w:tcPr>
          <w:p w14:paraId="72C5AB4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19</w:t>
            </w:r>
          </w:p>
        </w:tc>
        <w:tc>
          <w:tcPr>
            <w:tcW w:w="1357" w:type="dxa"/>
            <w:shd w:val="clear" w:color="auto" w:fill="auto"/>
            <w:vAlign w:val="center"/>
          </w:tcPr>
          <w:p w14:paraId="6A3EEE7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7D79C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681" w:type="dxa"/>
            <w:shd w:val="clear" w:color="auto" w:fill="auto"/>
            <w:vAlign w:val="center"/>
          </w:tcPr>
          <w:p w14:paraId="57A9E3C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一栋</w:t>
            </w:r>
          </w:p>
        </w:tc>
        <w:tc>
          <w:tcPr>
            <w:tcW w:w="0" w:type="auto"/>
            <w:shd w:val="clear" w:color="auto" w:fill="auto"/>
            <w:noWrap/>
            <w:vAlign w:val="center"/>
          </w:tcPr>
          <w:p w14:paraId="3AB0EB4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机边破碎5</w:t>
            </w:r>
          </w:p>
        </w:tc>
        <w:tc>
          <w:tcPr>
            <w:tcW w:w="0" w:type="auto"/>
            <w:shd w:val="clear" w:color="auto" w:fill="auto"/>
            <w:noWrap/>
            <w:vAlign w:val="center"/>
          </w:tcPr>
          <w:p w14:paraId="3C00D7E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726" w:type="dxa"/>
            <w:vMerge w:val="continue"/>
            <w:shd w:val="clear" w:color="auto" w:fill="auto"/>
            <w:vAlign w:val="center"/>
          </w:tcPr>
          <w:p w14:paraId="055A0C7B">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5BE4F95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-15</w:t>
            </w:r>
          </w:p>
        </w:tc>
        <w:tc>
          <w:tcPr>
            <w:tcW w:w="496" w:type="dxa"/>
            <w:shd w:val="clear" w:color="auto" w:fill="auto"/>
            <w:noWrap/>
            <w:vAlign w:val="center"/>
          </w:tcPr>
          <w:p w14:paraId="02F03E9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c>
          <w:tcPr>
            <w:tcW w:w="480" w:type="dxa"/>
            <w:shd w:val="clear" w:color="auto" w:fill="auto"/>
            <w:noWrap/>
            <w:vAlign w:val="center"/>
          </w:tcPr>
          <w:p w14:paraId="4591910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016A42A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10</w:t>
            </w:r>
          </w:p>
        </w:tc>
        <w:tc>
          <w:tcPr>
            <w:tcW w:w="427" w:type="dxa"/>
            <w:shd w:val="clear" w:color="auto" w:fill="auto"/>
            <w:vAlign w:val="center"/>
          </w:tcPr>
          <w:p w14:paraId="22EC3DA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27</w:t>
            </w:r>
          </w:p>
        </w:tc>
        <w:tc>
          <w:tcPr>
            <w:tcW w:w="427" w:type="dxa"/>
            <w:shd w:val="clear" w:color="auto" w:fill="auto"/>
            <w:vAlign w:val="center"/>
          </w:tcPr>
          <w:p w14:paraId="649A62A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26</w:t>
            </w:r>
          </w:p>
        </w:tc>
        <w:tc>
          <w:tcPr>
            <w:tcW w:w="585" w:type="dxa"/>
            <w:shd w:val="clear" w:color="auto" w:fill="auto"/>
            <w:vAlign w:val="center"/>
          </w:tcPr>
          <w:p w14:paraId="27DB1D5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53.2</w:t>
            </w:r>
          </w:p>
        </w:tc>
        <w:tc>
          <w:tcPr>
            <w:tcW w:w="427" w:type="dxa"/>
            <w:shd w:val="clear" w:color="auto" w:fill="auto"/>
            <w:vAlign w:val="center"/>
          </w:tcPr>
          <w:p w14:paraId="5C0D794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60</w:t>
            </w:r>
          </w:p>
        </w:tc>
        <w:tc>
          <w:tcPr>
            <w:tcW w:w="427" w:type="dxa"/>
            <w:shd w:val="clear" w:color="auto" w:fill="auto"/>
            <w:vAlign w:val="center"/>
          </w:tcPr>
          <w:p w14:paraId="031C366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51</w:t>
            </w:r>
          </w:p>
        </w:tc>
        <w:tc>
          <w:tcPr>
            <w:tcW w:w="427" w:type="dxa"/>
            <w:shd w:val="clear" w:color="auto" w:fill="auto"/>
            <w:vAlign w:val="center"/>
          </w:tcPr>
          <w:p w14:paraId="29CB216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52</w:t>
            </w:r>
          </w:p>
        </w:tc>
        <w:tc>
          <w:tcPr>
            <w:tcW w:w="427" w:type="dxa"/>
            <w:shd w:val="clear" w:color="auto" w:fill="auto"/>
            <w:vAlign w:val="center"/>
          </w:tcPr>
          <w:p w14:paraId="14D04B8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45</w:t>
            </w:r>
          </w:p>
        </w:tc>
        <w:tc>
          <w:tcPr>
            <w:tcW w:w="860" w:type="dxa"/>
            <w:shd w:val="clear" w:color="auto" w:fill="auto"/>
            <w:vAlign w:val="center"/>
          </w:tcPr>
          <w:p w14:paraId="744551E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昼间</w:t>
            </w:r>
          </w:p>
        </w:tc>
        <w:tc>
          <w:tcPr>
            <w:tcW w:w="1291" w:type="dxa"/>
            <w:shd w:val="clear" w:color="auto" w:fill="auto"/>
            <w:vAlign w:val="center"/>
          </w:tcPr>
          <w:p w14:paraId="5749FF7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6918DA5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34</w:t>
            </w:r>
          </w:p>
        </w:tc>
        <w:tc>
          <w:tcPr>
            <w:tcW w:w="427" w:type="dxa"/>
            <w:shd w:val="clear" w:color="auto" w:fill="auto"/>
            <w:vAlign w:val="center"/>
          </w:tcPr>
          <w:p w14:paraId="2322DFA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25</w:t>
            </w:r>
          </w:p>
        </w:tc>
        <w:tc>
          <w:tcPr>
            <w:tcW w:w="427" w:type="dxa"/>
            <w:shd w:val="clear" w:color="auto" w:fill="auto"/>
            <w:vAlign w:val="center"/>
          </w:tcPr>
          <w:p w14:paraId="2120B66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26</w:t>
            </w:r>
          </w:p>
        </w:tc>
        <w:tc>
          <w:tcPr>
            <w:tcW w:w="427" w:type="dxa"/>
            <w:shd w:val="clear" w:color="auto" w:fill="auto"/>
            <w:vAlign w:val="center"/>
          </w:tcPr>
          <w:p w14:paraId="46E33AC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19</w:t>
            </w:r>
          </w:p>
        </w:tc>
        <w:tc>
          <w:tcPr>
            <w:tcW w:w="1357" w:type="dxa"/>
            <w:shd w:val="clear" w:color="auto" w:fill="auto"/>
            <w:vAlign w:val="center"/>
          </w:tcPr>
          <w:p w14:paraId="2915E1A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082CA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681" w:type="dxa"/>
            <w:shd w:val="clear" w:color="auto" w:fill="auto"/>
            <w:vAlign w:val="center"/>
          </w:tcPr>
          <w:p w14:paraId="35C7473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一栋</w:t>
            </w:r>
          </w:p>
        </w:tc>
        <w:tc>
          <w:tcPr>
            <w:tcW w:w="0" w:type="auto"/>
            <w:shd w:val="clear" w:color="auto" w:fill="auto"/>
            <w:noWrap/>
            <w:vAlign w:val="center"/>
          </w:tcPr>
          <w:p w14:paraId="5C27F66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机边破碎6</w:t>
            </w:r>
          </w:p>
        </w:tc>
        <w:tc>
          <w:tcPr>
            <w:tcW w:w="0" w:type="auto"/>
            <w:shd w:val="clear" w:color="auto" w:fill="auto"/>
            <w:noWrap/>
            <w:vAlign w:val="center"/>
          </w:tcPr>
          <w:p w14:paraId="2844B20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726" w:type="dxa"/>
            <w:vMerge w:val="continue"/>
            <w:shd w:val="clear" w:color="auto" w:fill="auto"/>
            <w:vAlign w:val="center"/>
          </w:tcPr>
          <w:p w14:paraId="7BE494D5">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7BBAC4D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-15</w:t>
            </w:r>
          </w:p>
        </w:tc>
        <w:tc>
          <w:tcPr>
            <w:tcW w:w="496" w:type="dxa"/>
            <w:shd w:val="clear" w:color="auto" w:fill="auto"/>
            <w:noWrap/>
            <w:vAlign w:val="center"/>
          </w:tcPr>
          <w:p w14:paraId="5354FEC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w:t>
            </w:r>
          </w:p>
        </w:tc>
        <w:tc>
          <w:tcPr>
            <w:tcW w:w="480" w:type="dxa"/>
            <w:shd w:val="clear" w:color="auto" w:fill="auto"/>
            <w:noWrap/>
            <w:vAlign w:val="center"/>
          </w:tcPr>
          <w:p w14:paraId="7E57B83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0470B7A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10</w:t>
            </w:r>
          </w:p>
        </w:tc>
        <w:tc>
          <w:tcPr>
            <w:tcW w:w="427" w:type="dxa"/>
            <w:shd w:val="clear" w:color="auto" w:fill="auto"/>
            <w:vAlign w:val="center"/>
          </w:tcPr>
          <w:p w14:paraId="0D5DEA5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30</w:t>
            </w:r>
          </w:p>
        </w:tc>
        <w:tc>
          <w:tcPr>
            <w:tcW w:w="427" w:type="dxa"/>
            <w:shd w:val="clear" w:color="auto" w:fill="auto"/>
            <w:vAlign w:val="center"/>
          </w:tcPr>
          <w:p w14:paraId="78A2C1B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26</w:t>
            </w:r>
          </w:p>
        </w:tc>
        <w:tc>
          <w:tcPr>
            <w:tcW w:w="585" w:type="dxa"/>
            <w:shd w:val="clear" w:color="auto" w:fill="auto"/>
            <w:vAlign w:val="center"/>
          </w:tcPr>
          <w:p w14:paraId="1303FE8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50.2</w:t>
            </w:r>
          </w:p>
        </w:tc>
        <w:tc>
          <w:tcPr>
            <w:tcW w:w="427" w:type="dxa"/>
            <w:shd w:val="clear" w:color="auto" w:fill="auto"/>
            <w:vAlign w:val="center"/>
          </w:tcPr>
          <w:p w14:paraId="19CCE15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60</w:t>
            </w:r>
          </w:p>
        </w:tc>
        <w:tc>
          <w:tcPr>
            <w:tcW w:w="427" w:type="dxa"/>
            <w:shd w:val="clear" w:color="auto" w:fill="auto"/>
            <w:vAlign w:val="center"/>
          </w:tcPr>
          <w:p w14:paraId="74B8D0C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50</w:t>
            </w:r>
          </w:p>
        </w:tc>
        <w:tc>
          <w:tcPr>
            <w:tcW w:w="427" w:type="dxa"/>
            <w:shd w:val="clear" w:color="auto" w:fill="auto"/>
            <w:vAlign w:val="center"/>
          </w:tcPr>
          <w:p w14:paraId="0A0A4B4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52</w:t>
            </w:r>
          </w:p>
        </w:tc>
        <w:tc>
          <w:tcPr>
            <w:tcW w:w="427" w:type="dxa"/>
            <w:shd w:val="clear" w:color="auto" w:fill="auto"/>
            <w:vAlign w:val="center"/>
          </w:tcPr>
          <w:p w14:paraId="026F74D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46</w:t>
            </w:r>
          </w:p>
        </w:tc>
        <w:tc>
          <w:tcPr>
            <w:tcW w:w="860" w:type="dxa"/>
            <w:shd w:val="clear" w:color="auto" w:fill="auto"/>
            <w:vAlign w:val="center"/>
          </w:tcPr>
          <w:p w14:paraId="306F9C9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昼间</w:t>
            </w:r>
          </w:p>
        </w:tc>
        <w:tc>
          <w:tcPr>
            <w:tcW w:w="1291" w:type="dxa"/>
            <w:shd w:val="clear" w:color="auto" w:fill="auto"/>
            <w:vAlign w:val="center"/>
          </w:tcPr>
          <w:p w14:paraId="61C0357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3879477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34</w:t>
            </w:r>
          </w:p>
        </w:tc>
        <w:tc>
          <w:tcPr>
            <w:tcW w:w="427" w:type="dxa"/>
            <w:shd w:val="clear" w:color="auto" w:fill="auto"/>
            <w:vAlign w:val="center"/>
          </w:tcPr>
          <w:p w14:paraId="73781E4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24</w:t>
            </w:r>
          </w:p>
        </w:tc>
        <w:tc>
          <w:tcPr>
            <w:tcW w:w="427" w:type="dxa"/>
            <w:shd w:val="clear" w:color="auto" w:fill="auto"/>
            <w:vAlign w:val="center"/>
          </w:tcPr>
          <w:p w14:paraId="2292C5E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26</w:t>
            </w:r>
          </w:p>
        </w:tc>
        <w:tc>
          <w:tcPr>
            <w:tcW w:w="427" w:type="dxa"/>
            <w:shd w:val="clear" w:color="auto" w:fill="auto"/>
            <w:vAlign w:val="center"/>
          </w:tcPr>
          <w:p w14:paraId="742B796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1357" w:type="dxa"/>
            <w:shd w:val="clear" w:color="auto" w:fill="auto"/>
            <w:vAlign w:val="center"/>
          </w:tcPr>
          <w:p w14:paraId="37EDFEC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4AAE4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681" w:type="dxa"/>
            <w:shd w:val="clear" w:color="auto" w:fill="auto"/>
            <w:vAlign w:val="center"/>
          </w:tcPr>
          <w:p w14:paraId="1F482A3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一栋</w:t>
            </w:r>
          </w:p>
        </w:tc>
        <w:tc>
          <w:tcPr>
            <w:tcW w:w="0" w:type="auto"/>
            <w:shd w:val="clear" w:color="auto" w:fill="auto"/>
            <w:noWrap/>
            <w:vAlign w:val="center"/>
          </w:tcPr>
          <w:p w14:paraId="369DA77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机边破碎7</w:t>
            </w:r>
          </w:p>
        </w:tc>
        <w:tc>
          <w:tcPr>
            <w:tcW w:w="0" w:type="auto"/>
            <w:shd w:val="clear" w:color="auto" w:fill="auto"/>
            <w:noWrap/>
            <w:vAlign w:val="center"/>
          </w:tcPr>
          <w:p w14:paraId="6E54861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726" w:type="dxa"/>
            <w:vMerge w:val="continue"/>
            <w:shd w:val="clear" w:color="auto" w:fill="auto"/>
            <w:vAlign w:val="center"/>
          </w:tcPr>
          <w:p w14:paraId="516B8A4F">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1347CF8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-15</w:t>
            </w:r>
          </w:p>
        </w:tc>
        <w:tc>
          <w:tcPr>
            <w:tcW w:w="496" w:type="dxa"/>
            <w:shd w:val="clear" w:color="auto" w:fill="auto"/>
            <w:noWrap/>
            <w:vAlign w:val="center"/>
          </w:tcPr>
          <w:p w14:paraId="1D8D633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7</w:t>
            </w:r>
          </w:p>
        </w:tc>
        <w:tc>
          <w:tcPr>
            <w:tcW w:w="480" w:type="dxa"/>
            <w:shd w:val="clear" w:color="auto" w:fill="auto"/>
            <w:noWrap/>
            <w:vAlign w:val="center"/>
          </w:tcPr>
          <w:p w14:paraId="7560C6A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543294D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10</w:t>
            </w:r>
          </w:p>
        </w:tc>
        <w:tc>
          <w:tcPr>
            <w:tcW w:w="427" w:type="dxa"/>
            <w:shd w:val="clear" w:color="auto" w:fill="auto"/>
            <w:vAlign w:val="center"/>
          </w:tcPr>
          <w:p w14:paraId="55903E0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33</w:t>
            </w:r>
          </w:p>
        </w:tc>
        <w:tc>
          <w:tcPr>
            <w:tcW w:w="427" w:type="dxa"/>
            <w:shd w:val="clear" w:color="auto" w:fill="auto"/>
            <w:vAlign w:val="center"/>
          </w:tcPr>
          <w:p w14:paraId="4331EC7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26</w:t>
            </w:r>
          </w:p>
        </w:tc>
        <w:tc>
          <w:tcPr>
            <w:tcW w:w="585" w:type="dxa"/>
            <w:shd w:val="clear" w:color="auto" w:fill="auto"/>
            <w:vAlign w:val="center"/>
          </w:tcPr>
          <w:p w14:paraId="45357E9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47.2</w:t>
            </w:r>
          </w:p>
        </w:tc>
        <w:tc>
          <w:tcPr>
            <w:tcW w:w="427" w:type="dxa"/>
            <w:shd w:val="clear" w:color="auto" w:fill="auto"/>
            <w:vAlign w:val="center"/>
          </w:tcPr>
          <w:p w14:paraId="2DB066E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60</w:t>
            </w:r>
          </w:p>
        </w:tc>
        <w:tc>
          <w:tcPr>
            <w:tcW w:w="427" w:type="dxa"/>
            <w:shd w:val="clear" w:color="auto" w:fill="auto"/>
            <w:vAlign w:val="center"/>
          </w:tcPr>
          <w:p w14:paraId="61B861F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50</w:t>
            </w:r>
          </w:p>
        </w:tc>
        <w:tc>
          <w:tcPr>
            <w:tcW w:w="427" w:type="dxa"/>
            <w:shd w:val="clear" w:color="auto" w:fill="auto"/>
            <w:vAlign w:val="center"/>
          </w:tcPr>
          <w:p w14:paraId="481B1D8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52</w:t>
            </w:r>
          </w:p>
        </w:tc>
        <w:tc>
          <w:tcPr>
            <w:tcW w:w="427" w:type="dxa"/>
            <w:shd w:val="clear" w:color="auto" w:fill="auto"/>
            <w:vAlign w:val="center"/>
          </w:tcPr>
          <w:p w14:paraId="34BD32B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47</w:t>
            </w:r>
          </w:p>
        </w:tc>
        <w:tc>
          <w:tcPr>
            <w:tcW w:w="860" w:type="dxa"/>
            <w:shd w:val="clear" w:color="auto" w:fill="auto"/>
            <w:vAlign w:val="center"/>
          </w:tcPr>
          <w:p w14:paraId="6D8A76E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昼间</w:t>
            </w:r>
          </w:p>
        </w:tc>
        <w:tc>
          <w:tcPr>
            <w:tcW w:w="1291" w:type="dxa"/>
            <w:shd w:val="clear" w:color="auto" w:fill="auto"/>
            <w:vAlign w:val="center"/>
          </w:tcPr>
          <w:p w14:paraId="64F7C96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236230A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34</w:t>
            </w:r>
          </w:p>
        </w:tc>
        <w:tc>
          <w:tcPr>
            <w:tcW w:w="427" w:type="dxa"/>
            <w:shd w:val="clear" w:color="auto" w:fill="auto"/>
            <w:vAlign w:val="center"/>
          </w:tcPr>
          <w:p w14:paraId="6665EFC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24</w:t>
            </w:r>
          </w:p>
        </w:tc>
        <w:tc>
          <w:tcPr>
            <w:tcW w:w="427" w:type="dxa"/>
            <w:shd w:val="clear" w:color="auto" w:fill="auto"/>
            <w:vAlign w:val="center"/>
          </w:tcPr>
          <w:p w14:paraId="39EF971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26</w:t>
            </w:r>
          </w:p>
        </w:tc>
        <w:tc>
          <w:tcPr>
            <w:tcW w:w="427" w:type="dxa"/>
            <w:shd w:val="clear" w:color="auto" w:fill="auto"/>
            <w:vAlign w:val="center"/>
          </w:tcPr>
          <w:p w14:paraId="1320A02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21</w:t>
            </w:r>
          </w:p>
        </w:tc>
        <w:tc>
          <w:tcPr>
            <w:tcW w:w="1357" w:type="dxa"/>
            <w:shd w:val="clear" w:color="auto" w:fill="auto"/>
            <w:vAlign w:val="center"/>
          </w:tcPr>
          <w:p w14:paraId="61FAF36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11EDF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681" w:type="dxa"/>
            <w:shd w:val="clear" w:color="auto" w:fill="auto"/>
            <w:vAlign w:val="center"/>
          </w:tcPr>
          <w:p w14:paraId="3240CE1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一栋</w:t>
            </w:r>
          </w:p>
        </w:tc>
        <w:tc>
          <w:tcPr>
            <w:tcW w:w="0" w:type="auto"/>
            <w:shd w:val="clear" w:color="auto" w:fill="auto"/>
            <w:noWrap/>
            <w:vAlign w:val="center"/>
          </w:tcPr>
          <w:p w14:paraId="7DD3AE5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机边破碎8</w:t>
            </w:r>
          </w:p>
        </w:tc>
        <w:tc>
          <w:tcPr>
            <w:tcW w:w="0" w:type="auto"/>
            <w:shd w:val="clear" w:color="auto" w:fill="auto"/>
            <w:noWrap/>
            <w:vAlign w:val="center"/>
          </w:tcPr>
          <w:p w14:paraId="2EDFDB5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726" w:type="dxa"/>
            <w:vMerge w:val="continue"/>
            <w:shd w:val="clear" w:color="auto" w:fill="auto"/>
            <w:vAlign w:val="center"/>
          </w:tcPr>
          <w:p w14:paraId="29421015">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1BA16ED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-15</w:t>
            </w:r>
          </w:p>
        </w:tc>
        <w:tc>
          <w:tcPr>
            <w:tcW w:w="496" w:type="dxa"/>
            <w:shd w:val="clear" w:color="auto" w:fill="auto"/>
            <w:noWrap/>
            <w:vAlign w:val="center"/>
          </w:tcPr>
          <w:p w14:paraId="790CF45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10</w:t>
            </w:r>
          </w:p>
        </w:tc>
        <w:tc>
          <w:tcPr>
            <w:tcW w:w="480" w:type="dxa"/>
            <w:shd w:val="clear" w:color="auto" w:fill="auto"/>
            <w:noWrap/>
            <w:vAlign w:val="center"/>
          </w:tcPr>
          <w:p w14:paraId="1ECD3D3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0F1F5C7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10</w:t>
            </w:r>
          </w:p>
        </w:tc>
        <w:tc>
          <w:tcPr>
            <w:tcW w:w="427" w:type="dxa"/>
            <w:shd w:val="clear" w:color="auto" w:fill="auto"/>
            <w:vAlign w:val="center"/>
          </w:tcPr>
          <w:p w14:paraId="766E391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36</w:t>
            </w:r>
          </w:p>
        </w:tc>
        <w:tc>
          <w:tcPr>
            <w:tcW w:w="427" w:type="dxa"/>
            <w:shd w:val="clear" w:color="auto" w:fill="auto"/>
            <w:vAlign w:val="center"/>
          </w:tcPr>
          <w:p w14:paraId="6A18144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26</w:t>
            </w:r>
          </w:p>
        </w:tc>
        <w:tc>
          <w:tcPr>
            <w:tcW w:w="585" w:type="dxa"/>
            <w:shd w:val="clear" w:color="auto" w:fill="auto"/>
            <w:vAlign w:val="center"/>
          </w:tcPr>
          <w:p w14:paraId="0592A1E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44.2</w:t>
            </w:r>
          </w:p>
        </w:tc>
        <w:tc>
          <w:tcPr>
            <w:tcW w:w="427" w:type="dxa"/>
            <w:shd w:val="clear" w:color="auto" w:fill="auto"/>
            <w:vAlign w:val="center"/>
          </w:tcPr>
          <w:p w14:paraId="494DF2E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60</w:t>
            </w:r>
          </w:p>
        </w:tc>
        <w:tc>
          <w:tcPr>
            <w:tcW w:w="427" w:type="dxa"/>
            <w:shd w:val="clear" w:color="auto" w:fill="auto"/>
            <w:vAlign w:val="center"/>
          </w:tcPr>
          <w:p w14:paraId="2F95319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49</w:t>
            </w:r>
          </w:p>
        </w:tc>
        <w:tc>
          <w:tcPr>
            <w:tcW w:w="427" w:type="dxa"/>
            <w:shd w:val="clear" w:color="auto" w:fill="auto"/>
            <w:vAlign w:val="center"/>
          </w:tcPr>
          <w:p w14:paraId="707E2CD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52</w:t>
            </w:r>
          </w:p>
        </w:tc>
        <w:tc>
          <w:tcPr>
            <w:tcW w:w="427" w:type="dxa"/>
            <w:shd w:val="clear" w:color="auto" w:fill="auto"/>
            <w:vAlign w:val="center"/>
          </w:tcPr>
          <w:p w14:paraId="2AB9535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47</w:t>
            </w:r>
          </w:p>
        </w:tc>
        <w:tc>
          <w:tcPr>
            <w:tcW w:w="860" w:type="dxa"/>
            <w:shd w:val="clear" w:color="auto" w:fill="auto"/>
            <w:vAlign w:val="center"/>
          </w:tcPr>
          <w:p w14:paraId="44DD7D6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昼间</w:t>
            </w:r>
          </w:p>
        </w:tc>
        <w:tc>
          <w:tcPr>
            <w:tcW w:w="1291" w:type="dxa"/>
            <w:shd w:val="clear" w:color="auto" w:fill="auto"/>
            <w:vAlign w:val="center"/>
          </w:tcPr>
          <w:p w14:paraId="1EA4B7E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740731C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34</w:t>
            </w:r>
          </w:p>
        </w:tc>
        <w:tc>
          <w:tcPr>
            <w:tcW w:w="427" w:type="dxa"/>
            <w:shd w:val="clear" w:color="auto" w:fill="auto"/>
            <w:vAlign w:val="center"/>
          </w:tcPr>
          <w:p w14:paraId="14A495F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23</w:t>
            </w:r>
          </w:p>
        </w:tc>
        <w:tc>
          <w:tcPr>
            <w:tcW w:w="427" w:type="dxa"/>
            <w:shd w:val="clear" w:color="auto" w:fill="auto"/>
            <w:vAlign w:val="center"/>
          </w:tcPr>
          <w:p w14:paraId="7F99726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26</w:t>
            </w:r>
          </w:p>
        </w:tc>
        <w:tc>
          <w:tcPr>
            <w:tcW w:w="427" w:type="dxa"/>
            <w:shd w:val="clear" w:color="auto" w:fill="auto"/>
            <w:vAlign w:val="center"/>
          </w:tcPr>
          <w:p w14:paraId="4C1A2AE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21</w:t>
            </w:r>
          </w:p>
        </w:tc>
        <w:tc>
          <w:tcPr>
            <w:tcW w:w="1357" w:type="dxa"/>
            <w:shd w:val="clear" w:color="auto" w:fill="auto"/>
            <w:vAlign w:val="center"/>
          </w:tcPr>
          <w:p w14:paraId="42790FD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73D74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681" w:type="dxa"/>
            <w:shd w:val="clear" w:color="auto" w:fill="auto"/>
            <w:vAlign w:val="center"/>
          </w:tcPr>
          <w:p w14:paraId="7749411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一栋</w:t>
            </w:r>
          </w:p>
        </w:tc>
        <w:tc>
          <w:tcPr>
            <w:tcW w:w="0" w:type="auto"/>
            <w:shd w:val="clear" w:color="auto" w:fill="auto"/>
            <w:noWrap/>
            <w:vAlign w:val="center"/>
          </w:tcPr>
          <w:p w14:paraId="4F5E699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机边破碎9</w:t>
            </w:r>
          </w:p>
        </w:tc>
        <w:tc>
          <w:tcPr>
            <w:tcW w:w="0" w:type="auto"/>
            <w:shd w:val="clear" w:color="auto" w:fill="auto"/>
            <w:noWrap/>
            <w:vAlign w:val="center"/>
          </w:tcPr>
          <w:p w14:paraId="757741A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726" w:type="dxa"/>
            <w:vMerge w:val="continue"/>
            <w:shd w:val="clear" w:color="auto" w:fill="auto"/>
            <w:vAlign w:val="center"/>
          </w:tcPr>
          <w:p w14:paraId="5E476E52">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25DB704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-15</w:t>
            </w:r>
          </w:p>
        </w:tc>
        <w:tc>
          <w:tcPr>
            <w:tcW w:w="496" w:type="dxa"/>
            <w:shd w:val="clear" w:color="auto" w:fill="auto"/>
            <w:noWrap/>
            <w:vAlign w:val="center"/>
          </w:tcPr>
          <w:p w14:paraId="6566F7C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17</w:t>
            </w:r>
          </w:p>
        </w:tc>
        <w:tc>
          <w:tcPr>
            <w:tcW w:w="480" w:type="dxa"/>
            <w:shd w:val="clear" w:color="auto" w:fill="auto"/>
            <w:noWrap/>
            <w:vAlign w:val="center"/>
          </w:tcPr>
          <w:p w14:paraId="72E4CE7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60C11C4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10</w:t>
            </w:r>
          </w:p>
        </w:tc>
        <w:tc>
          <w:tcPr>
            <w:tcW w:w="427" w:type="dxa"/>
            <w:shd w:val="clear" w:color="auto" w:fill="auto"/>
            <w:vAlign w:val="center"/>
          </w:tcPr>
          <w:p w14:paraId="169FF68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43</w:t>
            </w:r>
          </w:p>
        </w:tc>
        <w:tc>
          <w:tcPr>
            <w:tcW w:w="427" w:type="dxa"/>
            <w:shd w:val="clear" w:color="auto" w:fill="auto"/>
            <w:vAlign w:val="center"/>
          </w:tcPr>
          <w:p w14:paraId="689116E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26</w:t>
            </w:r>
          </w:p>
        </w:tc>
        <w:tc>
          <w:tcPr>
            <w:tcW w:w="585" w:type="dxa"/>
            <w:shd w:val="clear" w:color="auto" w:fill="auto"/>
            <w:vAlign w:val="center"/>
          </w:tcPr>
          <w:p w14:paraId="64026AC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37.2</w:t>
            </w:r>
          </w:p>
        </w:tc>
        <w:tc>
          <w:tcPr>
            <w:tcW w:w="427" w:type="dxa"/>
            <w:shd w:val="clear" w:color="auto" w:fill="auto"/>
            <w:vAlign w:val="center"/>
          </w:tcPr>
          <w:p w14:paraId="2A93F04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60</w:t>
            </w:r>
          </w:p>
        </w:tc>
        <w:tc>
          <w:tcPr>
            <w:tcW w:w="427" w:type="dxa"/>
            <w:shd w:val="clear" w:color="auto" w:fill="auto"/>
            <w:vAlign w:val="center"/>
          </w:tcPr>
          <w:p w14:paraId="235F459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47</w:t>
            </w:r>
          </w:p>
        </w:tc>
        <w:tc>
          <w:tcPr>
            <w:tcW w:w="427" w:type="dxa"/>
            <w:shd w:val="clear" w:color="auto" w:fill="auto"/>
            <w:vAlign w:val="center"/>
          </w:tcPr>
          <w:p w14:paraId="745FCD8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52</w:t>
            </w:r>
          </w:p>
        </w:tc>
        <w:tc>
          <w:tcPr>
            <w:tcW w:w="427" w:type="dxa"/>
            <w:shd w:val="clear" w:color="auto" w:fill="auto"/>
            <w:vAlign w:val="center"/>
          </w:tcPr>
          <w:p w14:paraId="27B572F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49</w:t>
            </w:r>
          </w:p>
        </w:tc>
        <w:tc>
          <w:tcPr>
            <w:tcW w:w="860" w:type="dxa"/>
            <w:shd w:val="clear" w:color="auto" w:fill="auto"/>
            <w:vAlign w:val="center"/>
          </w:tcPr>
          <w:p w14:paraId="72C2FE6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昼间</w:t>
            </w:r>
          </w:p>
        </w:tc>
        <w:tc>
          <w:tcPr>
            <w:tcW w:w="1291" w:type="dxa"/>
            <w:shd w:val="clear" w:color="auto" w:fill="auto"/>
            <w:vAlign w:val="center"/>
          </w:tcPr>
          <w:p w14:paraId="09C0F9C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3E4BF0A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34</w:t>
            </w:r>
          </w:p>
        </w:tc>
        <w:tc>
          <w:tcPr>
            <w:tcW w:w="427" w:type="dxa"/>
            <w:shd w:val="clear" w:color="auto" w:fill="auto"/>
            <w:vAlign w:val="center"/>
          </w:tcPr>
          <w:p w14:paraId="63A00B2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21</w:t>
            </w:r>
          </w:p>
        </w:tc>
        <w:tc>
          <w:tcPr>
            <w:tcW w:w="427" w:type="dxa"/>
            <w:shd w:val="clear" w:color="auto" w:fill="auto"/>
            <w:vAlign w:val="center"/>
          </w:tcPr>
          <w:p w14:paraId="759526D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26</w:t>
            </w:r>
          </w:p>
        </w:tc>
        <w:tc>
          <w:tcPr>
            <w:tcW w:w="427" w:type="dxa"/>
            <w:shd w:val="clear" w:color="auto" w:fill="auto"/>
            <w:vAlign w:val="center"/>
          </w:tcPr>
          <w:p w14:paraId="53811F4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23</w:t>
            </w:r>
          </w:p>
        </w:tc>
        <w:tc>
          <w:tcPr>
            <w:tcW w:w="1357" w:type="dxa"/>
            <w:shd w:val="clear" w:color="auto" w:fill="auto"/>
            <w:vAlign w:val="center"/>
          </w:tcPr>
          <w:p w14:paraId="346108E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096D1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81" w:type="dxa"/>
            <w:shd w:val="clear" w:color="auto" w:fill="auto"/>
            <w:vAlign w:val="center"/>
          </w:tcPr>
          <w:p w14:paraId="6B8A6F6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一栋</w:t>
            </w:r>
          </w:p>
        </w:tc>
        <w:tc>
          <w:tcPr>
            <w:tcW w:w="0" w:type="auto"/>
            <w:shd w:val="clear" w:color="auto" w:fill="auto"/>
            <w:noWrap/>
            <w:vAlign w:val="center"/>
          </w:tcPr>
          <w:p w14:paraId="33D842D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机边破碎10</w:t>
            </w:r>
          </w:p>
        </w:tc>
        <w:tc>
          <w:tcPr>
            <w:tcW w:w="0" w:type="auto"/>
            <w:shd w:val="clear" w:color="auto" w:fill="auto"/>
            <w:noWrap/>
            <w:vAlign w:val="center"/>
          </w:tcPr>
          <w:p w14:paraId="46621F1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726" w:type="dxa"/>
            <w:vMerge w:val="continue"/>
            <w:shd w:val="clear" w:color="auto" w:fill="auto"/>
            <w:vAlign w:val="center"/>
          </w:tcPr>
          <w:p w14:paraId="687FD7D5">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07CF2F8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-15</w:t>
            </w:r>
          </w:p>
        </w:tc>
        <w:tc>
          <w:tcPr>
            <w:tcW w:w="496" w:type="dxa"/>
            <w:shd w:val="clear" w:color="auto" w:fill="auto"/>
            <w:noWrap/>
            <w:vAlign w:val="center"/>
          </w:tcPr>
          <w:p w14:paraId="0D472B7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80" w:type="dxa"/>
            <w:shd w:val="clear" w:color="auto" w:fill="auto"/>
            <w:noWrap/>
            <w:vAlign w:val="center"/>
          </w:tcPr>
          <w:p w14:paraId="157B45C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5182790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10</w:t>
            </w:r>
          </w:p>
        </w:tc>
        <w:tc>
          <w:tcPr>
            <w:tcW w:w="427" w:type="dxa"/>
            <w:shd w:val="clear" w:color="auto" w:fill="auto"/>
            <w:vAlign w:val="center"/>
          </w:tcPr>
          <w:p w14:paraId="1FCAF9D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46</w:t>
            </w:r>
          </w:p>
        </w:tc>
        <w:tc>
          <w:tcPr>
            <w:tcW w:w="427" w:type="dxa"/>
            <w:shd w:val="clear" w:color="auto" w:fill="auto"/>
            <w:vAlign w:val="center"/>
          </w:tcPr>
          <w:p w14:paraId="6EFEBEC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26</w:t>
            </w:r>
          </w:p>
        </w:tc>
        <w:tc>
          <w:tcPr>
            <w:tcW w:w="585" w:type="dxa"/>
            <w:shd w:val="clear" w:color="auto" w:fill="auto"/>
            <w:vAlign w:val="center"/>
          </w:tcPr>
          <w:p w14:paraId="55D8CD3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34.2</w:t>
            </w:r>
          </w:p>
        </w:tc>
        <w:tc>
          <w:tcPr>
            <w:tcW w:w="427" w:type="dxa"/>
            <w:shd w:val="clear" w:color="auto" w:fill="auto"/>
            <w:vAlign w:val="center"/>
          </w:tcPr>
          <w:p w14:paraId="65C4414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60</w:t>
            </w:r>
          </w:p>
        </w:tc>
        <w:tc>
          <w:tcPr>
            <w:tcW w:w="427" w:type="dxa"/>
            <w:shd w:val="clear" w:color="auto" w:fill="auto"/>
            <w:vAlign w:val="center"/>
          </w:tcPr>
          <w:p w14:paraId="7CE927C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47</w:t>
            </w:r>
          </w:p>
        </w:tc>
        <w:tc>
          <w:tcPr>
            <w:tcW w:w="427" w:type="dxa"/>
            <w:shd w:val="clear" w:color="auto" w:fill="auto"/>
            <w:vAlign w:val="center"/>
          </w:tcPr>
          <w:p w14:paraId="7766127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52</w:t>
            </w:r>
          </w:p>
        </w:tc>
        <w:tc>
          <w:tcPr>
            <w:tcW w:w="427" w:type="dxa"/>
            <w:shd w:val="clear" w:color="auto" w:fill="auto"/>
            <w:vAlign w:val="center"/>
          </w:tcPr>
          <w:p w14:paraId="40929BD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49</w:t>
            </w:r>
          </w:p>
        </w:tc>
        <w:tc>
          <w:tcPr>
            <w:tcW w:w="860" w:type="dxa"/>
            <w:shd w:val="clear" w:color="auto" w:fill="auto"/>
            <w:vAlign w:val="center"/>
          </w:tcPr>
          <w:p w14:paraId="1F438B5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昼间</w:t>
            </w:r>
          </w:p>
        </w:tc>
        <w:tc>
          <w:tcPr>
            <w:tcW w:w="1291" w:type="dxa"/>
            <w:shd w:val="clear" w:color="auto" w:fill="auto"/>
            <w:vAlign w:val="center"/>
          </w:tcPr>
          <w:p w14:paraId="6D41BC3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4A5EB9D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34</w:t>
            </w:r>
          </w:p>
        </w:tc>
        <w:tc>
          <w:tcPr>
            <w:tcW w:w="427" w:type="dxa"/>
            <w:shd w:val="clear" w:color="auto" w:fill="auto"/>
            <w:vAlign w:val="center"/>
          </w:tcPr>
          <w:p w14:paraId="03D7E91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21</w:t>
            </w:r>
          </w:p>
        </w:tc>
        <w:tc>
          <w:tcPr>
            <w:tcW w:w="427" w:type="dxa"/>
            <w:shd w:val="clear" w:color="auto" w:fill="auto"/>
            <w:vAlign w:val="center"/>
          </w:tcPr>
          <w:p w14:paraId="27DFF8C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26</w:t>
            </w:r>
          </w:p>
        </w:tc>
        <w:tc>
          <w:tcPr>
            <w:tcW w:w="427" w:type="dxa"/>
            <w:shd w:val="clear" w:color="auto" w:fill="auto"/>
            <w:vAlign w:val="center"/>
          </w:tcPr>
          <w:p w14:paraId="2D7DE58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23</w:t>
            </w:r>
          </w:p>
        </w:tc>
        <w:tc>
          <w:tcPr>
            <w:tcW w:w="1357" w:type="dxa"/>
            <w:shd w:val="clear" w:color="auto" w:fill="auto"/>
            <w:vAlign w:val="center"/>
          </w:tcPr>
          <w:p w14:paraId="438866C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0ECE1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81" w:type="dxa"/>
            <w:shd w:val="clear" w:color="auto" w:fill="auto"/>
            <w:vAlign w:val="center"/>
          </w:tcPr>
          <w:p w14:paraId="338CD9A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一栋</w:t>
            </w:r>
          </w:p>
        </w:tc>
        <w:tc>
          <w:tcPr>
            <w:tcW w:w="0" w:type="auto"/>
            <w:shd w:val="clear" w:color="auto" w:fill="auto"/>
            <w:noWrap/>
            <w:vAlign w:val="center"/>
          </w:tcPr>
          <w:p w14:paraId="5B02676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机边破碎11</w:t>
            </w:r>
          </w:p>
        </w:tc>
        <w:tc>
          <w:tcPr>
            <w:tcW w:w="0" w:type="auto"/>
            <w:shd w:val="clear" w:color="auto" w:fill="auto"/>
            <w:noWrap/>
            <w:vAlign w:val="center"/>
          </w:tcPr>
          <w:p w14:paraId="313879A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726" w:type="dxa"/>
            <w:vMerge w:val="continue"/>
            <w:shd w:val="clear" w:color="auto" w:fill="auto"/>
            <w:vAlign w:val="center"/>
          </w:tcPr>
          <w:p w14:paraId="54D16B6A">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2EED708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-15</w:t>
            </w:r>
          </w:p>
        </w:tc>
        <w:tc>
          <w:tcPr>
            <w:tcW w:w="496" w:type="dxa"/>
            <w:shd w:val="clear" w:color="auto" w:fill="auto"/>
            <w:noWrap/>
            <w:vAlign w:val="center"/>
          </w:tcPr>
          <w:p w14:paraId="1FFFCBE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22</w:t>
            </w:r>
          </w:p>
        </w:tc>
        <w:tc>
          <w:tcPr>
            <w:tcW w:w="480" w:type="dxa"/>
            <w:shd w:val="clear" w:color="auto" w:fill="auto"/>
            <w:noWrap/>
            <w:vAlign w:val="center"/>
          </w:tcPr>
          <w:p w14:paraId="1B7B407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271FABB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10</w:t>
            </w:r>
          </w:p>
        </w:tc>
        <w:tc>
          <w:tcPr>
            <w:tcW w:w="427" w:type="dxa"/>
            <w:shd w:val="clear" w:color="auto" w:fill="auto"/>
            <w:vAlign w:val="center"/>
          </w:tcPr>
          <w:p w14:paraId="38EFB72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48</w:t>
            </w:r>
          </w:p>
        </w:tc>
        <w:tc>
          <w:tcPr>
            <w:tcW w:w="427" w:type="dxa"/>
            <w:shd w:val="clear" w:color="auto" w:fill="auto"/>
            <w:vAlign w:val="center"/>
          </w:tcPr>
          <w:p w14:paraId="254CE76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26</w:t>
            </w:r>
          </w:p>
        </w:tc>
        <w:tc>
          <w:tcPr>
            <w:tcW w:w="585" w:type="dxa"/>
            <w:shd w:val="clear" w:color="auto" w:fill="auto"/>
            <w:vAlign w:val="center"/>
          </w:tcPr>
          <w:p w14:paraId="328814D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32.2</w:t>
            </w:r>
          </w:p>
        </w:tc>
        <w:tc>
          <w:tcPr>
            <w:tcW w:w="427" w:type="dxa"/>
            <w:shd w:val="clear" w:color="auto" w:fill="auto"/>
            <w:vAlign w:val="center"/>
          </w:tcPr>
          <w:p w14:paraId="3567259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60</w:t>
            </w:r>
          </w:p>
        </w:tc>
        <w:tc>
          <w:tcPr>
            <w:tcW w:w="427" w:type="dxa"/>
            <w:shd w:val="clear" w:color="auto" w:fill="auto"/>
            <w:vAlign w:val="center"/>
          </w:tcPr>
          <w:p w14:paraId="61249E7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46</w:t>
            </w:r>
          </w:p>
        </w:tc>
        <w:tc>
          <w:tcPr>
            <w:tcW w:w="427" w:type="dxa"/>
            <w:shd w:val="clear" w:color="auto" w:fill="auto"/>
            <w:vAlign w:val="center"/>
          </w:tcPr>
          <w:p w14:paraId="23B0D7E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52</w:t>
            </w:r>
          </w:p>
        </w:tc>
        <w:tc>
          <w:tcPr>
            <w:tcW w:w="427" w:type="dxa"/>
            <w:shd w:val="clear" w:color="auto" w:fill="auto"/>
            <w:vAlign w:val="center"/>
          </w:tcPr>
          <w:p w14:paraId="45FB118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50</w:t>
            </w:r>
          </w:p>
        </w:tc>
        <w:tc>
          <w:tcPr>
            <w:tcW w:w="860" w:type="dxa"/>
            <w:shd w:val="clear" w:color="auto" w:fill="auto"/>
            <w:vAlign w:val="center"/>
          </w:tcPr>
          <w:p w14:paraId="1499380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昼间</w:t>
            </w:r>
          </w:p>
        </w:tc>
        <w:tc>
          <w:tcPr>
            <w:tcW w:w="1291" w:type="dxa"/>
            <w:shd w:val="clear" w:color="auto" w:fill="auto"/>
            <w:vAlign w:val="center"/>
          </w:tcPr>
          <w:p w14:paraId="597135C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01F743D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34</w:t>
            </w:r>
          </w:p>
        </w:tc>
        <w:tc>
          <w:tcPr>
            <w:tcW w:w="427" w:type="dxa"/>
            <w:shd w:val="clear" w:color="auto" w:fill="auto"/>
            <w:vAlign w:val="center"/>
          </w:tcPr>
          <w:p w14:paraId="59F7F53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39A25B1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26</w:t>
            </w:r>
          </w:p>
        </w:tc>
        <w:tc>
          <w:tcPr>
            <w:tcW w:w="427" w:type="dxa"/>
            <w:shd w:val="clear" w:color="auto" w:fill="auto"/>
            <w:vAlign w:val="center"/>
          </w:tcPr>
          <w:p w14:paraId="53AB491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24</w:t>
            </w:r>
          </w:p>
        </w:tc>
        <w:tc>
          <w:tcPr>
            <w:tcW w:w="1357" w:type="dxa"/>
            <w:shd w:val="clear" w:color="auto" w:fill="auto"/>
            <w:vAlign w:val="center"/>
          </w:tcPr>
          <w:p w14:paraId="0611604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25A3A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681" w:type="dxa"/>
            <w:shd w:val="clear" w:color="auto" w:fill="auto"/>
            <w:vAlign w:val="center"/>
          </w:tcPr>
          <w:p w14:paraId="07F68D1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一栋</w:t>
            </w:r>
          </w:p>
        </w:tc>
        <w:tc>
          <w:tcPr>
            <w:tcW w:w="0" w:type="auto"/>
            <w:shd w:val="clear" w:color="auto" w:fill="auto"/>
            <w:noWrap/>
            <w:vAlign w:val="center"/>
          </w:tcPr>
          <w:p w14:paraId="769B7F2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机边破碎12</w:t>
            </w:r>
          </w:p>
        </w:tc>
        <w:tc>
          <w:tcPr>
            <w:tcW w:w="0" w:type="auto"/>
            <w:shd w:val="clear" w:color="auto" w:fill="auto"/>
            <w:noWrap/>
            <w:vAlign w:val="center"/>
          </w:tcPr>
          <w:p w14:paraId="59DD46B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726" w:type="dxa"/>
            <w:vMerge w:val="continue"/>
            <w:shd w:val="clear" w:color="auto" w:fill="auto"/>
            <w:vAlign w:val="center"/>
          </w:tcPr>
          <w:p w14:paraId="79FA14A6">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31F5A76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-15</w:t>
            </w:r>
          </w:p>
        </w:tc>
        <w:tc>
          <w:tcPr>
            <w:tcW w:w="496" w:type="dxa"/>
            <w:shd w:val="clear" w:color="auto" w:fill="auto"/>
            <w:noWrap/>
            <w:vAlign w:val="center"/>
          </w:tcPr>
          <w:p w14:paraId="436F54C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27</w:t>
            </w:r>
          </w:p>
        </w:tc>
        <w:tc>
          <w:tcPr>
            <w:tcW w:w="480" w:type="dxa"/>
            <w:shd w:val="clear" w:color="auto" w:fill="auto"/>
            <w:noWrap/>
            <w:vAlign w:val="center"/>
          </w:tcPr>
          <w:p w14:paraId="20C7E1F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76E79AF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10</w:t>
            </w:r>
          </w:p>
        </w:tc>
        <w:tc>
          <w:tcPr>
            <w:tcW w:w="427" w:type="dxa"/>
            <w:shd w:val="clear" w:color="auto" w:fill="auto"/>
            <w:vAlign w:val="center"/>
          </w:tcPr>
          <w:p w14:paraId="5FA87AC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53</w:t>
            </w:r>
          </w:p>
        </w:tc>
        <w:tc>
          <w:tcPr>
            <w:tcW w:w="427" w:type="dxa"/>
            <w:shd w:val="clear" w:color="auto" w:fill="auto"/>
            <w:vAlign w:val="center"/>
          </w:tcPr>
          <w:p w14:paraId="2265EE2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26</w:t>
            </w:r>
          </w:p>
        </w:tc>
        <w:tc>
          <w:tcPr>
            <w:tcW w:w="585" w:type="dxa"/>
            <w:shd w:val="clear" w:color="auto" w:fill="auto"/>
            <w:vAlign w:val="center"/>
          </w:tcPr>
          <w:p w14:paraId="4D31EC2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27.2</w:t>
            </w:r>
          </w:p>
        </w:tc>
        <w:tc>
          <w:tcPr>
            <w:tcW w:w="427" w:type="dxa"/>
            <w:shd w:val="clear" w:color="auto" w:fill="auto"/>
            <w:vAlign w:val="center"/>
          </w:tcPr>
          <w:p w14:paraId="390F6DA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60</w:t>
            </w:r>
          </w:p>
        </w:tc>
        <w:tc>
          <w:tcPr>
            <w:tcW w:w="427" w:type="dxa"/>
            <w:shd w:val="clear" w:color="auto" w:fill="auto"/>
            <w:vAlign w:val="center"/>
          </w:tcPr>
          <w:p w14:paraId="0BEF592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46</w:t>
            </w:r>
          </w:p>
        </w:tc>
        <w:tc>
          <w:tcPr>
            <w:tcW w:w="427" w:type="dxa"/>
            <w:shd w:val="clear" w:color="auto" w:fill="auto"/>
            <w:vAlign w:val="center"/>
          </w:tcPr>
          <w:p w14:paraId="3B7A485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52</w:t>
            </w:r>
          </w:p>
        </w:tc>
        <w:tc>
          <w:tcPr>
            <w:tcW w:w="427" w:type="dxa"/>
            <w:shd w:val="clear" w:color="auto" w:fill="auto"/>
            <w:vAlign w:val="center"/>
          </w:tcPr>
          <w:p w14:paraId="61FA70C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51</w:t>
            </w:r>
          </w:p>
        </w:tc>
        <w:tc>
          <w:tcPr>
            <w:tcW w:w="860" w:type="dxa"/>
            <w:shd w:val="clear" w:color="auto" w:fill="auto"/>
            <w:vAlign w:val="center"/>
          </w:tcPr>
          <w:p w14:paraId="75D1A0C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昼间</w:t>
            </w:r>
          </w:p>
        </w:tc>
        <w:tc>
          <w:tcPr>
            <w:tcW w:w="1291" w:type="dxa"/>
            <w:shd w:val="clear" w:color="auto" w:fill="auto"/>
            <w:vAlign w:val="center"/>
          </w:tcPr>
          <w:p w14:paraId="267E7BD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3B03A61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34</w:t>
            </w:r>
          </w:p>
        </w:tc>
        <w:tc>
          <w:tcPr>
            <w:tcW w:w="427" w:type="dxa"/>
            <w:shd w:val="clear" w:color="auto" w:fill="auto"/>
            <w:vAlign w:val="center"/>
          </w:tcPr>
          <w:p w14:paraId="1868CCA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0EB0960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26</w:t>
            </w:r>
          </w:p>
        </w:tc>
        <w:tc>
          <w:tcPr>
            <w:tcW w:w="427" w:type="dxa"/>
            <w:shd w:val="clear" w:color="auto" w:fill="auto"/>
            <w:vAlign w:val="center"/>
          </w:tcPr>
          <w:p w14:paraId="1442388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25</w:t>
            </w:r>
          </w:p>
        </w:tc>
        <w:tc>
          <w:tcPr>
            <w:tcW w:w="1357" w:type="dxa"/>
            <w:shd w:val="clear" w:color="auto" w:fill="auto"/>
            <w:vAlign w:val="center"/>
          </w:tcPr>
          <w:p w14:paraId="4825DCC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7774D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81" w:type="dxa"/>
            <w:shd w:val="clear" w:color="auto" w:fill="auto"/>
            <w:vAlign w:val="center"/>
          </w:tcPr>
          <w:p w14:paraId="3FAB725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一栋</w:t>
            </w:r>
          </w:p>
        </w:tc>
        <w:tc>
          <w:tcPr>
            <w:tcW w:w="0" w:type="auto"/>
            <w:shd w:val="clear" w:color="auto" w:fill="auto"/>
            <w:noWrap/>
            <w:vAlign w:val="center"/>
          </w:tcPr>
          <w:p w14:paraId="7B37D94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机边破碎13</w:t>
            </w:r>
          </w:p>
        </w:tc>
        <w:tc>
          <w:tcPr>
            <w:tcW w:w="0" w:type="auto"/>
            <w:shd w:val="clear" w:color="auto" w:fill="auto"/>
            <w:noWrap/>
            <w:vAlign w:val="center"/>
          </w:tcPr>
          <w:p w14:paraId="1C32AB1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726" w:type="dxa"/>
            <w:vMerge w:val="continue"/>
            <w:shd w:val="clear" w:color="auto" w:fill="auto"/>
            <w:vAlign w:val="center"/>
          </w:tcPr>
          <w:p w14:paraId="54C3BEBD">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34F131D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-15</w:t>
            </w:r>
          </w:p>
        </w:tc>
        <w:tc>
          <w:tcPr>
            <w:tcW w:w="496" w:type="dxa"/>
            <w:shd w:val="clear" w:color="auto" w:fill="auto"/>
            <w:noWrap/>
            <w:vAlign w:val="center"/>
          </w:tcPr>
          <w:p w14:paraId="4A1D456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31</w:t>
            </w:r>
          </w:p>
        </w:tc>
        <w:tc>
          <w:tcPr>
            <w:tcW w:w="480" w:type="dxa"/>
            <w:shd w:val="clear" w:color="auto" w:fill="auto"/>
            <w:noWrap/>
            <w:vAlign w:val="center"/>
          </w:tcPr>
          <w:p w14:paraId="7719C9D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39456B5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10</w:t>
            </w:r>
          </w:p>
        </w:tc>
        <w:tc>
          <w:tcPr>
            <w:tcW w:w="427" w:type="dxa"/>
            <w:shd w:val="clear" w:color="auto" w:fill="auto"/>
            <w:vAlign w:val="center"/>
          </w:tcPr>
          <w:p w14:paraId="274ADA7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57</w:t>
            </w:r>
          </w:p>
        </w:tc>
        <w:tc>
          <w:tcPr>
            <w:tcW w:w="427" w:type="dxa"/>
            <w:shd w:val="clear" w:color="auto" w:fill="auto"/>
            <w:vAlign w:val="center"/>
          </w:tcPr>
          <w:p w14:paraId="384C107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26</w:t>
            </w:r>
          </w:p>
        </w:tc>
        <w:tc>
          <w:tcPr>
            <w:tcW w:w="585" w:type="dxa"/>
            <w:shd w:val="clear" w:color="auto" w:fill="auto"/>
            <w:vAlign w:val="center"/>
          </w:tcPr>
          <w:p w14:paraId="765068B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23.2</w:t>
            </w:r>
          </w:p>
        </w:tc>
        <w:tc>
          <w:tcPr>
            <w:tcW w:w="427" w:type="dxa"/>
            <w:shd w:val="clear" w:color="auto" w:fill="auto"/>
            <w:vAlign w:val="center"/>
          </w:tcPr>
          <w:p w14:paraId="521350C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60</w:t>
            </w:r>
          </w:p>
        </w:tc>
        <w:tc>
          <w:tcPr>
            <w:tcW w:w="427" w:type="dxa"/>
            <w:shd w:val="clear" w:color="auto" w:fill="auto"/>
            <w:vAlign w:val="center"/>
          </w:tcPr>
          <w:p w14:paraId="2B84B61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45</w:t>
            </w:r>
          </w:p>
        </w:tc>
        <w:tc>
          <w:tcPr>
            <w:tcW w:w="427" w:type="dxa"/>
            <w:shd w:val="clear" w:color="auto" w:fill="auto"/>
            <w:vAlign w:val="center"/>
          </w:tcPr>
          <w:p w14:paraId="42E1123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52</w:t>
            </w:r>
          </w:p>
        </w:tc>
        <w:tc>
          <w:tcPr>
            <w:tcW w:w="427" w:type="dxa"/>
            <w:shd w:val="clear" w:color="auto" w:fill="auto"/>
            <w:vAlign w:val="center"/>
          </w:tcPr>
          <w:p w14:paraId="710E839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53</w:t>
            </w:r>
          </w:p>
        </w:tc>
        <w:tc>
          <w:tcPr>
            <w:tcW w:w="860" w:type="dxa"/>
            <w:shd w:val="clear" w:color="auto" w:fill="auto"/>
            <w:vAlign w:val="center"/>
          </w:tcPr>
          <w:p w14:paraId="46D1F6B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昼间</w:t>
            </w:r>
          </w:p>
        </w:tc>
        <w:tc>
          <w:tcPr>
            <w:tcW w:w="1291" w:type="dxa"/>
            <w:shd w:val="clear" w:color="auto" w:fill="auto"/>
            <w:vAlign w:val="center"/>
          </w:tcPr>
          <w:p w14:paraId="6C69C56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06564DC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34</w:t>
            </w:r>
          </w:p>
        </w:tc>
        <w:tc>
          <w:tcPr>
            <w:tcW w:w="427" w:type="dxa"/>
            <w:shd w:val="clear" w:color="auto" w:fill="auto"/>
            <w:vAlign w:val="center"/>
          </w:tcPr>
          <w:p w14:paraId="118CA41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19</w:t>
            </w:r>
          </w:p>
        </w:tc>
        <w:tc>
          <w:tcPr>
            <w:tcW w:w="427" w:type="dxa"/>
            <w:shd w:val="clear" w:color="auto" w:fill="auto"/>
            <w:vAlign w:val="center"/>
          </w:tcPr>
          <w:p w14:paraId="42D65A9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26</w:t>
            </w:r>
          </w:p>
        </w:tc>
        <w:tc>
          <w:tcPr>
            <w:tcW w:w="427" w:type="dxa"/>
            <w:shd w:val="clear" w:color="auto" w:fill="auto"/>
            <w:vAlign w:val="center"/>
          </w:tcPr>
          <w:p w14:paraId="6F06762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27</w:t>
            </w:r>
          </w:p>
        </w:tc>
        <w:tc>
          <w:tcPr>
            <w:tcW w:w="1357" w:type="dxa"/>
            <w:shd w:val="clear" w:color="auto" w:fill="auto"/>
            <w:vAlign w:val="center"/>
          </w:tcPr>
          <w:p w14:paraId="7F6BC78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648F2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81" w:type="dxa"/>
            <w:shd w:val="clear" w:color="auto" w:fill="auto"/>
            <w:vAlign w:val="center"/>
          </w:tcPr>
          <w:p w14:paraId="19CB6DD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一栋</w:t>
            </w:r>
          </w:p>
        </w:tc>
        <w:tc>
          <w:tcPr>
            <w:tcW w:w="0" w:type="auto"/>
            <w:shd w:val="clear" w:color="auto" w:fill="auto"/>
            <w:noWrap/>
            <w:vAlign w:val="center"/>
          </w:tcPr>
          <w:p w14:paraId="4235831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机边破碎14</w:t>
            </w:r>
          </w:p>
        </w:tc>
        <w:tc>
          <w:tcPr>
            <w:tcW w:w="0" w:type="auto"/>
            <w:shd w:val="clear" w:color="auto" w:fill="auto"/>
            <w:noWrap/>
            <w:vAlign w:val="center"/>
          </w:tcPr>
          <w:p w14:paraId="41FA924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726" w:type="dxa"/>
            <w:vMerge w:val="continue"/>
            <w:shd w:val="clear" w:color="auto" w:fill="auto"/>
            <w:vAlign w:val="center"/>
          </w:tcPr>
          <w:p w14:paraId="174301EB">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655C950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-15</w:t>
            </w:r>
          </w:p>
        </w:tc>
        <w:tc>
          <w:tcPr>
            <w:tcW w:w="496" w:type="dxa"/>
            <w:shd w:val="clear" w:color="auto" w:fill="auto"/>
            <w:noWrap/>
            <w:vAlign w:val="center"/>
          </w:tcPr>
          <w:p w14:paraId="4AC5AC4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35</w:t>
            </w:r>
          </w:p>
        </w:tc>
        <w:tc>
          <w:tcPr>
            <w:tcW w:w="480" w:type="dxa"/>
            <w:shd w:val="clear" w:color="auto" w:fill="auto"/>
            <w:noWrap/>
            <w:vAlign w:val="center"/>
          </w:tcPr>
          <w:p w14:paraId="42A2765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3CBE75F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10</w:t>
            </w:r>
          </w:p>
        </w:tc>
        <w:tc>
          <w:tcPr>
            <w:tcW w:w="427" w:type="dxa"/>
            <w:shd w:val="clear" w:color="auto" w:fill="auto"/>
            <w:vAlign w:val="center"/>
          </w:tcPr>
          <w:p w14:paraId="7299CF0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61</w:t>
            </w:r>
          </w:p>
        </w:tc>
        <w:tc>
          <w:tcPr>
            <w:tcW w:w="427" w:type="dxa"/>
            <w:shd w:val="clear" w:color="auto" w:fill="auto"/>
            <w:vAlign w:val="center"/>
          </w:tcPr>
          <w:p w14:paraId="3E51945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26</w:t>
            </w:r>
          </w:p>
        </w:tc>
        <w:tc>
          <w:tcPr>
            <w:tcW w:w="585" w:type="dxa"/>
            <w:shd w:val="clear" w:color="auto" w:fill="auto"/>
            <w:vAlign w:val="center"/>
          </w:tcPr>
          <w:p w14:paraId="53CE6CE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19.2</w:t>
            </w:r>
          </w:p>
        </w:tc>
        <w:tc>
          <w:tcPr>
            <w:tcW w:w="427" w:type="dxa"/>
            <w:shd w:val="clear" w:color="auto" w:fill="auto"/>
            <w:vAlign w:val="center"/>
          </w:tcPr>
          <w:p w14:paraId="48C91D0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60</w:t>
            </w:r>
          </w:p>
        </w:tc>
        <w:tc>
          <w:tcPr>
            <w:tcW w:w="427" w:type="dxa"/>
            <w:shd w:val="clear" w:color="auto" w:fill="auto"/>
            <w:vAlign w:val="center"/>
          </w:tcPr>
          <w:p w14:paraId="3525D96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44</w:t>
            </w:r>
          </w:p>
        </w:tc>
        <w:tc>
          <w:tcPr>
            <w:tcW w:w="427" w:type="dxa"/>
            <w:shd w:val="clear" w:color="auto" w:fill="auto"/>
            <w:vAlign w:val="center"/>
          </w:tcPr>
          <w:p w14:paraId="12ED57C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52</w:t>
            </w:r>
          </w:p>
        </w:tc>
        <w:tc>
          <w:tcPr>
            <w:tcW w:w="427" w:type="dxa"/>
            <w:shd w:val="clear" w:color="auto" w:fill="auto"/>
            <w:vAlign w:val="center"/>
          </w:tcPr>
          <w:p w14:paraId="10015E3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54</w:t>
            </w:r>
          </w:p>
        </w:tc>
        <w:tc>
          <w:tcPr>
            <w:tcW w:w="860" w:type="dxa"/>
            <w:shd w:val="clear" w:color="auto" w:fill="auto"/>
            <w:vAlign w:val="center"/>
          </w:tcPr>
          <w:p w14:paraId="35BB77B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昼间</w:t>
            </w:r>
          </w:p>
        </w:tc>
        <w:tc>
          <w:tcPr>
            <w:tcW w:w="1291" w:type="dxa"/>
            <w:shd w:val="clear" w:color="auto" w:fill="auto"/>
            <w:vAlign w:val="center"/>
          </w:tcPr>
          <w:p w14:paraId="5513399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3913074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34</w:t>
            </w:r>
          </w:p>
        </w:tc>
        <w:tc>
          <w:tcPr>
            <w:tcW w:w="427" w:type="dxa"/>
            <w:shd w:val="clear" w:color="auto" w:fill="auto"/>
            <w:vAlign w:val="center"/>
          </w:tcPr>
          <w:p w14:paraId="153A992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18</w:t>
            </w:r>
          </w:p>
        </w:tc>
        <w:tc>
          <w:tcPr>
            <w:tcW w:w="427" w:type="dxa"/>
            <w:shd w:val="clear" w:color="auto" w:fill="auto"/>
            <w:vAlign w:val="center"/>
          </w:tcPr>
          <w:p w14:paraId="7A513A9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26</w:t>
            </w:r>
          </w:p>
        </w:tc>
        <w:tc>
          <w:tcPr>
            <w:tcW w:w="427" w:type="dxa"/>
            <w:shd w:val="clear" w:color="auto" w:fill="auto"/>
            <w:vAlign w:val="center"/>
          </w:tcPr>
          <w:p w14:paraId="251DD29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28</w:t>
            </w:r>
          </w:p>
        </w:tc>
        <w:tc>
          <w:tcPr>
            <w:tcW w:w="1357" w:type="dxa"/>
            <w:shd w:val="clear" w:color="auto" w:fill="auto"/>
            <w:vAlign w:val="center"/>
          </w:tcPr>
          <w:p w14:paraId="4DD1D15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6C0F1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81" w:type="dxa"/>
            <w:shd w:val="clear" w:color="auto" w:fill="auto"/>
            <w:vAlign w:val="center"/>
          </w:tcPr>
          <w:p w14:paraId="0E42963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二栋</w:t>
            </w:r>
          </w:p>
        </w:tc>
        <w:tc>
          <w:tcPr>
            <w:tcW w:w="0" w:type="auto"/>
            <w:shd w:val="clear" w:color="auto" w:fill="auto"/>
            <w:noWrap/>
            <w:vAlign w:val="center"/>
          </w:tcPr>
          <w:p w14:paraId="6989DF4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机边破碎15</w:t>
            </w:r>
          </w:p>
        </w:tc>
        <w:tc>
          <w:tcPr>
            <w:tcW w:w="0" w:type="auto"/>
            <w:shd w:val="clear" w:color="auto" w:fill="auto"/>
            <w:noWrap/>
            <w:vAlign w:val="center"/>
          </w:tcPr>
          <w:p w14:paraId="42DE388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726" w:type="dxa"/>
            <w:vMerge w:val="continue"/>
            <w:shd w:val="clear" w:color="auto" w:fill="auto"/>
            <w:vAlign w:val="center"/>
          </w:tcPr>
          <w:p w14:paraId="031BDAE2">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78CFCEB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45</w:t>
            </w:r>
          </w:p>
        </w:tc>
        <w:tc>
          <w:tcPr>
            <w:tcW w:w="496" w:type="dxa"/>
            <w:shd w:val="clear" w:color="auto" w:fill="auto"/>
            <w:noWrap/>
            <w:vAlign w:val="center"/>
          </w:tcPr>
          <w:p w14:paraId="2DF1C65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-17</w:t>
            </w:r>
          </w:p>
        </w:tc>
        <w:tc>
          <w:tcPr>
            <w:tcW w:w="480" w:type="dxa"/>
            <w:shd w:val="clear" w:color="auto" w:fill="auto"/>
            <w:noWrap/>
            <w:vAlign w:val="center"/>
          </w:tcPr>
          <w:p w14:paraId="228CD01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76F78E9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15</w:t>
            </w:r>
          </w:p>
        </w:tc>
        <w:tc>
          <w:tcPr>
            <w:tcW w:w="427" w:type="dxa"/>
            <w:shd w:val="clear" w:color="auto" w:fill="auto"/>
            <w:vAlign w:val="center"/>
          </w:tcPr>
          <w:p w14:paraId="5F851BC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10</w:t>
            </w:r>
          </w:p>
        </w:tc>
        <w:tc>
          <w:tcPr>
            <w:tcW w:w="427" w:type="dxa"/>
            <w:shd w:val="clear" w:color="auto" w:fill="auto"/>
            <w:vAlign w:val="center"/>
          </w:tcPr>
          <w:p w14:paraId="12ED400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21</w:t>
            </w:r>
          </w:p>
        </w:tc>
        <w:tc>
          <w:tcPr>
            <w:tcW w:w="585" w:type="dxa"/>
            <w:shd w:val="clear" w:color="auto" w:fill="auto"/>
            <w:vAlign w:val="center"/>
          </w:tcPr>
          <w:p w14:paraId="51CCA26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70.2</w:t>
            </w:r>
          </w:p>
        </w:tc>
        <w:tc>
          <w:tcPr>
            <w:tcW w:w="427" w:type="dxa"/>
            <w:shd w:val="clear" w:color="auto" w:fill="auto"/>
            <w:vAlign w:val="center"/>
          </w:tcPr>
          <w:p w14:paraId="1285266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56</w:t>
            </w:r>
          </w:p>
        </w:tc>
        <w:tc>
          <w:tcPr>
            <w:tcW w:w="427" w:type="dxa"/>
            <w:shd w:val="clear" w:color="auto" w:fill="auto"/>
            <w:vAlign w:val="center"/>
          </w:tcPr>
          <w:p w14:paraId="3ACBB1A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60</w:t>
            </w:r>
          </w:p>
        </w:tc>
        <w:tc>
          <w:tcPr>
            <w:tcW w:w="427" w:type="dxa"/>
            <w:shd w:val="clear" w:color="auto" w:fill="auto"/>
            <w:vAlign w:val="center"/>
          </w:tcPr>
          <w:p w14:paraId="6EF89E2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54</w:t>
            </w:r>
          </w:p>
        </w:tc>
        <w:tc>
          <w:tcPr>
            <w:tcW w:w="427" w:type="dxa"/>
            <w:shd w:val="clear" w:color="auto" w:fill="auto"/>
            <w:vAlign w:val="center"/>
          </w:tcPr>
          <w:p w14:paraId="0505130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43</w:t>
            </w:r>
          </w:p>
        </w:tc>
        <w:tc>
          <w:tcPr>
            <w:tcW w:w="860" w:type="dxa"/>
            <w:shd w:val="clear" w:color="auto" w:fill="auto"/>
            <w:vAlign w:val="center"/>
          </w:tcPr>
          <w:p w14:paraId="06BDDA4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昼间</w:t>
            </w:r>
          </w:p>
        </w:tc>
        <w:tc>
          <w:tcPr>
            <w:tcW w:w="1291" w:type="dxa"/>
            <w:shd w:val="clear" w:color="auto" w:fill="auto"/>
            <w:vAlign w:val="center"/>
          </w:tcPr>
          <w:p w14:paraId="30BB854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6ECE384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30</w:t>
            </w:r>
          </w:p>
        </w:tc>
        <w:tc>
          <w:tcPr>
            <w:tcW w:w="427" w:type="dxa"/>
            <w:shd w:val="clear" w:color="auto" w:fill="auto"/>
            <w:vAlign w:val="center"/>
          </w:tcPr>
          <w:p w14:paraId="007DB7F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34</w:t>
            </w:r>
          </w:p>
        </w:tc>
        <w:tc>
          <w:tcPr>
            <w:tcW w:w="427" w:type="dxa"/>
            <w:shd w:val="clear" w:color="auto" w:fill="auto"/>
            <w:vAlign w:val="center"/>
          </w:tcPr>
          <w:p w14:paraId="1EC1F7E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28</w:t>
            </w:r>
          </w:p>
        </w:tc>
        <w:tc>
          <w:tcPr>
            <w:tcW w:w="427" w:type="dxa"/>
            <w:shd w:val="clear" w:color="auto" w:fill="auto"/>
            <w:vAlign w:val="center"/>
          </w:tcPr>
          <w:p w14:paraId="28D77EB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17</w:t>
            </w:r>
          </w:p>
        </w:tc>
        <w:tc>
          <w:tcPr>
            <w:tcW w:w="1357" w:type="dxa"/>
            <w:shd w:val="clear" w:color="auto" w:fill="auto"/>
            <w:vAlign w:val="center"/>
          </w:tcPr>
          <w:p w14:paraId="3B906D3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451BE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rPr>
        <w:tc>
          <w:tcPr>
            <w:tcW w:w="681" w:type="dxa"/>
            <w:shd w:val="clear" w:color="auto" w:fill="auto"/>
            <w:vAlign w:val="center"/>
          </w:tcPr>
          <w:p w14:paraId="0F23983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二栋</w:t>
            </w:r>
          </w:p>
        </w:tc>
        <w:tc>
          <w:tcPr>
            <w:tcW w:w="0" w:type="auto"/>
            <w:shd w:val="clear" w:color="auto" w:fill="auto"/>
            <w:noWrap/>
            <w:vAlign w:val="center"/>
          </w:tcPr>
          <w:p w14:paraId="592FED6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机边破碎16</w:t>
            </w:r>
          </w:p>
        </w:tc>
        <w:tc>
          <w:tcPr>
            <w:tcW w:w="0" w:type="auto"/>
            <w:shd w:val="clear" w:color="auto" w:fill="auto"/>
            <w:noWrap/>
            <w:vAlign w:val="center"/>
          </w:tcPr>
          <w:p w14:paraId="776ECD4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726" w:type="dxa"/>
            <w:vMerge w:val="continue"/>
            <w:shd w:val="clear" w:color="auto" w:fill="auto"/>
            <w:vAlign w:val="center"/>
          </w:tcPr>
          <w:p w14:paraId="49BF355D">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6961B2F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45</w:t>
            </w:r>
          </w:p>
        </w:tc>
        <w:tc>
          <w:tcPr>
            <w:tcW w:w="496" w:type="dxa"/>
            <w:shd w:val="clear" w:color="auto" w:fill="auto"/>
            <w:noWrap/>
            <w:vAlign w:val="center"/>
          </w:tcPr>
          <w:p w14:paraId="63A6C89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-14</w:t>
            </w:r>
          </w:p>
        </w:tc>
        <w:tc>
          <w:tcPr>
            <w:tcW w:w="480" w:type="dxa"/>
            <w:shd w:val="clear" w:color="auto" w:fill="auto"/>
            <w:noWrap/>
            <w:vAlign w:val="center"/>
          </w:tcPr>
          <w:p w14:paraId="693B6D4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7E76371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15</w:t>
            </w:r>
          </w:p>
        </w:tc>
        <w:tc>
          <w:tcPr>
            <w:tcW w:w="427" w:type="dxa"/>
            <w:shd w:val="clear" w:color="auto" w:fill="auto"/>
            <w:vAlign w:val="center"/>
          </w:tcPr>
          <w:p w14:paraId="4DDFD9C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13</w:t>
            </w:r>
          </w:p>
        </w:tc>
        <w:tc>
          <w:tcPr>
            <w:tcW w:w="427" w:type="dxa"/>
            <w:shd w:val="clear" w:color="auto" w:fill="auto"/>
            <w:vAlign w:val="center"/>
          </w:tcPr>
          <w:p w14:paraId="399C8D2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21</w:t>
            </w:r>
          </w:p>
        </w:tc>
        <w:tc>
          <w:tcPr>
            <w:tcW w:w="585" w:type="dxa"/>
            <w:shd w:val="clear" w:color="auto" w:fill="auto"/>
            <w:vAlign w:val="center"/>
          </w:tcPr>
          <w:p w14:paraId="56D9F0C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67.2</w:t>
            </w:r>
          </w:p>
        </w:tc>
        <w:tc>
          <w:tcPr>
            <w:tcW w:w="427" w:type="dxa"/>
            <w:shd w:val="clear" w:color="auto" w:fill="auto"/>
            <w:vAlign w:val="center"/>
          </w:tcPr>
          <w:p w14:paraId="2A13B0A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56</w:t>
            </w:r>
          </w:p>
        </w:tc>
        <w:tc>
          <w:tcPr>
            <w:tcW w:w="427" w:type="dxa"/>
            <w:shd w:val="clear" w:color="auto" w:fill="auto"/>
            <w:vAlign w:val="center"/>
          </w:tcPr>
          <w:p w14:paraId="62FCA82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58</w:t>
            </w:r>
          </w:p>
        </w:tc>
        <w:tc>
          <w:tcPr>
            <w:tcW w:w="427" w:type="dxa"/>
            <w:shd w:val="clear" w:color="auto" w:fill="auto"/>
            <w:vAlign w:val="center"/>
          </w:tcPr>
          <w:p w14:paraId="100FEF2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54</w:t>
            </w:r>
          </w:p>
        </w:tc>
        <w:tc>
          <w:tcPr>
            <w:tcW w:w="427" w:type="dxa"/>
            <w:shd w:val="clear" w:color="auto" w:fill="auto"/>
            <w:vAlign w:val="center"/>
          </w:tcPr>
          <w:p w14:paraId="4CE8D69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43</w:t>
            </w:r>
          </w:p>
        </w:tc>
        <w:tc>
          <w:tcPr>
            <w:tcW w:w="860" w:type="dxa"/>
            <w:shd w:val="clear" w:color="auto" w:fill="auto"/>
            <w:vAlign w:val="center"/>
          </w:tcPr>
          <w:p w14:paraId="3457174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昼间</w:t>
            </w:r>
          </w:p>
        </w:tc>
        <w:tc>
          <w:tcPr>
            <w:tcW w:w="1291" w:type="dxa"/>
            <w:shd w:val="clear" w:color="auto" w:fill="auto"/>
            <w:vAlign w:val="center"/>
          </w:tcPr>
          <w:p w14:paraId="34D5584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1D36183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30</w:t>
            </w:r>
          </w:p>
        </w:tc>
        <w:tc>
          <w:tcPr>
            <w:tcW w:w="427" w:type="dxa"/>
            <w:shd w:val="clear" w:color="auto" w:fill="auto"/>
            <w:vAlign w:val="center"/>
          </w:tcPr>
          <w:p w14:paraId="2CC0B07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32</w:t>
            </w:r>
          </w:p>
        </w:tc>
        <w:tc>
          <w:tcPr>
            <w:tcW w:w="427" w:type="dxa"/>
            <w:shd w:val="clear" w:color="auto" w:fill="auto"/>
            <w:vAlign w:val="center"/>
          </w:tcPr>
          <w:p w14:paraId="3D20D1F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28</w:t>
            </w:r>
          </w:p>
        </w:tc>
        <w:tc>
          <w:tcPr>
            <w:tcW w:w="427" w:type="dxa"/>
            <w:shd w:val="clear" w:color="auto" w:fill="auto"/>
            <w:vAlign w:val="center"/>
          </w:tcPr>
          <w:p w14:paraId="2594F56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17</w:t>
            </w:r>
          </w:p>
        </w:tc>
        <w:tc>
          <w:tcPr>
            <w:tcW w:w="1357" w:type="dxa"/>
            <w:shd w:val="clear" w:color="auto" w:fill="auto"/>
            <w:vAlign w:val="center"/>
          </w:tcPr>
          <w:p w14:paraId="516B4EE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0019D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681" w:type="dxa"/>
            <w:shd w:val="clear" w:color="auto" w:fill="auto"/>
            <w:vAlign w:val="center"/>
          </w:tcPr>
          <w:p w14:paraId="24F750E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二栋</w:t>
            </w:r>
          </w:p>
        </w:tc>
        <w:tc>
          <w:tcPr>
            <w:tcW w:w="0" w:type="auto"/>
            <w:shd w:val="clear" w:color="auto" w:fill="auto"/>
            <w:noWrap/>
            <w:vAlign w:val="center"/>
          </w:tcPr>
          <w:p w14:paraId="764F019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机边破碎17</w:t>
            </w:r>
          </w:p>
        </w:tc>
        <w:tc>
          <w:tcPr>
            <w:tcW w:w="0" w:type="auto"/>
            <w:shd w:val="clear" w:color="auto" w:fill="auto"/>
            <w:noWrap/>
            <w:vAlign w:val="center"/>
          </w:tcPr>
          <w:p w14:paraId="3EF31B5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726" w:type="dxa"/>
            <w:vMerge w:val="continue"/>
            <w:shd w:val="clear" w:color="auto" w:fill="auto"/>
            <w:vAlign w:val="center"/>
          </w:tcPr>
          <w:p w14:paraId="08A54AFB">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32846D2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45</w:t>
            </w:r>
          </w:p>
        </w:tc>
        <w:tc>
          <w:tcPr>
            <w:tcW w:w="496" w:type="dxa"/>
            <w:shd w:val="clear" w:color="auto" w:fill="auto"/>
            <w:noWrap/>
            <w:vAlign w:val="center"/>
          </w:tcPr>
          <w:p w14:paraId="1DA8E24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-10</w:t>
            </w:r>
          </w:p>
        </w:tc>
        <w:tc>
          <w:tcPr>
            <w:tcW w:w="480" w:type="dxa"/>
            <w:shd w:val="clear" w:color="auto" w:fill="auto"/>
            <w:noWrap/>
            <w:vAlign w:val="center"/>
          </w:tcPr>
          <w:p w14:paraId="7F9EF15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0A3A6ED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15</w:t>
            </w:r>
          </w:p>
        </w:tc>
        <w:tc>
          <w:tcPr>
            <w:tcW w:w="427" w:type="dxa"/>
            <w:shd w:val="clear" w:color="auto" w:fill="auto"/>
            <w:vAlign w:val="center"/>
          </w:tcPr>
          <w:p w14:paraId="190B39C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17</w:t>
            </w:r>
          </w:p>
        </w:tc>
        <w:tc>
          <w:tcPr>
            <w:tcW w:w="427" w:type="dxa"/>
            <w:shd w:val="clear" w:color="auto" w:fill="auto"/>
            <w:vAlign w:val="center"/>
          </w:tcPr>
          <w:p w14:paraId="6B78745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21</w:t>
            </w:r>
          </w:p>
        </w:tc>
        <w:tc>
          <w:tcPr>
            <w:tcW w:w="585" w:type="dxa"/>
            <w:shd w:val="clear" w:color="auto" w:fill="auto"/>
            <w:vAlign w:val="center"/>
          </w:tcPr>
          <w:p w14:paraId="7668C3F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63.2</w:t>
            </w:r>
          </w:p>
        </w:tc>
        <w:tc>
          <w:tcPr>
            <w:tcW w:w="427" w:type="dxa"/>
            <w:shd w:val="clear" w:color="auto" w:fill="auto"/>
            <w:vAlign w:val="center"/>
          </w:tcPr>
          <w:p w14:paraId="7E60847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56</w:t>
            </w:r>
          </w:p>
        </w:tc>
        <w:tc>
          <w:tcPr>
            <w:tcW w:w="427" w:type="dxa"/>
            <w:shd w:val="clear" w:color="auto" w:fill="auto"/>
            <w:vAlign w:val="center"/>
          </w:tcPr>
          <w:p w14:paraId="7BE348F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55</w:t>
            </w:r>
          </w:p>
        </w:tc>
        <w:tc>
          <w:tcPr>
            <w:tcW w:w="427" w:type="dxa"/>
            <w:shd w:val="clear" w:color="auto" w:fill="auto"/>
            <w:vAlign w:val="center"/>
          </w:tcPr>
          <w:p w14:paraId="120A6BF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54</w:t>
            </w:r>
          </w:p>
        </w:tc>
        <w:tc>
          <w:tcPr>
            <w:tcW w:w="427" w:type="dxa"/>
            <w:shd w:val="clear" w:color="auto" w:fill="auto"/>
            <w:vAlign w:val="center"/>
          </w:tcPr>
          <w:p w14:paraId="453FA80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44</w:t>
            </w:r>
          </w:p>
        </w:tc>
        <w:tc>
          <w:tcPr>
            <w:tcW w:w="860" w:type="dxa"/>
            <w:shd w:val="clear" w:color="auto" w:fill="auto"/>
            <w:vAlign w:val="center"/>
          </w:tcPr>
          <w:p w14:paraId="4C7657D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昼间</w:t>
            </w:r>
          </w:p>
        </w:tc>
        <w:tc>
          <w:tcPr>
            <w:tcW w:w="1291" w:type="dxa"/>
            <w:shd w:val="clear" w:color="auto" w:fill="auto"/>
            <w:vAlign w:val="center"/>
          </w:tcPr>
          <w:p w14:paraId="7BA373E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2488309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30</w:t>
            </w:r>
          </w:p>
        </w:tc>
        <w:tc>
          <w:tcPr>
            <w:tcW w:w="427" w:type="dxa"/>
            <w:shd w:val="clear" w:color="auto" w:fill="auto"/>
            <w:vAlign w:val="center"/>
          </w:tcPr>
          <w:p w14:paraId="42EB95A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29</w:t>
            </w:r>
          </w:p>
        </w:tc>
        <w:tc>
          <w:tcPr>
            <w:tcW w:w="427" w:type="dxa"/>
            <w:shd w:val="clear" w:color="auto" w:fill="auto"/>
            <w:vAlign w:val="center"/>
          </w:tcPr>
          <w:p w14:paraId="12DE441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28</w:t>
            </w:r>
          </w:p>
        </w:tc>
        <w:tc>
          <w:tcPr>
            <w:tcW w:w="427" w:type="dxa"/>
            <w:shd w:val="clear" w:color="auto" w:fill="auto"/>
            <w:vAlign w:val="center"/>
          </w:tcPr>
          <w:p w14:paraId="148612E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18</w:t>
            </w:r>
          </w:p>
        </w:tc>
        <w:tc>
          <w:tcPr>
            <w:tcW w:w="1357" w:type="dxa"/>
            <w:shd w:val="clear" w:color="auto" w:fill="auto"/>
            <w:vAlign w:val="center"/>
          </w:tcPr>
          <w:p w14:paraId="65D43B4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40661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681" w:type="dxa"/>
            <w:shd w:val="clear" w:color="auto" w:fill="auto"/>
            <w:vAlign w:val="center"/>
          </w:tcPr>
          <w:p w14:paraId="1146FEF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二栋</w:t>
            </w:r>
          </w:p>
        </w:tc>
        <w:tc>
          <w:tcPr>
            <w:tcW w:w="0" w:type="auto"/>
            <w:shd w:val="clear" w:color="auto" w:fill="auto"/>
            <w:noWrap/>
            <w:vAlign w:val="center"/>
          </w:tcPr>
          <w:p w14:paraId="5C4C98E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机边破碎18</w:t>
            </w:r>
          </w:p>
        </w:tc>
        <w:tc>
          <w:tcPr>
            <w:tcW w:w="0" w:type="auto"/>
            <w:shd w:val="clear" w:color="auto" w:fill="auto"/>
            <w:noWrap/>
            <w:vAlign w:val="center"/>
          </w:tcPr>
          <w:p w14:paraId="79C782C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726" w:type="dxa"/>
            <w:vMerge w:val="continue"/>
            <w:shd w:val="clear" w:color="auto" w:fill="auto"/>
            <w:vAlign w:val="center"/>
          </w:tcPr>
          <w:p w14:paraId="5E0F6C9E">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2753096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45</w:t>
            </w:r>
          </w:p>
        </w:tc>
        <w:tc>
          <w:tcPr>
            <w:tcW w:w="496" w:type="dxa"/>
            <w:shd w:val="clear" w:color="auto" w:fill="auto"/>
            <w:noWrap/>
            <w:vAlign w:val="center"/>
          </w:tcPr>
          <w:p w14:paraId="52E3304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-7</w:t>
            </w:r>
          </w:p>
        </w:tc>
        <w:tc>
          <w:tcPr>
            <w:tcW w:w="480" w:type="dxa"/>
            <w:shd w:val="clear" w:color="auto" w:fill="auto"/>
            <w:noWrap/>
            <w:vAlign w:val="center"/>
          </w:tcPr>
          <w:p w14:paraId="584A8E0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57D14A9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15</w:t>
            </w:r>
          </w:p>
        </w:tc>
        <w:tc>
          <w:tcPr>
            <w:tcW w:w="427" w:type="dxa"/>
            <w:shd w:val="clear" w:color="auto" w:fill="auto"/>
            <w:vAlign w:val="center"/>
          </w:tcPr>
          <w:p w14:paraId="576D6CC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613EEA7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21</w:t>
            </w:r>
          </w:p>
        </w:tc>
        <w:tc>
          <w:tcPr>
            <w:tcW w:w="585" w:type="dxa"/>
            <w:shd w:val="clear" w:color="auto" w:fill="auto"/>
            <w:vAlign w:val="center"/>
          </w:tcPr>
          <w:p w14:paraId="2C3331A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60.2</w:t>
            </w:r>
          </w:p>
        </w:tc>
        <w:tc>
          <w:tcPr>
            <w:tcW w:w="427" w:type="dxa"/>
            <w:shd w:val="clear" w:color="auto" w:fill="auto"/>
            <w:vAlign w:val="center"/>
          </w:tcPr>
          <w:p w14:paraId="2913F9F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56</w:t>
            </w:r>
          </w:p>
        </w:tc>
        <w:tc>
          <w:tcPr>
            <w:tcW w:w="427" w:type="dxa"/>
            <w:shd w:val="clear" w:color="auto" w:fill="auto"/>
            <w:vAlign w:val="center"/>
          </w:tcPr>
          <w:p w14:paraId="4EAB2F9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54</w:t>
            </w:r>
          </w:p>
        </w:tc>
        <w:tc>
          <w:tcPr>
            <w:tcW w:w="427" w:type="dxa"/>
            <w:shd w:val="clear" w:color="auto" w:fill="auto"/>
            <w:vAlign w:val="center"/>
          </w:tcPr>
          <w:p w14:paraId="51992E4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54</w:t>
            </w:r>
          </w:p>
        </w:tc>
        <w:tc>
          <w:tcPr>
            <w:tcW w:w="427" w:type="dxa"/>
            <w:shd w:val="clear" w:color="auto" w:fill="auto"/>
            <w:vAlign w:val="center"/>
          </w:tcPr>
          <w:p w14:paraId="7AE628F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44</w:t>
            </w:r>
          </w:p>
        </w:tc>
        <w:tc>
          <w:tcPr>
            <w:tcW w:w="860" w:type="dxa"/>
            <w:shd w:val="clear" w:color="auto" w:fill="auto"/>
            <w:vAlign w:val="center"/>
          </w:tcPr>
          <w:p w14:paraId="0DEE008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昼间</w:t>
            </w:r>
          </w:p>
        </w:tc>
        <w:tc>
          <w:tcPr>
            <w:tcW w:w="1291" w:type="dxa"/>
            <w:shd w:val="clear" w:color="auto" w:fill="auto"/>
            <w:vAlign w:val="center"/>
          </w:tcPr>
          <w:p w14:paraId="5830F18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0067E64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30</w:t>
            </w:r>
          </w:p>
        </w:tc>
        <w:tc>
          <w:tcPr>
            <w:tcW w:w="427" w:type="dxa"/>
            <w:shd w:val="clear" w:color="auto" w:fill="auto"/>
            <w:vAlign w:val="center"/>
          </w:tcPr>
          <w:p w14:paraId="65ED91A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28</w:t>
            </w:r>
          </w:p>
        </w:tc>
        <w:tc>
          <w:tcPr>
            <w:tcW w:w="427" w:type="dxa"/>
            <w:shd w:val="clear" w:color="auto" w:fill="auto"/>
            <w:vAlign w:val="center"/>
          </w:tcPr>
          <w:p w14:paraId="5593E80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28</w:t>
            </w:r>
          </w:p>
        </w:tc>
        <w:tc>
          <w:tcPr>
            <w:tcW w:w="427" w:type="dxa"/>
            <w:shd w:val="clear" w:color="auto" w:fill="auto"/>
            <w:vAlign w:val="center"/>
          </w:tcPr>
          <w:p w14:paraId="380535D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18</w:t>
            </w:r>
          </w:p>
        </w:tc>
        <w:tc>
          <w:tcPr>
            <w:tcW w:w="1357" w:type="dxa"/>
            <w:shd w:val="clear" w:color="auto" w:fill="auto"/>
            <w:vAlign w:val="center"/>
          </w:tcPr>
          <w:p w14:paraId="6DAC3F6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46824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681" w:type="dxa"/>
            <w:shd w:val="clear" w:color="auto" w:fill="auto"/>
            <w:vAlign w:val="center"/>
          </w:tcPr>
          <w:p w14:paraId="78D204D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二栋</w:t>
            </w:r>
          </w:p>
        </w:tc>
        <w:tc>
          <w:tcPr>
            <w:tcW w:w="0" w:type="auto"/>
            <w:shd w:val="clear" w:color="auto" w:fill="auto"/>
            <w:noWrap/>
            <w:vAlign w:val="center"/>
          </w:tcPr>
          <w:p w14:paraId="6B15ADD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机边破碎19</w:t>
            </w:r>
          </w:p>
        </w:tc>
        <w:tc>
          <w:tcPr>
            <w:tcW w:w="0" w:type="auto"/>
            <w:shd w:val="clear" w:color="auto" w:fill="auto"/>
            <w:noWrap/>
            <w:vAlign w:val="center"/>
          </w:tcPr>
          <w:p w14:paraId="1C39D8B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726" w:type="dxa"/>
            <w:vMerge w:val="continue"/>
            <w:shd w:val="clear" w:color="auto" w:fill="auto"/>
            <w:vAlign w:val="center"/>
          </w:tcPr>
          <w:p w14:paraId="42C9991E">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04859FF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45</w:t>
            </w:r>
          </w:p>
        </w:tc>
        <w:tc>
          <w:tcPr>
            <w:tcW w:w="496" w:type="dxa"/>
            <w:shd w:val="clear" w:color="auto" w:fill="auto"/>
            <w:noWrap/>
            <w:vAlign w:val="center"/>
          </w:tcPr>
          <w:p w14:paraId="25D8E9D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w:t>
            </w:r>
          </w:p>
        </w:tc>
        <w:tc>
          <w:tcPr>
            <w:tcW w:w="480" w:type="dxa"/>
            <w:shd w:val="clear" w:color="auto" w:fill="auto"/>
            <w:noWrap/>
            <w:vAlign w:val="center"/>
          </w:tcPr>
          <w:p w14:paraId="3EC1F2A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5583E30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15</w:t>
            </w:r>
          </w:p>
        </w:tc>
        <w:tc>
          <w:tcPr>
            <w:tcW w:w="427" w:type="dxa"/>
            <w:shd w:val="clear" w:color="auto" w:fill="auto"/>
            <w:vAlign w:val="center"/>
          </w:tcPr>
          <w:p w14:paraId="795ED7B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24</w:t>
            </w:r>
          </w:p>
        </w:tc>
        <w:tc>
          <w:tcPr>
            <w:tcW w:w="427" w:type="dxa"/>
            <w:shd w:val="clear" w:color="auto" w:fill="auto"/>
            <w:vAlign w:val="center"/>
          </w:tcPr>
          <w:p w14:paraId="6701DBC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21</w:t>
            </w:r>
          </w:p>
        </w:tc>
        <w:tc>
          <w:tcPr>
            <w:tcW w:w="585" w:type="dxa"/>
            <w:shd w:val="clear" w:color="auto" w:fill="auto"/>
            <w:vAlign w:val="center"/>
          </w:tcPr>
          <w:p w14:paraId="1018CC9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56.2</w:t>
            </w:r>
          </w:p>
        </w:tc>
        <w:tc>
          <w:tcPr>
            <w:tcW w:w="427" w:type="dxa"/>
            <w:shd w:val="clear" w:color="auto" w:fill="auto"/>
            <w:vAlign w:val="center"/>
          </w:tcPr>
          <w:p w14:paraId="47714D7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56</w:t>
            </w:r>
          </w:p>
        </w:tc>
        <w:tc>
          <w:tcPr>
            <w:tcW w:w="427" w:type="dxa"/>
            <w:shd w:val="clear" w:color="auto" w:fill="auto"/>
            <w:vAlign w:val="center"/>
          </w:tcPr>
          <w:p w14:paraId="45B938A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52</w:t>
            </w:r>
          </w:p>
        </w:tc>
        <w:tc>
          <w:tcPr>
            <w:tcW w:w="427" w:type="dxa"/>
            <w:shd w:val="clear" w:color="auto" w:fill="auto"/>
            <w:vAlign w:val="center"/>
          </w:tcPr>
          <w:p w14:paraId="15D6A2F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54</w:t>
            </w:r>
          </w:p>
        </w:tc>
        <w:tc>
          <w:tcPr>
            <w:tcW w:w="427" w:type="dxa"/>
            <w:shd w:val="clear" w:color="auto" w:fill="auto"/>
            <w:vAlign w:val="center"/>
          </w:tcPr>
          <w:p w14:paraId="4CF8FFE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45</w:t>
            </w:r>
          </w:p>
        </w:tc>
        <w:tc>
          <w:tcPr>
            <w:tcW w:w="860" w:type="dxa"/>
            <w:shd w:val="clear" w:color="auto" w:fill="auto"/>
            <w:vAlign w:val="center"/>
          </w:tcPr>
          <w:p w14:paraId="75B16D4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昼间</w:t>
            </w:r>
          </w:p>
        </w:tc>
        <w:tc>
          <w:tcPr>
            <w:tcW w:w="1291" w:type="dxa"/>
            <w:shd w:val="clear" w:color="auto" w:fill="auto"/>
            <w:vAlign w:val="center"/>
          </w:tcPr>
          <w:p w14:paraId="1B84D5A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32FA1C3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30</w:t>
            </w:r>
          </w:p>
        </w:tc>
        <w:tc>
          <w:tcPr>
            <w:tcW w:w="427" w:type="dxa"/>
            <w:shd w:val="clear" w:color="auto" w:fill="auto"/>
            <w:vAlign w:val="center"/>
          </w:tcPr>
          <w:p w14:paraId="5D177B6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26</w:t>
            </w:r>
          </w:p>
        </w:tc>
        <w:tc>
          <w:tcPr>
            <w:tcW w:w="427" w:type="dxa"/>
            <w:shd w:val="clear" w:color="auto" w:fill="auto"/>
            <w:vAlign w:val="center"/>
          </w:tcPr>
          <w:p w14:paraId="12FD05C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28</w:t>
            </w:r>
          </w:p>
        </w:tc>
        <w:tc>
          <w:tcPr>
            <w:tcW w:w="427" w:type="dxa"/>
            <w:shd w:val="clear" w:color="auto" w:fill="auto"/>
            <w:vAlign w:val="center"/>
          </w:tcPr>
          <w:p w14:paraId="0776262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19</w:t>
            </w:r>
          </w:p>
        </w:tc>
        <w:tc>
          <w:tcPr>
            <w:tcW w:w="1357" w:type="dxa"/>
            <w:shd w:val="clear" w:color="auto" w:fill="auto"/>
            <w:vAlign w:val="center"/>
          </w:tcPr>
          <w:p w14:paraId="704A144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5E627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1" w:type="dxa"/>
            <w:shd w:val="clear" w:color="auto" w:fill="auto"/>
            <w:vAlign w:val="center"/>
          </w:tcPr>
          <w:p w14:paraId="54F3F8F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二栋</w:t>
            </w:r>
          </w:p>
        </w:tc>
        <w:tc>
          <w:tcPr>
            <w:tcW w:w="0" w:type="auto"/>
            <w:shd w:val="clear" w:color="auto" w:fill="auto"/>
            <w:noWrap/>
            <w:vAlign w:val="center"/>
          </w:tcPr>
          <w:p w14:paraId="1AD022F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机边破碎20</w:t>
            </w:r>
          </w:p>
        </w:tc>
        <w:tc>
          <w:tcPr>
            <w:tcW w:w="0" w:type="auto"/>
            <w:shd w:val="clear" w:color="auto" w:fill="auto"/>
            <w:noWrap/>
            <w:vAlign w:val="center"/>
          </w:tcPr>
          <w:p w14:paraId="6368B9D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726" w:type="dxa"/>
            <w:vMerge w:val="continue"/>
            <w:shd w:val="clear" w:color="auto" w:fill="auto"/>
            <w:vAlign w:val="center"/>
          </w:tcPr>
          <w:p w14:paraId="1D0CBCE5">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7012F25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45</w:t>
            </w:r>
          </w:p>
        </w:tc>
        <w:tc>
          <w:tcPr>
            <w:tcW w:w="496" w:type="dxa"/>
            <w:shd w:val="clear" w:color="auto" w:fill="auto"/>
            <w:noWrap/>
            <w:vAlign w:val="center"/>
          </w:tcPr>
          <w:p w14:paraId="7504947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w:t>
            </w:r>
          </w:p>
        </w:tc>
        <w:tc>
          <w:tcPr>
            <w:tcW w:w="480" w:type="dxa"/>
            <w:shd w:val="clear" w:color="auto" w:fill="auto"/>
            <w:noWrap/>
            <w:vAlign w:val="center"/>
          </w:tcPr>
          <w:p w14:paraId="5817F98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3C5AAEC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15</w:t>
            </w:r>
          </w:p>
        </w:tc>
        <w:tc>
          <w:tcPr>
            <w:tcW w:w="427" w:type="dxa"/>
            <w:shd w:val="clear" w:color="auto" w:fill="auto"/>
            <w:vAlign w:val="center"/>
          </w:tcPr>
          <w:p w14:paraId="030637E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27</w:t>
            </w:r>
          </w:p>
        </w:tc>
        <w:tc>
          <w:tcPr>
            <w:tcW w:w="427" w:type="dxa"/>
            <w:shd w:val="clear" w:color="auto" w:fill="auto"/>
            <w:vAlign w:val="center"/>
          </w:tcPr>
          <w:p w14:paraId="59AC601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21</w:t>
            </w:r>
          </w:p>
        </w:tc>
        <w:tc>
          <w:tcPr>
            <w:tcW w:w="585" w:type="dxa"/>
            <w:shd w:val="clear" w:color="auto" w:fill="auto"/>
            <w:vAlign w:val="center"/>
          </w:tcPr>
          <w:p w14:paraId="4C6B1B9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53.2</w:t>
            </w:r>
          </w:p>
        </w:tc>
        <w:tc>
          <w:tcPr>
            <w:tcW w:w="427" w:type="dxa"/>
            <w:shd w:val="clear" w:color="auto" w:fill="auto"/>
            <w:vAlign w:val="center"/>
          </w:tcPr>
          <w:p w14:paraId="2A2D57F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56</w:t>
            </w:r>
          </w:p>
        </w:tc>
        <w:tc>
          <w:tcPr>
            <w:tcW w:w="427" w:type="dxa"/>
            <w:shd w:val="clear" w:color="auto" w:fill="auto"/>
            <w:vAlign w:val="center"/>
          </w:tcPr>
          <w:p w14:paraId="768D766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51</w:t>
            </w:r>
          </w:p>
        </w:tc>
        <w:tc>
          <w:tcPr>
            <w:tcW w:w="427" w:type="dxa"/>
            <w:shd w:val="clear" w:color="auto" w:fill="auto"/>
            <w:vAlign w:val="center"/>
          </w:tcPr>
          <w:p w14:paraId="066B936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54</w:t>
            </w:r>
          </w:p>
        </w:tc>
        <w:tc>
          <w:tcPr>
            <w:tcW w:w="427" w:type="dxa"/>
            <w:shd w:val="clear" w:color="auto" w:fill="auto"/>
            <w:vAlign w:val="center"/>
          </w:tcPr>
          <w:p w14:paraId="2B1E2C6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45</w:t>
            </w:r>
          </w:p>
        </w:tc>
        <w:tc>
          <w:tcPr>
            <w:tcW w:w="860" w:type="dxa"/>
            <w:shd w:val="clear" w:color="auto" w:fill="auto"/>
            <w:vAlign w:val="center"/>
          </w:tcPr>
          <w:p w14:paraId="74ED97D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昼间</w:t>
            </w:r>
          </w:p>
        </w:tc>
        <w:tc>
          <w:tcPr>
            <w:tcW w:w="1291" w:type="dxa"/>
            <w:shd w:val="clear" w:color="auto" w:fill="auto"/>
            <w:vAlign w:val="center"/>
          </w:tcPr>
          <w:p w14:paraId="56BE2ED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509562B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30</w:t>
            </w:r>
          </w:p>
        </w:tc>
        <w:tc>
          <w:tcPr>
            <w:tcW w:w="427" w:type="dxa"/>
            <w:shd w:val="clear" w:color="auto" w:fill="auto"/>
            <w:vAlign w:val="center"/>
          </w:tcPr>
          <w:p w14:paraId="416D4B3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25</w:t>
            </w:r>
          </w:p>
        </w:tc>
        <w:tc>
          <w:tcPr>
            <w:tcW w:w="427" w:type="dxa"/>
            <w:shd w:val="clear" w:color="auto" w:fill="auto"/>
            <w:vAlign w:val="center"/>
          </w:tcPr>
          <w:p w14:paraId="350736A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28</w:t>
            </w:r>
          </w:p>
        </w:tc>
        <w:tc>
          <w:tcPr>
            <w:tcW w:w="427" w:type="dxa"/>
            <w:shd w:val="clear" w:color="auto" w:fill="auto"/>
            <w:vAlign w:val="center"/>
          </w:tcPr>
          <w:p w14:paraId="1FBD3E6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19</w:t>
            </w:r>
          </w:p>
        </w:tc>
        <w:tc>
          <w:tcPr>
            <w:tcW w:w="1357" w:type="dxa"/>
            <w:shd w:val="clear" w:color="auto" w:fill="auto"/>
            <w:vAlign w:val="center"/>
          </w:tcPr>
          <w:p w14:paraId="7DAE2F0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761AA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1" w:type="dxa"/>
            <w:shd w:val="clear" w:color="auto" w:fill="auto"/>
            <w:vAlign w:val="center"/>
          </w:tcPr>
          <w:p w14:paraId="42240BF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二栋</w:t>
            </w:r>
          </w:p>
        </w:tc>
        <w:tc>
          <w:tcPr>
            <w:tcW w:w="0" w:type="auto"/>
            <w:shd w:val="clear" w:color="auto" w:fill="auto"/>
            <w:noWrap/>
            <w:vAlign w:val="center"/>
          </w:tcPr>
          <w:p w14:paraId="0DEFB3E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机边破碎21</w:t>
            </w:r>
          </w:p>
        </w:tc>
        <w:tc>
          <w:tcPr>
            <w:tcW w:w="0" w:type="auto"/>
            <w:shd w:val="clear" w:color="auto" w:fill="auto"/>
            <w:noWrap/>
            <w:vAlign w:val="center"/>
          </w:tcPr>
          <w:p w14:paraId="278346F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726" w:type="dxa"/>
            <w:vMerge w:val="continue"/>
            <w:shd w:val="clear" w:color="auto" w:fill="auto"/>
            <w:vAlign w:val="center"/>
          </w:tcPr>
          <w:p w14:paraId="416A9BBD">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56B8679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45</w:t>
            </w:r>
          </w:p>
        </w:tc>
        <w:tc>
          <w:tcPr>
            <w:tcW w:w="496" w:type="dxa"/>
            <w:shd w:val="clear" w:color="auto" w:fill="auto"/>
            <w:noWrap/>
            <w:vAlign w:val="center"/>
          </w:tcPr>
          <w:p w14:paraId="1F334F3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16</w:t>
            </w:r>
          </w:p>
        </w:tc>
        <w:tc>
          <w:tcPr>
            <w:tcW w:w="480" w:type="dxa"/>
            <w:shd w:val="clear" w:color="auto" w:fill="auto"/>
            <w:noWrap/>
            <w:vAlign w:val="center"/>
          </w:tcPr>
          <w:p w14:paraId="5D4F25A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433E0E9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15</w:t>
            </w:r>
          </w:p>
        </w:tc>
        <w:tc>
          <w:tcPr>
            <w:tcW w:w="427" w:type="dxa"/>
            <w:shd w:val="clear" w:color="auto" w:fill="auto"/>
            <w:vAlign w:val="center"/>
          </w:tcPr>
          <w:p w14:paraId="1430434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43</w:t>
            </w:r>
          </w:p>
        </w:tc>
        <w:tc>
          <w:tcPr>
            <w:tcW w:w="427" w:type="dxa"/>
            <w:shd w:val="clear" w:color="auto" w:fill="auto"/>
            <w:vAlign w:val="center"/>
          </w:tcPr>
          <w:p w14:paraId="69DDD23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21</w:t>
            </w:r>
          </w:p>
        </w:tc>
        <w:tc>
          <w:tcPr>
            <w:tcW w:w="585" w:type="dxa"/>
            <w:shd w:val="clear" w:color="auto" w:fill="auto"/>
            <w:vAlign w:val="center"/>
          </w:tcPr>
          <w:p w14:paraId="59D6160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37.2</w:t>
            </w:r>
          </w:p>
        </w:tc>
        <w:tc>
          <w:tcPr>
            <w:tcW w:w="427" w:type="dxa"/>
            <w:shd w:val="clear" w:color="auto" w:fill="auto"/>
            <w:vAlign w:val="center"/>
          </w:tcPr>
          <w:p w14:paraId="58EB6FF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56</w:t>
            </w:r>
          </w:p>
        </w:tc>
        <w:tc>
          <w:tcPr>
            <w:tcW w:w="427" w:type="dxa"/>
            <w:shd w:val="clear" w:color="auto" w:fill="auto"/>
            <w:vAlign w:val="center"/>
          </w:tcPr>
          <w:p w14:paraId="371D0FA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47</w:t>
            </w:r>
          </w:p>
        </w:tc>
        <w:tc>
          <w:tcPr>
            <w:tcW w:w="427" w:type="dxa"/>
            <w:shd w:val="clear" w:color="auto" w:fill="auto"/>
            <w:vAlign w:val="center"/>
          </w:tcPr>
          <w:p w14:paraId="5148995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54</w:t>
            </w:r>
          </w:p>
        </w:tc>
        <w:tc>
          <w:tcPr>
            <w:tcW w:w="427" w:type="dxa"/>
            <w:shd w:val="clear" w:color="auto" w:fill="auto"/>
            <w:vAlign w:val="center"/>
          </w:tcPr>
          <w:p w14:paraId="2183D77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49</w:t>
            </w:r>
          </w:p>
        </w:tc>
        <w:tc>
          <w:tcPr>
            <w:tcW w:w="860" w:type="dxa"/>
            <w:shd w:val="clear" w:color="auto" w:fill="auto"/>
            <w:vAlign w:val="center"/>
          </w:tcPr>
          <w:p w14:paraId="6EC088E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昼间</w:t>
            </w:r>
          </w:p>
        </w:tc>
        <w:tc>
          <w:tcPr>
            <w:tcW w:w="1291" w:type="dxa"/>
            <w:shd w:val="clear" w:color="auto" w:fill="auto"/>
            <w:vAlign w:val="center"/>
          </w:tcPr>
          <w:p w14:paraId="3B0E1B5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5C76973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30</w:t>
            </w:r>
          </w:p>
        </w:tc>
        <w:tc>
          <w:tcPr>
            <w:tcW w:w="427" w:type="dxa"/>
            <w:shd w:val="clear" w:color="auto" w:fill="auto"/>
            <w:vAlign w:val="center"/>
          </w:tcPr>
          <w:p w14:paraId="5D6E2C0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21</w:t>
            </w:r>
          </w:p>
        </w:tc>
        <w:tc>
          <w:tcPr>
            <w:tcW w:w="427" w:type="dxa"/>
            <w:shd w:val="clear" w:color="auto" w:fill="auto"/>
            <w:vAlign w:val="center"/>
          </w:tcPr>
          <w:p w14:paraId="6B55FDF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28</w:t>
            </w:r>
          </w:p>
        </w:tc>
        <w:tc>
          <w:tcPr>
            <w:tcW w:w="427" w:type="dxa"/>
            <w:shd w:val="clear" w:color="auto" w:fill="auto"/>
            <w:vAlign w:val="center"/>
          </w:tcPr>
          <w:p w14:paraId="5519C6E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23</w:t>
            </w:r>
          </w:p>
        </w:tc>
        <w:tc>
          <w:tcPr>
            <w:tcW w:w="1357" w:type="dxa"/>
            <w:shd w:val="clear" w:color="auto" w:fill="auto"/>
            <w:vAlign w:val="center"/>
          </w:tcPr>
          <w:p w14:paraId="1651967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3860F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1" w:type="dxa"/>
            <w:shd w:val="clear" w:color="auto" w:fill="auto"/>
            <w:vAlign w:val="center"/>
          </w:tcPr>
          <w:p w14:paraId="50F3801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二栋</w:t>
            </w:r>
          </w:p>
        </w:tc>
        <w:tc>
          <w:tcPr>
            <w:tcW w:w="0" w:type="auto"/>
            <w:shd w:val="clear" w:color="auto" w:fill="auto"/>
            <w:noWrap/>
            <w:vAlign w:val="center"/>
          </w:tcPr>
          <w:p w14:paraId="1052096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机边破碎22</w:t>
            </w:r>
          </w:p>
        </w:tc>
        <w:tc>
          <w:tcPr>
            <w:tcW w:w="0" w:type="auto"/>
            <w:shd w:val="clear" w:color="auto" w:fill="auto"/>
            <w:noWrap/>
            <w:vAlign w:val="center"/>
          </w:tcPr>
          <w:p w14:paraId="7101300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726" w:type="dxa"/>
            <w:vMerge w:val="continue"/>
            <w:shd w:val="clear" w:color="auto" w:fill="auto"/>
            <w:vAlign w:val="center"/>
          </w:tcPr>
          <w:p w14:paraId="2F2E2724">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7A7C850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45</w:t>
            </w:r>
          </w:p>
        </w:tc>
        <w:tc>
          <w:tcPr>
            <w:tcW w:w="496" w:type="dxa"/>
            <w:shd w:val="clear" w:color="auto" w:fill="auto"/>
            <w:noWrap/>
            <w:vAlign w:val="center"/>
          </w:tcPr>
          <w:p w14:paraId="02C0980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22</w:t>
            </w:r>
          </w:p>
        </w:tc>
        <w:tc>
          <w:tcPr>
            <w:tcW w:w="480" w:type="dxa"/>
            <w:shd w:val="clear" w:color="auto" w:fill="auto"/>
            <w:noWrap/>
            <w:vAlign w:val="center"/>
          </w:tcPr>
          <w:p w14:paraId="163A94A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32D67BB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15</w:t>
            </w:r>
          </w:p>
        </w:tc>
        <w:tc>
          <w:tcPr>
            <w:tcW w:w="427" w:type="dxa"/>
            <w:shd w:val="clear" w:color="auto" w:fill="auto"/>
            <w:vAlign w:val="center"/>
          </w:tcPr>
          <w:p w14:paraId="0A89568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49</w:t>
            </w:r>
          </w:p>
        </w:tc>
        <w:tc>
          <w:tcPr>
            <w:tcW w:w="427" w:type="dxa"/>
            <w:shd w:val="clear" w:color="auto" w:fill="auto"/>
            <w:vAlign w:val="center"/>
          </w:tcPr>
          <w:p w14:paraId="30972B7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21</w:t>
            </w:r>
          </w:p>
        </w:tc>
        <w:tc>
          <w:tcPr>
            <w:tcW w:w="585" w:type="dxa"/>
            <w:shd w:val="clear" w:color="auto" w:fill="auto"/>
            <w:vAlign w:val="center"/>
          </w:tcPr>
          <w:p w14:paraId="26C3C78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31.2</w:t>
            </w:r>
          </w:p>
        </w:tc>
        <w:tc>
          <w:tcPr>
            <w:tcW w:w="427" w:type="dxa"/>
            <w:shd w:val="clear" w:color="auto" w:fill="auto"/>
            <w:vAlign w:val="center"/>
          </w:tcPr>
          <w:p w14:paraId="546B6EA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56</w:t>
            </w:r>
          </w:p>
        </w:tc>
        <w:tc>
          <w:tcPr>
            <w:tcW w:w="427" w:type="dxa"/>
            <w:shd w:val="clear" w:color="auto" w:fill="auto"/>
            <w:vAlign w:val="center"/>
          </w:tcPr>
          <w:p w14:paraId="6653BE0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46</w:t>
            </w:r>
          </w:p>
        </w:tc>
        <w:tc>
          <w:tcPr>
            <w:tcW w:w="427" w:type="dxa"/>
            <w:shd w:val="clear" w:color="auto" w:fill="auto"/>
            <w:vAlign w:val="center"/>
          </w:tcPr>
          <w:p w14:paraId="660DB71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54</w:t>
            </w:r>
          </w:p>
        </w:tc>
        <w:tc>
          <w:tcPr>
            <w:tcW w:w="427" w:type="dxa"/>
            <w:shd w:val="clear" w:color="auto" w:fill="auto"/>
            <w:vAlign w:val="center"/>
          </w:tcPr>
          <w:p w14:paraId="0F8C458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50</w:t>
            </w:r>
          </w:p>
        </w:tc>
        <w:tc>
          <w:tcPr>
            <w:tcW w:w="860" w:type="dxa"/>
            <w:shd w:val="clear" w:color="auto" w:fill="auto"/>
            <w:vAlign w:val="center"/>
          </w:tcPr>
          <w:p w14:paraId="1B98ED5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昼间</w:t>
            </w:r>
          </w:p>
        </w:tc>
        <w:tc>
          <w:tcPr>
            <w:tcW w:w="1291" w:type="dxa"/>
            <w:shd w:val="clear" w:color="auto" w:fill="auto"/>
            <w:vAlign w:val="center"/>
          </w:tcPr>
          <w:p w14:paraId="448CDC7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0539244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30</w:t>
            </w:r>
          </w:p>
        </w:tc>
        <w:tc>
          <w:tcPr>
            <w:tcW w:w="427" w:type="dxa"/>
            <w:shd w:val="clear" w:color="auto" w:fill="auto"/>
            <w:vAlign w:val="center"/>
          </w:tcPr>
          <w:p w14:paraId="470E580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1B77005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28</w:t>
            </w:r>
          </w:p>
        </w:tc>
        <w:tc>
          <w:tcPr>
            <w:tcW w:w="427" w:type="dxa"/>
            <w:shd w:val="clear" w:color="auto" w:fill="auto"/>
            <w:vAlign w:val="center"/>
          </w:tcPr>
          <w:p w14:paraId="2A78045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24</w:t>
            </w:r>
          </w:p>
        </w:tc>
        <w:tc>
          <w:tcPr>
            <w:tcW w:w="1357" w:type="dxa"/>
            <w:shd w:val="clear" w:color="auto" w:fill="auto"/>
            <w:vAlign w:val="center"/>
          </w:tcPr>
          <w:p w14:paraId="06B6E32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04F27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681" w:type="dxa"/>
            <w:shd w:val="clear" w:color="auto" w:fill="auto"/>
            <w:vAlign w:val="center"/>
          </w:tcPr>
          <w:p w14:paraId="54AE4E1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二栋</w:t>
            </w:r>
          </w:p>
        </w:tc>
        <w:tc>
          <w:tcPr>
            <w:tcW w:w="0" w:type="auto"/>
            <w:shd w:val="clear" w:color="auto" w:fill="auto"/>
            <w:noWrap/>
            <w:vAlign w:val="center"/>
          </w:tcPr>
          <w:p w14:paraId="35D3E9B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机边破碎23</w:t>
            </w:r>
          </w:p>
        </w:tc>
        <w:tc>
          <w:tcPr>
            <w:tcW w:w="0" w:type="auto"/>
            <w:shd w:val="clear" w:color="auto" w:fill="auto"/>
            <w:noWrap/>
            <w:vAlign w:val="center"/>
          </w:tcPr>
          <w:p w14:paraId="2CCFACB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726" w:type="dxa"/>
            <w:vMerge w:val="continue"/>
            <w:shd w:val="clear" w:color="auto" w:fill="auto"/>
            <w:vAlign w:val="center"/>
          </w:tcPr>
          <w:p w14:paraId="478965A3">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69FAA7C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45</w:t>
            </w:r>
          </w:p>
        </w:tc>
        <w:tc>
          <w:tcPr>
            <w:tcW w:w="496" w:type="dxa"/>
            <w:shd w:val="clear" w:color="auto" w:fill="auto"/>
            <w:noWrap/>
            <w:vAlign w:val="center"/>
          </w:tcPr>
          <w:p w14:paraId="4CCA7A7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25</w:t>
            </w:r>
          </w:p>
        </w:tc>
        <w:tc>
          <w:tcPr>
            <w:tcW w:w="480" w:type="dxa"/>
            <w:shd w:val="clear" w:color="auto" w:fill="auto"/>
            <w:noWrap/>
            <w:vAlign w:val="center"/>
          </w:tcPr>
          <w:p w14:paraId="5871DE3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64D294D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15</w:t>
            </w:r>
          </w:p>
        </w:tc>
        <w:tc>
          <w:tcPr>
            <w:tcW w:w="427" w:type="dxa"/>
            <w:shd w:val="clear" w:color="auto" w:fill="auto"/>
            <w:vAlign w:val="center"/>
          </w:tcPr>
          <w:p w14:paraId="4DD78E1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52</w:t>
            </w:r>
          </w:p>
        </w:tc>
        <w:tc>
          <w:tcPr>
            <w:tcW w:w="427" w:type="dxa"/>
            <w:shd w:val="clear" w:color="auto" w:fill="auto"/>
            <w:vAlign w:val="center"/>
          </w:tcPr>
          <w:p w14:paraId="3B4BE2B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21</w:t>
            </w:r>
          </w:p>
        </w:tc>
        <w:tc>
          <w:tcPr>
            <w:tcW w:w="585" w:type="dxa"/>
            <w:shd w:val="clear" w:color="auto" w:fill="auto"/>
            <w:vAlign w:val="center"/>
          </w:tcPr>
          <w:p w14:paraId="16C01AD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28.2</w:t>
            </w:r>
          </w:p>
        </w:tc>
        <w:tc>
          <w:tcPr>
            <w:tcW w:w="427" w:type="dxa"/>
            <w:shd w:val="clear" w:color="auto" w:fill="auto"/>
            <w:vAlign w:val="center"/>
          </w:tcPr>
          <w:p w14:paraId="3E35E15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56</w:t>
            </w:r>
          </w:p>
        </w:tc>
        <w:tc>
          <w:tcPr>
            <w:tcW w:w="427" w:type="dxa"/>
            <w:shd w:val="clear" w:color="auto" w:fill="auto"/>
            <w:vAlign w:val="center"/>
          </w:tcPr>
          <w:p w14:paraId="109879E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46</w:t>
            </w:r>
          </w:p>
        </w:tc>
        <w:tc>
          <w:tcPr>
            <w:tcW w:w="427" w:type="dxa"/>
            <w:shd w:val="clear" w:color="auto" w:fill="auto"/>
            <w:vAlign w:val="center"/>
          </w:tcPr>
          <w:p w14:paraId="06F20B0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54</w:t>
            </w:r>
          </w:p>
        </w:tc>
        <w:tc>
          <w:tcPr>
            <w:tcW w:w="427" w:type="dxa"/>
            <w:shd w:val="clear" w:color="auto" w:fill="auto"/>
            <w:vAlign w:val="center"/>
          </w:tcPr>
          <w:p w14:paraId="1A01E6F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51</w:t>
            </w:r>
          </w:p>
        </w:tc>
        <w:tc>
          <w:tcPr>
            <w:tcW w:w="860" w:type="dxa"/>
            <w:shd w:val="clear" w:color="auto" w:fill="auto"/>
            <w:vAlign w:val="center"/>
          </w:tcPr>
          <w:p w14:paraId="7239800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昼间</w:t>
            </w:r>
          </w:p>
        </w:tc>
        <w:tc>
          <w:tcPr>
            <w:tcW w:w="1291" w:type="dxa"/>
            <w:shd w:val="clear" w:color="auto" w:fill="auto"/>
            <w:vAlign w:val="center"/>
          </w:tcPr>
          <w:p w14:paraId="14402AB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21CFB80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30</w:t>
            </w:r>
          </w:p>
        </w:tc>
        <w:tc>
          <w:tcPr>
            <w:tcW w:w="427" w:type="dxa"/>
            <w:shd w:val="clear" w:color="auto" w:fill="auto"/>
            <w:vAlign w:val="center"/>
          </w:tcPr>
          <w:p w14:paraId="5F91B99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19185D8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28</w:t>
            </w:r>
          </w:p>
        </w:tc>
        <w:tc>
          <w:tcPr>
            <w:tcW w:w="427" w:type="dxa"/>
            <w:shd w:val="clear" w:color="auto" w:fill="auto"/>
            <w:vAlign w:val="center"/>
          </w:tcPr>
          <w:p w14:paraId="5D8C7F5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25</w:t>
            </w:r>
          </w:p>
        </w:tc>
        <w:tc>
          <w:tcPr>
            <w:tcW w:w="1357" w:type="dxa"/>
            <w:shd w:val="clear" w:color="auto" w:fill="auto"/>
            <w:vAlign w:val="center"/>
          </w:tcPr>
          <w:p w14:paraId="3021657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494DC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681" w:type="dxa"/>
            <w:shd w:val="clear" w:color="auto" w:fill="auto"/>
            <w:vAlign w:val="center"/>
          </w:tcPr>
          <w:p w14:paraId="3540DE0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二栋</w:t>
            </w:r>
          </w:p>
        </w:tc>
        <w:tc>
          <w:tcPr>
            <w:tcW w:w="0" w:type="auto"/>
            <w:shd w:val="clear" w:color="auto" w:fill="auto"/>
            <w:noWrap/>
            <w:vAlign w:val="center"/>
          </w:tcPr>
          <w:p w14:paraId="1452545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机边破碎24</w:t>
            </w:r>
          </w:p>
        </w:tc>
        <w:tc>
          <w:tcPr>
            <w:tcW w:w="0" w:type="auto"/>
            <w:shd w:val="clear" w:color="auto" w:fill="auto"/>
            <w:noWrap/>
            <w:vAlign w:val="center"/>
          </w:tcPr>
          <w:p w14:paraId="193F92A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726" w:type="dxa"/>
            <w:vMerge w:val="continue"/>
            <w:shd w:val="clear" w:color="auto" w:fill="auto"/>
            <w:vAlign w:val="center"/>
          </w:tcPr>
          <w:p w14:paraId="6CF4C29D">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093C6DD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45</w:t>
            </w:r>
          </w:p>
        </w:tc>
        <w:tc>
          <w:tcPr>
            <w:tcW w:w="496" w:type="dxa"/>
            <w:shd w:val="clear" w:color="auto" w:fill="auto"/>
            <w:noWrap/>
            <w:vAlign w:val="center"/>
          </w:tcPr>
          <w:p w14:paraId="7ACD75F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28</w:t>
            </w:r>
          </w:p>
        </w:tc>
        <w:tc>
          <w:tcPr>
            <w:tcW w:w="480" w:type="dxa"/>
            <w:shd w:val="clear" w:color="auto" w:fill="auto"/>
            <w:noWrap/>
            <w:vAlign w:val="center"/>
          </w:tcPr>
          <w:p w14:paraId="11D7912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2455633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15</w:t>
            </w:r>
          </w:p>
        </w:tc>
        <w:tc>
          <w:tcPr>
            <w:tcW w:w="427" w:type="dxa"/>
            <w:shd w:val="clear" w:color="auto" w:fill="auto"/>
            <w:vAlign w:val="center"/>
          </w:tcPr>
          <w:p w14:paraId="4B8DCBD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55</w:t>
            </w:r>
          </w:p>
        </w:tc>
        <w:tc>
          <w:tcPr>
            <w:tcW w:w="427" w:type="dxa"/>
            <w:shd w:val="clear" w:color="auto" w:fill="auto"/>
            <w:vAlign w:val="center"/>
          </w:tcPr>
          <w:p w14:paraId="6878D74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21</w:t>
            </w:r>
          </w:p>
        </w:tc>
        <w:tc>
          <w:tcPr>
            <w:tcW w:w="585" w:type="dxa"/>
            <w:shd w:val="clear" w:color="auto" w:fill="auto"/>
            <w:vAlign w:val="center"/>
          </w:tcPr>
          <w:p w14:paraId="02161D4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25.2</w:t>
            </w:r>
          </w:p>
        </w:tc>
        <w:tc>
          <w:tcPr>
            <w:tcW w:w="427" w:type="dxa"/>
            <w:shd w:val="clear" w:color="auto" w:fill="auto"/>
            <w:vAlign w:val="center"/>
          </w:tcPr>
          <w:p w14:paraId="36D05EA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56</w:t>
            </w:r>
          </w:p>
        </w:tc>
        <w:tc>
          <w:tcPr>
            <w:tcW w:w="427" w:type="dxa"/>
            <w:shd w:val="clear" w:color="auto" w:fill="auto"/>
            <w:vAlign w:val="center"/>
          </w:tcPr>
          <w:p w14:paraId="30DC625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45</w:t>
            </w:r>
          </w:p>
        </w:tc>
        <w:tc>
          <w:tcPr>
            <w:tcW w:w="427" w:type="dxa"/>
            <w:shd w:val="clear" w:color="auto" w:fill="auto"/>
            <w:vAlign w:val="center"/>
          </w:tcPr>
          <w:p w14:paraId="1766A09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54</w:t>
            </w:r>
          </w:p>
        </w:tc>
        <w:tc>
          <w:tcPr>
            <w:tcW w:w="427" w:type="dxa"/>
            <w:shd w:val="clear" w:color="auto" w:fill="auto"/>
            <w:vAlign w:val="center"/>
          </w:tcPr>
          <w:p w14:paraId="034387E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52</w:t>
            </w:r>
          </w:p>
        </w:tc>
        <w:tc>
          <w:tcPr>
            <w:tcW w:w="860" w:type="dxa"/>
            <w:shd w:val="clear" w:color="auto" w:fill="auto"/>
            <w:vAlign w:val="center"/>
          </w:tcPr>
          <w:p w14:paraId="42CFE4D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昼间</w:t>
            </w:r>
          </w:p>
        </w:tc>
        <w:tc>
          <w:tcPr>
            <w:tcW w:w="1291" w:type="dxa"/>
            <w:shd w:val="clear" w:color="auto" w:fill="auto"/>
            <w:vAlign w:val="center"/>
          </w:tcPr>
          <w:p w14:paraId="241CFD7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38D9CD0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30</w:t>
            </w:r>
          </w:p>
        </w:tc>
        <w:tc>
          <w:tcPr>
            <w:tcW w:w="427" w:type="dxa"/>
            <w:shd w:val="clear" w:color="auto" w:fill="auto"/>
            <w:vAlign w:val="center"/>
          </w:tcPr>
          <w:p w14:paraId="798805A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19</w:t>
            </w:r>
          </w:p>
        </w:tc>
        <w:tc>
          <w:tcPr>
            <w:tcW w:w="427" w:type="dxa"/>
            <w:shd w:val="clear" w:color="auto" w:fill="auto"/>
            <w:vAlign w:val="center"/>
          </w:tcPr>
          <w:p w14:paraId="44B85B9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28</w:t>
            </w:r>
          </w:p>
        </w:tc>
        <w:tc>
          <w:tcPr>
            <w:tcW w:w="427" w:type="dxa"/>
            <w:shd w:val="clear" w:color="auto" w:fill="auto"/>
            <w:vAlign w:val="center"/>
          </w:tcPr>
          <w:p w14:paraId="04D6CB5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26</w:t>
            </w:r>
          </w:p>
        </w:tc>
        <w:tc>
          <w:tcPr>
            <w:tcW w:w="1357" w:type="dxa"/>
            <w:shd w:val="clear" w:color="auto" w:fill="auto"/>
            <w:vAlign w:val="center"/>
          </w:tcPr>
          <w:p w14:paraId="128CF42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22281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681" w:type="dxa"/>
            <w:shd w:val="clear" w:color="auto" w:fill="auto"/>
            <w:vAlign w:val="center"/>
          </w:tcPr>
          <w:p w14:paraId="5DAF835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二栋</w:t>
            </w:r>
          </w:p>
        </w:tc>
        <w:tc>
          <w:tcPr>
            <w:tcW w:w="0" w:type="auto"/>
            <w:shd w:val="clear" w:color="auto" w:fill="auto"/>
            <w:noWrap/>
            <w:vAlign w:val="center"/>
          </w:tcPr>
          <w:p w14:paraId="140DD9C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机边破碎25</w:t>
            </w:r>
          </w:p>
        </w:tc>
        <w:tc>
          <w:tcPr>
            <w:tcW w:w="0" w:type="auto"/>
            <w:shd w:val="clear" w:color="auto" w:fill="auto"/>
            <w:noWrap/>
            <w:vAlign w:val="center"/>
          </w:tcPr>
          <w:p w14:paraId="3696C17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726" w:type="dxa"/>
            <w:vMerge w:val="continue"/>
            <w:shd w:val="clear" w:color="auto" w:fill="auto"/>
            <w:vAlign w:val="center"/>
          </w:tcPr>
          <w:p w14:paraId="6EB8F203">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292776B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45</w:t>
            </w:r>
          </w:p>
        </w:tc>
        <w:tc>
          <w:tcPr>
            <w:tcW w:w="496" w:type="dxa"/>
            <w:shd w:val="clear" w:color="auto" w:fill="auto"/>
            <w:noWrap/>
            <w:vAlign w:val="center"/>
          </w:tcPr>
          <w:p w14:paraId="0ACAABD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30</w:t>
            </w:r>
          </w:p>
        </w:tc>
        <w:tc>
          <w:tcPr>
            <w:tcW w:w="480" w:type="dxa"/>
            <w:shd w:val="clear" w:color="auto" w:fill="auto"/>
            <w:noWrap/>
            <w:vAlign w:val="center"/>
          </w:tcPr>
          <w:p w14:paraId="1A57474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2667553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15</w:t>
            </w:r>
          </w:p>
        </w:tc>
        <w:tc>
          <w:tcPr>
            <w:tcW w:w="427" w:type="dxa"/>
            <w:shd w:val="clear" w:color="auto" w:fill="auto"/>
            <w:vAlign w:val="center"/>
          </w:tcPr>
          <w:p w14:paraId="3B270DD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57</w:t>
            </w:r>
          </w:p>
        </w:tc>
        <w:tc>
          <w:tcPr>
            <w:tcW w:w="427" w:type="dxa"/>
            <w:shd w:val="clear" w:color="auto" w:fill="auto"/>
            <w:vAlign w:val="center"/>
          </w:tcPr>
          <w:p w14:paraId="25B2183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21</w:t>
            </w:r>
          </w:p>
        </w:tc>
        <w:tc>
          <w:tcPr>
            <w:tcW w:w="585" w:type="dxa"/>
            <w:shd w:val="clear" w:color="auto" w:fill="auto"/>
            <w:vAlign w:val="center"/>
          </w:tcPr>
          <w:p w14:paraId="7CFB892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23.2</w:t>
            </w:r>
          </w:p>
        </w:tc>
        <w:tc>
          <w:tcPr>
            <w:tcW w:w="427" w:type="dxa"/>
            <w:shd w:val="clear" w:color="auto" w:fill="auto"/>
            <w:vAlign w:val="center"/>
          </w:tcPr>
          <w:p w14:paraId="323617E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56</w:t>
            </w:r>
          </w:p>
        </w:tc>
        <w:tc>
          <w:tcPr>
            <w:tcW w:w="427" w:type="dxa"/>
            <w:shd w:val="clear" w:color="auto" w:fill="auto"/>
            <w:vAlign w:val="center"/>
          </w:tcPr>
          <w:p w14:paraId="6AE95DA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45</w:t>
            </w:r>
          </w:p>
        </w:tc>
        <w:tc>
          <w:tcPr>
            <w:tcW w:w="427" w:type="dxa"/>
            <w:shd w:val="clear" w:color="auto" w:fill="auto"/>
            <w:vAlign w:val="center"/>
          </w:tcPr>
          <w:p w14:paraId="5F769BA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54</w:t>
            </w:r>
          </w:p>
        </w:tc>
        <w:tc>
          <w:tcPr>
            <w:tcW w:w="427" w:type="dxa"/>
            <w:shd w:val="clear" w:color="auto" w:fill="auto"/>
            <w:vAlign w:val="center"/>
          </w:tcPr>
          <w:p w14:paraId="75CBB5D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53</w:t>
            </w:r>
          </w:p>
        </w:tc>
        <w:tc>
          <w:tcPr>
            <w:tcW w:w="860" w:type="dxa"/>
            <w:shd w:val="clear" w:color="auto" w:fill="auto"/>
            <w:vAlign w:val="center"/>
          </w:tcPr>
          <w:p w14:paraId="35E5FB8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昼间</w:t>
            </w:r>
          </w:p>
        </w:tc>
        <w:tc>
          <w:tcPr>
            <w:tcW w:w="1291" w:type="dxa"/>
            <w:shd w:val="clear" w:color="auto" w:fill="auto"/>
            <w:vAlign w:val="center"/>
          </w:tcPr>
          <w:p w14:paraId="2339D82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32B7926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30</w:t>
            </w:r>
          </w:p>
        </w:tc>
        <w:tc>
          <w:tcPr>
            <w:tcW w:w="427" w:type="dxa"/>
            <w:shd w:val="clear" w:color="auto" w:fill="auto"/>
            <w:vAlign w:val="center"/>
          </w:tcPr>
          <w:p w14:paraId="7EED0E6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19</w:t>
            </w:r>
          </w:p>
        </w:tc>
        <w:tc>
          <w:tcPr>
            <w:tcW w:w="427" w:type="dxa"/>
            <w:shd w:val="clear" w:color="auto" w:fill="auto"/>
            <w:vAlign w:val="center"/>
          </w:tcPr>
          <w:p w14:paraId="0860C3C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28</w:t>
            </w:r>
          </w:p>
        </w:tc>
        <w:tc>
          <w:tcPr>
            <w:tcW w:w="427" w:type="dxa"/>
            <w:shd w:val="clear" w:color="auto" w:fill="auto"/>
            <w:vAlign w:val="center"/>
          </w:tcPr>
          <w:p w14:paraId="4D47178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27</w:t>
            </w:r>
          </w:p>
        </w:tc>
        <w:tc>
          <w:tcPr>
            <w:tcW w:w="1357" w:type="dxa"/>
            <w:shd w:val="clear" w:color="auto" w:fill="auto"/>
            <w:vAlign w:val="center"/>
          </w:tcPr>
          <w:p w14:paraId="47B0585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4B220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1" w:type="dxa"/>
            <w:shd w:val="clear" w:color="auto" w:fill="auto"/>
            <w:vAlign w:val="center"/>
          </w:tcPr>
          <w:p w14:paraId="2FE5453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二栋</w:t>
            </w:r>
          </w:p>
        </w:tc>
        <w:tc>
          <w:tcPr>
            <w:tcW w:w="0" w:type="auto"/>
            <w:shd w:val="clear" w:color="auto" w:fill="auto"/>
            <w:noWrap/>
            <w:vAlign w:val="center"/>
          </w:tcPr>
          <w:p w14:paraId="6B5CFF7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机边破碎26</w:t>
            </w:r>
          </w:p>
        </w:tc>
        <w:tc>
          <w:tcPr>
            <w:tcW w:w="0" w:type="auto"/>
            <w:shd w:val="clear" w:color="auto" w:fill="auto"/>
            <w:noWrap/>
            <w:vAlign w:val="center"/>
          </w:tcPr>
          <w:p w14:paraId="1E8B41D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726" w:type="dxa"/>
            <w:vMerge w:val="continue"/>
            <w:shd w:val="clear" w:color="auto" w:fill="auto"/>
            <w:vAlign w:val="center"/>
          </w:tcPr>
          <w:p w14:paraId="6CD22452">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3FF099D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45</w:t>
            </w:r>
          </w:p>
        </w:tc>
        <w:tc>
          <w:tcPr>
            <w:tcW w:w="496" w:type="dxa"/>
            <w:shd w:val="clear" w:color="auto" w:fill="auto"/>
            <w:noWrap/>
            <w:vAlign w:val="center"/>
          </w:tcPr>
          <w:p w14:paraId="0180A44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33</w:t>
            </w:r>
          </w:p>
        </w:tc>
        <w:tc>
          <w:tcPr>
            <w:tcW w:w="480" w:type="dxa"/>
            <w:shd w:val="clear" w:color="auto" w:fill="auto"/>
            <w:noWrap/>
            <w:vAlign w:val="center"/>
          </w:tcPr>
          <w:p w14:paraId="76E3DB8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49C9565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15</w:t>
            </w:r>
          </w:p>
        </w:tc>
        <w:tc>
          <w:tcPr>
            <w:tcW w:w="427" w:type="dxa"/>
            <w:shd w:val="clear" w:color="auto" w:fill="auto"/>
            <w:vAlign w:val="center"/>
          </w:tcPr>
          <w:p w14:paraId="36D9847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60</w:t>
            </w:r>
          </w:p>
        </w:tc>
        <w:tc>
          <w:tcPr>
            <w:tcW w:w="427" w:type="dxa"/>
            <w:shd w:val="clear" w:color="auto" w:fill="auto"/>
            <w:vAlign w:val="center"/>
          </w:tcPr>
          <w:p w14:paraId="3BA38D2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21</w:t>
            </w:r>
          </w:p>
        </w:tc>
        <w:tc>
          <w:tcPr>
            <w:tcW w:w="585" w:type="dxa"/>
            <w:shd w:val="clear" w:color="auto" w:fill="auto"/>
            <w:vAlign w:val="center"/>
          </w:tcPr>
          <w:p w14:paraId="325158A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20.2</w:t>
            </w:r>
          </w:p>
        </w:tc>
        <w:tc>
          <w:tcPr>
            <w:tcW w:w="427" w:type="dxa"/>
            <w:shd w:val="clear" w:color="auto" w:fill="auto"/>
            <w:vAlign w:val="center"/>
          </w:tcPr>
          <w:p w14:paraId="3AD4F63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56</w:t>
            </w:r>
          </w:p>
        </w:tc>
        <w:tc>
          <w:tcPr>
            <w:tcW w:w="427" w:type="dxa"/>
            <w:shd w:val="clear" w:color="auto" w:fill="auto"/>
            <w:vAlign w:val="center"/>
          </w:tcPr>
          <w:p w14:paraId="043599E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44</w:t>
            </w:r>
          </w:p>
        </w:tc>
        <w:tc>
          <w:tcPr>
            <w:tcW w:w="427" w:type="dxa"/>
            <w:shd w:val="clear" w:color="auto" w:fill="auto"/>
            <w:vAlign w:val="center"/>
          </w:tcPr>
          <w:p w14:paraId="627F09F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54</w:t>
            </w:r>
          </w:p>
        </w:tc>
        <w:tc>
          <w:tcPr>
            <w:tcW w:w="427" w:type="dxa"/>
            <w:shd w:val="clear" w:color="auto" w:fill="auto"/>
            <w:vAlign w:val="center"/>
          </w:tcPr>
          <w:p w14:paraId="5D18785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54</w:t>
            </w:r>
          </w:p>
        </w:tc>
        <w:tc>
          <w:tcPr>
            <w:tcW w:w="860" w:type="dxa"/>
            <w:shd w:val="clear" w:color="auto" w:fill="auto"/>
            <w:vAlign w:val="center"/>
          </w:tcPr>
          <w:p w14:paraId="507904C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昼间</w:t>
            </w:r>
          </w:p>
        </w:tc>
        <w:tc>
          <w:tcPr>
            <w:tcW w:w="1291" w:type="dxa"/>
            <w:shd w:val="clear" w:color="auto" w:fill="auto"/>
            <w:vAlign w:val="center"/>
          </w:tcPr>
          <w:p w14:paraId="420FD56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1ED7182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30</w:t>
            </w:r>
          </w:p>
        </w:tc>
        <w:tc>
          <w:tcPr>
            <w:tcW w:w="427" w:type="dxa"/>
            <w:shd w:val="clear" w:color="auto" w:fill="auto"/>
            <w:vAlign w:val="center"/>
          </w:tcPr>
          <w:p w14:paraId="5E5A739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18</w:t>
            </w:r>
          </w:p>
        </w:tc>
        <w:tc>
          <w:tcPr>
            <w:tcW w:w="427" w:type="dxa"/>
            <w:shd w:val="clear" w:color="auto" w:fill="auto"/>
            <w:vAlign w:val="center"/>
          </w:tcPr>
          <w:p w14:paraId="4219839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28</w:t>
            </w:r>
          </w:p>
        </w:tc>
        <w:tc>
          <w:tcPr>
            <w:tcW w:w="427" w:type="dxa"/>
            <w:shd w:val="clear" w:color="auto" w:fill="auto"/>
            <w:vAlign w:val="center"/>
          </w:tcPr>
          <w:p w14:paraId="16FDBF1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28</w:t>
            </w:r>
          </w:p>
        </w:tc>
        <w:tc>
          <w:tcPr>
            <w:tcW w:w="1357" w:type="dxa"/>
            <w:shd w:val="clear" w:color="auto" w:fill="auto"/>
            <w:vAlign w:val="center"/>
          </w:tcPr>
          <w:p w14:paraId="71C8250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3D839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681" w:type="dxa"/>
            <w:shd w:val="clear" w:color="auto" w:fill="auto"/>
            <w:vAlign w:val="center"/>
          </w:tcPr>
          <w:p w14:paraId="22854E0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二栋</w:t>
            </w:r>
          </w:p>
        </w:tc>
        <w:tc>
          <w:tcPr>
            <w:tcW w:w="0" w:type="auto"/>
            <w:shd w:val="clear" w:color="auto" w:fill="auto"/>
            <w:noWrap/>
            <w:vAlign w:val="center"/>
          </w:tcPr>
          <w:p w14:paraId="7BE500E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机边破碎27</w:t>
            </w:r>
          </w:p>
        </w:tc>
        <w:tc>
          <w:tcPr>
            <w:tcW w:w="0" w:type="auto"/>
            <w:shd w:val="clear" w:color="auto" w:fill="auto"/>
            <w:noWrap/>
            <w:vAlign w:val="center"/>
          </w:tcPr>
          <w:p w14:paraId="42447E7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726" w:type="dxa"/>
            <w:vMerge w:val="continue"/>
            <w:shd w:val="clear" w:color="auto" w:fill="auto"/>
            <w:vAlign w:val="center"/>
          </w:tcPr>
          <w:p w14:paraId="68762231">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635B72C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45</w:t>
            </w:r>
          </w:p>
        </w:tc>
        <w:tc>
          <w:tcPr>
            <w:tcW w:w="496" w:type="dxa"/>
            <w:shd w:val="clear" w:color="auto" w:fill="auto"/>
            <w:noWrap/>
            <w:vAlign w:val="center"/>
          </w:tcPr>
          <w:p w14:paraId="1FBF563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35</w:t>
            </w:r>
          </w:p>
        </w:tc>
        <w:tc>
          <w:tcPr>
            <w:tcW w:w="480" w:type="dxa"/>
            <w:shd w:val="clear" w:color="auto" w:fill="auto"/>
            <w:noWrap/>
            <w:vAlign w:val="center"/>
          </w:tcPr>
          <w:p w14:paraId="13C5F33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106DEAC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15</w:t>
            </w:r>
          </w:p>
        </w:tc>
        <w:tc>
          <w:tcPr>
            <w:tcW w:w="427" w:type="dxa"/>
            <w:shd w:val="clear" w:color="auto" w:fill="auto"/>
            <w:vAlign w:val="center"/>
          </w:tcPr>
          <w:p w14:paraId="17D90DB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62</w:t>
            </w:r>
          </w:p>
        </w:tc>
        <w:tc>
          <w:tcPr>
            <w:tcW w:w="427" w:type="dxa"/>
            <w:shd w:val="clear" w:color="auto" w:fill="auto"/>
            <w:vAlign w:val="center"/>
          </w:tcPr>
          <w:p w14:paraId="6D787AF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21</w:t>
            </w:r>
          </w:p>
        </w:tc>
        <w:tc>
          <w:tcPr>
            <w:tcW w:w="585" w:type="dxa"/>
            <w:shd w:val="clear" w:color="auto" w:fill="auto"/>
            <w:vAlign w:val="center"/>
          </w:tcPr>
          <w:p w14:paraId="4FA5B43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18.2</w:t>
            </w:r>
          </w:p>
        </w:tc>
        <w:tc>
          <w:tcPr>
            <w:tcW w:w="427" w:type="dxa"/>
            <w:shd w:val="clear" w:color="auto" w:fill="auto"/>
            <w:vAlign w:val="center"/>
          </w:tcPr>
          <w:p w14:paraId="090290B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56</w:t>
            </w:r>
          </w:p>
        </w:tc>
        <w:tc>
          <w:tcPr>
            <w:tcW w:w="427" w:type="dxa"/>
            <w:shd w:val="clear" w:color="auto" w:fill="auto"/>
            <w:vAlign w:val="center"/>
          </w:tcPr>
          <w:p w14:paraId="5B74659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44</w:t>
            </w:r>
          </w:p>
        </w:tc>
        <w:tc>
          <w:tcPr>
            <w:tcW w:w="427" w:type="dxa"/>
            <w:shd w:val="clear" w:color="auto" w:fill="auto"/>
            <w:vAlign w:val="center"/>
          </w:tcPr>
          <w:p w14:paraId="66BE1F7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54</w:t>
            </w:r>
          </w:p>
        </w:tc>
        <w:tc>
          <w:tcPr>
            <w:tcW w:w="427" w:type="dxa"/>
            <w:shd w:val="clear" w:color="auto" w:fill="auto"/>
            <w:vAlign w:val="center"/>
          </w:tcPr>
          <w:p w14:paraId="2235205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55</w:t>
            </w:r>
          </w:p>
        </w:tc>
        <w:tc>
          <w:tcPr>
            <w:tcW w:w="860" w:type="dxa"/>
            <w:shd w:val="clear" w:color="auto" w:fill="auto"/>
            <w:vAlign w:val="center"/>
          </w:tcPr>
          <w:p w14:paraId="0B11621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昼间</w:t>
            </w:r>
          </w:p>
        </w:tc>
        <w:tc>
          <w:tcPr>
            <w:tcW w:w="1291" w:type="dxa"/>
            <w:shd w:val="clear" w:color="auto" w:fill="auto"/>
            <w:vAlign w:val="center"/>
          </w:tcPr>
          <w:p w14:paraId="57AF58C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5CC73D9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30</w:t>
            </w:r>
          </w:p>
        </w:tc>
        <w:tc>
          <w:tcPr>
            <w:tcW w:w="427" w:type="dxa"/>
            <w:shd w:val="clear" w:color="auto" w:fill="auto"/>
            <w:vAlign w:val="center"/>
          </w:tcPr>
          <w:p w14:paraId="0FA2262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18</w:t>
            </w:r>
          </w:p>
        </w:tc>
        <w:tc>
          <w:tcPr>
            <w:tcW w:w="427" w:type="dxa"/>
            <w:shd w:val="clear" w:color="auto" w:fill="auto"/>
            <w:vAlign w:val="center"/>
          </w:tcPr>
          <w:p w14:paraId="3FF18EF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28</w:t>
            </w:r>
          </w:p>
        </w:tc>
        <w:tc>
          <w:tcPr>
            <w:tcW w:w="427" w:type="dxa"/>
            <w:shd w:val="clear" w:color="auto" w:fill="auto"/>
            <w:vAlign w:val="center"/>
          </w:tcPr>
          <w:p w14:paraId="4F0CF59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29</w:t>
            </w:r>
          </w:p>
        </w:tc>
        <w:tc>
          <w:tcPr>
            <w:tcW w:w="1357" w:type="dxa"/>
            <w:shd w:val="clear" w:color="auto" w:fill="auto"/>
            <w:vAlign w:val="center"/>
          </w:tcPr>
          <w:p w14:paraId="4C250DB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6B0B8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1" w:type="dxa"/>
            <w:shd w:val="clear" w:color="auto" w:fill="auto"/>
            <w:vAlign w:val="center"/>
          </w:tcPr>
          <w:p w14:paraId="4FF7923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二栋</w:t>
            </w:r>
          </w:p>
        </w:tc>
        <w:tc>
          <w:tcPr>
            <w:tcW w:w="0" w:type="auto"/>
            <w:shd w:val="clear" w:color="auto" w:fill="auto"/>
            <w:noWrap/>
            <w:vAlign w:val="center"/>
          </w:tcPr>
          <w:p w14:paraId="7877685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机边破碎28</w:t>
            </w:r>
          </w:p>
        </w:tc>
        <w:tc>
          <w:tcPr>
            <w:tcW w:w="0" w:type="auto"/>
            <w:shd w:val="clear" w:color="auto" w:fill="auto"/>
            <w:noWrap/>
            <w:vAlign w:val="center"/>
          </w:tcPr>
          <w:p w14:paraId="21043B1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726" w:type="dxa"/>
            <w:vMerge w:val="continue"/>
            <w:shd w:val="clear" w:color="auto" w:fill="auto"/>
            <w:vAlign w:val="center"/>
          </w:tcPr>
          <w:p w14:paraId="1E0B5A2D">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3ADC524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45</w:t>
            </w:r>
          </w:p>
        </w:tc>
        <w:tc>
          <w:tcPr>
            <w:tcW w:w="496" w:type="dxa"/>
            <w:shd w:val="clear" w:color="auto" w:fill="auto"/>
            <w:noWrap/>
            <w:vAlign w:val="center"/>
          </w:tcPr>
          <w:p w14:paraId="6E615FC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38</w:t>
            </w:r>
          </w:p>
        </w:tc>
        <w:tc>
          <w:tcPr>
            <w:tcW w:w="480" w:type="dxa"/>
            <w:shd w:val="clear" w:color="auto" w:fill="auto"/>
            <w:noWrap/>
            <w:vAlign w:val="center"/>
          </w:tcPr>
          <w:p w14:paraId="49DDFC1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05B7DE4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15</w:t>
            </w:r>
          </w:p>
        </w:tc>
        <w:tc>
          <w:tcPr>
            <w:tcW w:w="427" w:type="dxa"/>
            <w:shd w:val="clear" w:color="auto" w:fill="auto"/>
            <w:vAlign w:val="center"/>
          </w:tcPr>
          <w:p w14:paraId="0A06D59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65</w:t>
            </w:r>
          </w:p>
        </w:tc>
        <w:tc>
          <w:tcPr>
            <w:tcW w:w="427" w:type="dxa"/>
            <w:shd w:val="clear" w:color="auto" w:fill="auto"/>
            <w:vAlign w:val="center"/>
          </w:tcPr>
          <w:p w14:paraId="757D990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21</w:t>
            </w:r>
          </w:p>
        </w:tc>
        <w:tc>
          <w:tcPr>
            <w:tcW w:w="585" w:type="dxa"/>
            <w:shd w:val="clear" w:color="auto" w:fill="auto"/>
            <w:vAlign w:val="center"/>
          </w:tcPr>
          <w:p w14:paraId="6B6E12B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15.2</w:t>
            </w:r>
          </w:p>
        </w:tc>
        <w:tc>
          <w:tcPr>
            <w:tcW w:w="427" w:type="dxa"/>
            <w:shd w:val="clear" w:color="auto" w:fill="auto"/>
            <w:vAlign w:val="center"/>
          </w:tcPr>
          <w:p w14:paraId="6373482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56</w:t>
            </w:r>
          </w:p>
        </w:tc>
        <w:tc>
          <w:tcPr>
            <w:tcW w:w="427" w:type="dxa"/>
            <w:shd w:val="clear" w:color="auto" w:fill="auto"/>
            <w:vAlign w:val="center"/>
          </w:tcPr>
          <w:p w14:paraId="3C8A04B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44</w:t>
            </w:r>
          </w:p>
        </w:tc>
        <w:tc>
          <w:tcPr>
            <w:tcW w:w="427" w:type="dxa"/>
            <w:shd w:val="clear" w:color="auto" w:fill="auto"/>
            <w:vAlign w:val="center"/>
          </w:tcPr>
          <w:p w14:paraId="1861806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54</w:t>
            </w:r>
          </w:p>
        </w:tc>
        <w:tc>
          <w:tcPr>
            <w:tcW w:w="427" w:type="dxa"/>
            <w:shd w:val="clear" w:color="auto" w:fill="auto"/>
            <w:vAlign w:val="center"/>
          </w:tcPr>
          <w:p w14:paraId="217BC69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56</w:t>
            </w:r>
          </w:p>
        </w:tc>
        <w:tc>
          <w:tcPr>
            <w:tcW w:w="860" w:type="dxa"/>
            <w:shd w:val="clear" w:color="auto" w:fill="auto"/>
            <w:vAlign w:val="center"/>
          </w:tcPr>
          <w:p w14:paraId="2619EA8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昼间</w:t>
            </w:r>
          </w:p>
        </w:tc>
        <w:tc>
          <w:tcPr>
            <w:tcW w:w="1291" w:type="dxa"/>
            <w:shd w:val="clear" w:color="auto" w:fill="auto"/>
            <w:vAlign w:val="center"/>
          </w:tcPr>
          <w:p w14:paraId="524DD06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5B23D1F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30</w:t>
            </w:r>
          </w:p>
        </w:tc>
        <w:tc>
          <w:tcPr>
            <w:tcW w:w="427" w:type="dxa"/>
            <w:shd w:val="clear" w:color="auto" w:fill="auto"/>
            <w:vAlign w:val="center"/>
          </w:tcPr>
          <w:p w14:paraId="3E3D84E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18</w:t>
            </w:r>
          </w:p>
        </w:tc>
        <w:tc>
          <w:tcPr>
            <w:tcW w:w="427" w:type="dxa"/>
            <w:shd w:val="clear" w:color="auto" w:fill="auto"/>
            <w:vAlign w:val="center"/>
          </w:tcPr>
          <w:p w14:paraId="525BBAF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28</w:t>
            </w:r>
          </w:p>
        </w:tc>
        <w:tc>
          <w:tcPr>
            <w:tcW w:w="427" w:type="dxa"/>
            <w:shd w:val="clear" w:color="auto" w:fill="auto"/>
            <w:vAlign w:val="center"/>
          </w:tcPr>
          <w:p w14:paraId="67D8F62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30</w:t>
            </w:r>
          </w:p>
        </w:tc>
        <w:tc>
          <w:tcPr>
            <w:tcW w:w="1357" w:type="dxa"/>
            <w:shd w:val="clear" w:color="auto" w:fill="auto"/>
            <w:vAlign w:val="center"/>
          </w:tcPr>
          <w:p w14:paraId="0A9641A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508AB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1" w:type="dxa"/>
            <w:shd w:val="clear" w:color="auto" w:fill="auto"/>
            <w:vAlign w:val="center"/>
          </w:tcPr>
          <w:p w14:paraId="21EF59D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二栋</w:t>
            </w:r>
          </w:p>
        </w:tc>
        <w:tc>
          <w:tcPr>
            <w:tcW w:w="0" w:type="auto"/>
            <w:shd w:val="clear" w:color="auto" w:fill="auto"/>
            <w:noWrap/>
            <w:vAlign w:val="center"/>
          </w:tcPr>
          <w:p w14:paraId="5BEC5C7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机边破碎29</w:t>
            </w:r>
          </w:p>
        </w:tc>
        <w:tc>
          <w:tcPr>
            <w:tcW w:w="0" w:type="auto"/>
            <w:shd w:val="clear" w:color="auto" w:fill="auto"/>
            <w:noWrap/>
            <w:vAlign w:val="center"/>
          </w:tcPr>
          <w:p w14:paraId="4390ADD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726" w:type="dxa"/>
            <w:vMerge w:val="continue"/>
            <w:shd w:val="clear" w:color="auto" w:fill="auto"/>
            <w:vAlign w:val="center"/>
          </w:tcPr>
          <w:p w14:paraId="1D09ADAC">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1AB75B0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45</w:t>
            </w:r>
          </w:p>
        </w:tc>
        <w:tc>
          <w:tcPr>
            <w:tcW w:w="496" w:type="dxa"/>
            <w:shd w:val="clear" w:color="auto" w:fill="auto"/>
            <w:noWrap/>
            <w:vAlign w:val="center"/>
          </w:tcPr>
          <w:p w14:paraId="6005FE2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40</w:t>
            </w:r>
          </w:p>
        </w:tc>
        <w:tc>
          <w:tcPr>
            <w:tcW w:w="480" w:type="dxa"/>
            <w:shd w:val="clear" w:color="auto" w:fill="auto"/>
            <w:noWrap/>
            <w:vAlign w:val="center"/>
          </w:tcPr>
          <w:p w14:paraId="62B69CF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2F32351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15</w:t>
            </w:r>
          </w:p>
        </w:tc>
        <w:tc>
          <w:tcPr>
            <w:tcW w:w="427" w:type="dxa"/>
            <w:shd w:val="clear" w:color="auto" w:fill="auto"/>
            <w:vAlign w:val="center"/>
          </w:tcPr>
          <w:p w14:paraId="68FD9A2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67</w:t>
            </w:r>
          </w:p>
        </w:tc>
        <w:tc>
          <w:tcPr>
            <w:tcW w:w="427" w:type="dxa"/>
            <w:shd w:val="clear" w:color="auto" w:fill="auto"/>
            <w:vAlign w:val="center"/>
          </w:tcPr>
          <w:p w14:paraId="1A095EC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21</w:t>
            </w:r>
          </w:p>
        </w:tc>
        <w:tc>
          <w:tcPr>
            <w:tcW w:w="585" w:type="dxa"/>
            <w:shd w:val="clear" w:color="auto" w:fill="auto"/>
            <w:vAlign w:val="center"/>
          </w:tcPr>
          <w:p w14:paraId="2127DEF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13.2</w:t>
            </w:r>
          </w:p>
        </w:tc>
        <w:tc>
          <w:tcPr>
            <w:tcW w:w="427" w:type="dxa"/>
            <w:shd w:val="clear" w:color="auto" w:fill="auto"/>
            <w:vAlign w:val="center"/>
          </w:tcPr>
          <w:p w14:paraId="462AF46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56</w:t>
            </w:r>
          </w:p>
        </w:tc>
        <w:tc>
          <w:tcPr>
            <w:tcW w:w="427" w:type="dxa"/>
            <w:shd w:val="clear" w:color="auto" w:fill="auto"/>
            <w:vAlign w:val="center"/>
          </w:tcPr>
          <w:p w14:paraId="26EB62F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43</w:t>
            </w:r>
          </w:p>
        </w:tc>
        <w:tc>
          <w:tcPr>
            <w:tcW w:w="427" w:type="dxa"/>
            <w:shd w:val="clear" w:color="auto" w:fill="auto"/>
            <w:vAlign w:val="center"/>
          </w:tcPr>
          <w:p w14:paraId="2DFCEC4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54</w:t>
            </w:r>
          </w:p>
        </w:tc>
        <w:tc>
          <w:tcPr>
            <w:tcW w:w="427" w:type="dxa"/>
            <w:shd w:val="clear" w:color="auto" w:fill="auto"/>
            <w:vAlign w:val="center"/>
          </w:tcPr>
          <w:p w14:paraId="53A3FA9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58</w:t>
            </w:r>
          </w:p>
        </w:tc>
        <w:tc>
          <w:tcPr>
            <w:tcW w:w="860" w:type="dxa"/>
            <w:shd w:val="clear" w:color="auto" w:fill="auto"/>
            <w:vAlign w:val="center"/>
          </w:tcPr>
          <w:p w14:paraId="6D8521A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昼间</w:t>
            </w:r>
          </w:p>
        </w:tc>
        <w:tc>
          <w:tcPr>
            <w:tcW w:w="1291" w:type="dxa"/>
            <w:shd w:val="clear" w:color="auto" w:fill="auto"/>
            <w:vAlign w:val="center"/>
          </w:tcPr>
          <w:p w14:paraId="04571A7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7590F4D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30</w:t>
            </w:r>
          </w:p>
        </w:tc>
        <w:tc>
          <w:tcPr>
            <w:tcW w:w="427" w:type="dxa"/>
            <w:shd w:val="clear" w:color="auto" w:fill="auto"/>
            <w:vAlign w:val="center"/>
          </w:tcPr>
          <w:p w14:paraId="7C329C0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17</w:t>
            </w:r>
          </w:p>
        </w:tc>
        <w:tc>
          <w:tcPr>
            <w:tcW w:w="427" w:type="dxa"/>
            <w:shd w:val="clear" w:color="auto" w:fill="auto"/>
            <w:vAlign w:val="center"/>
          </w:tcPr>
          <w:p w14:paraId="2C8D93A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28</w:t>
            </w:r>
          </w:p>
        </w:tc>
        <w:tc>
          <w:tcPr>
            <w:tcW w:w="427" w:type="dxa"/>
            <w:shd w:val="clear" w:color="auto" w:fill="auto"/>
            <w:vAlign w:val="center"/>
          </w:tcPr>
          <w:p w14:paraId="45DF201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32</w:t>
            </w:r>
          </w:p>
        </w:tc>
        <w:tc>
          <w:tcPr>
            <w:tcW w:w="1357" w:type="dxa"/>
            <w:shd w:val="clear" w:color="auto" w:fill="auto"/>
            <w:vAlign w:val="center"/>
          </w:tcPr>
          <w:p w14:paraId="5D08EE2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1CFD6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681" w:type="dxa"/>
            <w:shd w:val="clear" w:color="auto" w:fill="auto"/>
            <w:vAlign w:val="center"/>
          </w:tcPr>
          <w:p w14:paraId="4FE600B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二栋</w:t>
            </w:r>
          </w:p>
        </w:tc>
        <w:tc>
          <w:tcPr>
            <w:tcW w:w="0" w:type="auto"/>
            <w:shd w:val="clear" w:color="auto" w:fill="auto"/>
            <w:noWrap/>
            <w:vAlign w:val="center"/>
          </w:tcPr>
          <w:p w14:paraId="50D5BF9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机边破碎30</w:t>
            </w:r>
          </w:p>
        </w:tc>
        <w:tc>
          <w:tcPr>
            <w:tcW w:w="0" w:type="auto"/>
            <w:shd w:val="clear" w:color="auto" w:fill="auto"/>
            <w:noWrap/>
            <w:vAlign w:val="center"/>
          </w:tcPr>
          <w:p w14:paraId="245C33F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726" w:type="dxa"/>
            <w:vMerge w:val="continue"/>
            <w:shd w:val="clear" w:color="auto" w:fill="auto"/>
            <w:vAlign w:val="center"/>
          </w:tcPr>
          <w:p w14:paraId="4316A8C3">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4A58215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57</w:t>
            </w:r>
          </w:p>
        </w:tc>
        <w:tc>
          <w:tcPr>
            <w:tcW w:w="496" w:type="dxa"/>
            <w:shd w:val="clear" w:color="auto" w:fill="auto"/>
            <w:noWrap/>
            <w:vAlign w:val="center"/>
          </w:tcPr>
          <w:p w14:paraId="65E035F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-19</w:t>
            </w:r>
          </w:p>
        </w:tc>
        <w:tc>
          <w:tcPr>
            <w:tcW w:w="480" w:type="dxa"/>
            <w:shd w:val="clear" w:color="auto" w:fill="auto"/>
            <w:noWrap/>
            <w:vAlign w:val="center"/>
          </w:tcPr>
          <w:p w14:paraId="1391296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37D835F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w:t>
            </w:r>
          </w:p>
        </w:tc>
        <w:tc>
          <w:tcPr>
            <w:tcW w:w="427" w:type="dxa"/>
            <w:shd w:val="clear" w:color="auto" w:fill="auto"/>
            <w:vAlign w:val="center"/>
          </w:tcPr>
          <w:p w14:paraId="1F6B129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w:t>
            </w:r>
          </w:p>
        </w:tc>
        <w:tc>
          <w:tcPr>
            <w:tcW w:w="427" w:type="dxa"/>
            <w:shd w:val="clear" w:color="auto" w:fill="auto"/>
            <w:vAlign w:val="center"/>
          </w:tcPr>
          <w:p w14:paraId="0A4B174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33</w:t>
            </w:r>
          </w:p>
        </w:tc>
        <w:tc>
          <w:tcPr>
            <w:tcW w:w="585" w:type="dxa"/>
            <w:shd w:val="clear" w:color="auto" w:fill="auto"/>
            <w:vAlign w:val="center"/>
          </w:tcPr>
          <w:p w14:paraId="619694B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72.2</w:t>
            </w:r>
          </w:p>
        </w:tc>
        <w:tc>
          <w:tcPr>
            <w:tcW w:w="427" w:type="dxa"/>
            <w:shd w:val="clear" w:color="auto" w:fill="auto"/>
            <w:vAlign w:val="center"/>
          </w:tcPr>
          <w:p w14:paraId="6B89DED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70</w:t>
            </w:r>
          </w:p>
        </w:tc>
        <w:tc>
          <w:tcPr>
            <w:tcW w:w="427" w:type="dxa"/>
            <w:shd w:val="clear" w:color="auto" w:fill="auto"/>
            <w:vAlign w:val="center"/>
          </w:tcPr>
          <w:p w14:paraId="6CA57E3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62</w:t>
            </w:r>
          </w:p>
        </w:tc>
        <w:tc>
          <w:tcPr>
            <w:tcW w:w="427" w:type="dxa"/>
            <w:shd w:val="clear" w:color="auto" w:fill="auto"/>
            <w:vAlign w:val="center"/>
          </w:tcPr>
          <w:p w14:paraId="13EA729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50</w:t>
            </w:r>
          </w:p>
        </w:tc>
        <w:tc>
          <w:tcPr>
            <w:tcW w:w="427" w:type="dxa"/>
            <w:shd w:val="clear" w:color="auto" w:fill="auto"/>
            <w:vAlign w:val="center"/>
          </w:tcPr>
          <w:p w14:paraId="293FCA8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43</w:t>
            </w:r>
          </w:p>
        </w:tc>
        <w:tc>
          <w:tcPr>
            <w:tcW w:w="860" w:type="dxa"/>
            <w:shd w:val="clear" w:color="auto" w:fill="auto"/>
            <w:vAlign w:val="center"/>
          </w:tcPr>
          <w:p w14:paraId="5122A3C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昼间</w:t>
            </w:r>
          </w:p>
        </w:tc>
        <w:tc>
          <w:tcPr>
            <w:tcW w:w="1291" w:type="dxa"/>
            <w:shd w:val="clear" w:color="auto" w:fill="auto"/>
            <w:vAlign w:val="center"/>
          </w:tcPr>
          <w:p w14:paraId="3D36074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6337EF7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44</w:t>
            </w:r>
          </w:p>
        </w:tc>
        <w:tc>
          <w:tcPr>
            <w:tcW w:w="427" w:type="dxa"/>
            <w:shd w:val="clear" w:color="auto" w:fill="auto"/>
            <w:vAlign w:val="center"/>
          </w:tcPr>
          <w:p w14:paraId="272D1F8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36</w:t>
            </w:r>
          </w:p>
        </w:tc>
        <w:tc>
          <w:tcPr>
            <w:tcW w:w="427" w:type="dxa"/>
            <w:shd w:val="clear" w:color="auto" w:fill="auto"/>
            <w:vAlign w:val="center"/>
          </w:tcPr>
          <w:p w14:paraId="43E39E5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24</w:t>
            </w:r>
          </w:p>
        </w:tc>
        <w:tc>
          <w:tcPr>
            <w:tcW w:w="427" w:type="dxa"/>
            <w:shd w:val="clear" w:color="auto" w:fill="auto"/>
            <w:vAlign w:val="center"/>
          </w:tcPr>
          <w:p w14:paraId="645774D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17</w:t>
            </w:r>
          </w:p>
        </w:tc>
        <w:tc>
          <w:tcPr>
            <w:tcW w:w="1357" w:type="dxa"/>
            <w:shd w:val="clear" w:color="auto" w:fill="auto"/>
            <w:vAlign w:val="center"/>
          </w:tcPr>
          <w:p w14:paraId="712AF5E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5C639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681" w:type="dxa"/>
            <w:shd w:val="clear" w:color="auto" w:fill="auto"/>
            <w:vAlign w:val="center"/>
          </w:tcPr>
          <w:p w14:paraId="3E695A9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二栋</w:t>
            </w:r>
          </w:p>
        </w:tc>
        <w:tc>
          <w:tcPr>
            <w:tcW w:w="0" w:type="auto"/>
            <w:shd w:val="clear" w:color="auto" w:fill="auto"/>
            <w:noWrap/>
            <w:vAlign w:val="center"/>
          </w:tcPr>
          <w:p w14:paraId="1D12916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机边破碎31</w:t>
            </w:r>
          </w:p>
        </w:tc>
        <w:tc>
          <w:tcPr>
            <w:tcW w:w="0" w:type="auto"/>
            <w:shd w:val="clear" w:color="auto" w:fill="auto"/>
            <w:noWrap/>
            <w:vAlign w:val="center"/>
          </w:tcPr>
          <w:p w14:paraId="6A89FBC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726" w:type="dxa"/>
            <w:vMerge w:val="continue"/>
            <w:shd w:val="clear" w:color="auto" w:fill="auto"/>
            <w:vAlign w:val="center"/>
          </w:tcPr>
          <w:p w14:paraId="6253EED6">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6AB0BEB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57</w:t>
            </w:r>
          </w:p>
        </w:tc>
        <w:tc>
          <w:tcPr>
            <w:tcW w:w="496" w:type="dxa"/>
            <w:shd w:val="clear" w:color="auto" w:fill="auto"/>
            <w:noWrap/>
            <w:vAlign w:val="center"/>
          </w:tcPr>
          <w:p w14:paraId="3D2582F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-16</w:t>
            </w:r>
          </w:p>
        </w:tc>
        <w:tc>
          <w:tcPr>
            <w:tcW w:w="480" w:type="dxa"/>
            <w:shd w:val="clear" w:color="auto" w:fill="auto"/>
            <w:noWrap/>
            <w:vAlign w:val="center"/>
          </w:tcPr>
          <w:p w14:paraId="1D4463D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4AD49DB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w:t>
            </w:r>
          </w:p>
        </w:tc>
        <w:tc>
          <w:tcPr>
            <w:tcW w:w="427" w:type="dxa"/>
            <w:shd w:val="clear" w:color="auto" w:fill="auto"/>
            <w:vAlign w:val="center"/>
          </w:tcPr>
          <w:p w14:paraId="0EF5A0B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11</w:t>
            </w:r>
          </w:p>
        </w:tc>
        <w:tc>
          <w:tcPr>
            <w:tcW w:w="427" w:type="dxa"/>
            <w:shd w:val="clear" w:color="auto" w:fill="auto"/>
            <w:vAlign w:val="center"/>
          </w:tcPr>
          <w:p w14:paraId="3BCD681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33</w:t>
            </w:r>
          </w:p>
        </w:tc>
        <w:tc>
          <w:tcPr>
            <w:tcW w:w="585" w:type="dxa"/>
            <w:shd w:val="clear" w:color="auto" w:fill="auto"/>
            <w:vAlign w:val="center"/>
          </w:tcPr>
          <w:p w14:paraId="754CD2D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69.2</w:t>
            </w:r>
          </w:p>
        </w:tc>
        <w:tc>
          <w:tcPr>
            <w:tcW w:w="427" w:type="dxa"/>
            <w:shd w:val="clear" w:color="auto" w:fill="auto"/>
            <w:vAlign w:val="center"/>
          </w:tcPr>
          <w:p w14:paraId="41FFDAB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70</w:t>
            </w:r>
          </w:p>
        </w:tc>
        <w:tc>
          <w:tcPr>
            <w:tcW w:w="427" w:type="dxa"/>
            <w:shd w:val="clear" w:color="auto" w:fill="auto"/>
            <w:vAlign w:val="center"/>
          </w:tcPr>
          <w:p w14:paraId="7C81155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59</w:t>
            </w:r>
          </w:p>
        </w:tc>
        <w:tc>
          <w:tcPr>
            <w:tcW w:w="427" w:type="dxa"/>
            <w:shd w:val="clear" w:color="auto" w:fill="auto"/>
            <w:vAlign w:val="center"/>
          </w:tcPr>
          <w:p w14:paraId="4A287AE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50</w:t>
            </w:r>
          </w:p>
        </w:tc>
        <w:tc>
          <w:tcPr>
            <w:tcW w:w="427" w:type="dxa"/>
            <w:shd w:val="clear" w:color="auto" w:fill="auto"/>
            <w:vAlign w:val="center"/>
          </w:tcPr>
          <w:p w14:paraId="20951E0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43</w:t>
            </w:r>
          </w:p>
        </w:tc>
        <w:tc>
          <w:tcPr>
            <w:tcW w:w="860" w:type="dxa"/>
            <w:shd w:val="clear" w:color="auto" w:fill="auto"/>
            <w:vAlign w:val="center"/>
          </w:tcPr>
          <w:p w14:paraId="6607776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昼间</w:t>
            </w:r>
          </w:p>
        </w:tc>
        <w:tc>
          <w:tcPr>
            <w:tcW w:w="1291" w:type="dxa"/>
            <w:shd w:val="clear" w:color="auto" w:fill="auto"/>
            <w:vAlign w:val="center"/>
          </w:tcPr>
          <w:p w14:paraId="2EFC463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7196193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44</w:t>
            </w:r>
          </w:p>
        </w:tc>
        <w:tc>
          <w:tcPr>
            <w:tcW w:w="427" w:type="dxa"/>
            <w:shd w:val="clear" w:color="auto" w:fill="auto"/>
            <w:vAlign w:val="center"/>
          </w:tcPr>
          <w:p w14:paraId="0E33FF8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33</w:t>
            </w:r>
          </w:p>
        </w:tc>
        <w:tc>
          <w:tcPr>
            <w:tcW w:w="427" w:type="dxa"/>
            <w:shd w:val="clear" w:color="auto" w:fill="auto"/>
            <w:vAlign w:val="center"/>
          </w:tcPr>
          <w:p w14:paraId="5DA99BF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24</w:t>
            </w:r>
          </w:p>
        </w:tc>
        <w:tc>
          <w:tcPr>
            <w:tcW w:w="427" w:type="dxa"/>
            <w:shd w:val="clear" w:color="auto" w:fill="auto"/>
            <w:vAlign w:val="center"/>
          </w:tcPr>
          <w:p w14:paraId="05FE20C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17</w:t>
            </w:r>
          </w:p>
        </w:tc>
        <w:tc>
          <w:tcPr>
            <w:tcW w:w="1357" w:type="dxa"/>
            <w:shd w:val="clear" w:color="auto" w:fill="auto"/>
            <w:vAlign w:val="center"/>
          </w:tcPr>
          <w:p w14:paraId="7B4BDC3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7E704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681" w:type="dxa"/>
            <w:shd w:val="clear" w:color="auto" w:fill="auto"/>
            <w:vAlign w:val="center"/>
          </w:tcPr>
          <w:p w14:paraId="3807349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二栋</w:t>
            </w:r>
          </w:p>
        </w:tc>
        <w:tc>
          <w:tcPr>
            <w:tcW w:w="0" w:type="auto"/>
            <w:shd w:val="clear" w:color="auto" w:fill="auto"/>
            <w:noWrap/>
            <w:vAlign w:val="center"/>
          </w:tcPr>
          <w:p w14:paraId="4010419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机边破碎32</w:t>
            </w:r>
          </w:p>
        </w:tc>
        <w:tc>
          <w:tcPr>
            <w:tcW w:w="0" w:type="auto"/>
            <w:shd w:val="clear" w:color="auto" w:fill="auto"/>
            <w:noWrap/>
            <w:vAlign w:val="center"/>
          </w:tcPr>
          <w:p w14:paraId="6096EDB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726" w:type="dxa"/>
            <w:vMerge w:val="continue"/>
            <w:shd w:val="clear" w:color="auto" w:fill="auto"/>
            <w:vAlign w:val="center"/>
          </w:tcPr>
          <w:p w14:paraId="145A77FD">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5845C60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57</w:t>
            </w:r>
          </w:p>
        </w:tc>
        <w:tc>
          <w:tcPr>
            <w:tcW w:w="496" w:type="dxa"/>
            <w:shd w:val="clear" w:color="auto" w:fill="auto"/>
            <w:noWrap/>
            <w:vAlign w:val="center"/>
          </w:tcPr>
          <w:p w14:paraId="462DD5D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80" w:type="dxa"/>
            <w:shd w:val="clear" w:color="auto" w:fill="auto"/>
            <w:noWrap/>
            <w:vAlign w:val="center"/>
          </w:tcPr>
          <w:p w14:paraId="302EBBC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5FF11F4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w:t>
            </w:r>
          </w:p>
        </w:tc>
        <w:tc>
          <w:tcPr>
            <w:tcW w:w="427" w:type="dxa"/>
            <w:shd w:val="clear" w:color="auto" w:fill="auto"/>
            <w:vAlign w:val="center"/>
          </w:tcPr>
          <w:p w14:paraId="54DC3BA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15</w:t>
            </w:r>
          </w:p>
        </w:tc>
        <w:tc>
          <w:tcPr>
            <w:tcW w:w="427" w:type="dxa"/>
            <w:shd w:val="clear" w:color="auto" w:fill="auto"/>
            <w:vAlign w:val="center"/>
          </w:tcPr>
          <w:p w14:paraId="2ECC132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33</w:t>
            </w:r>
          </w:p>
        </w:tc>
        <w:tc>
          <w:tcPr>
            <w:tcW w:w="585" w:type="dxa"/>
            <w:shd w:val="clear" w:color="auto" w:fill="auto"/>
            <w:vAlign w:val="center"/>
          </w:tcPr>
          <w:p w14:paraId="52EFDA6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65.2</w:t>
            </w:r>
          </w:p>
        </w:tc>
        <w:tc>
          <w:tcPr>
            <w:tcW w:w="427" w:type="dxa"/>
            <w:shd w:val="clear" w:color="auto" w:fill="auto"/>
            <w:vAlign w:val="center"/>
          </w:tcPr>
          <w:p w14:paraId="7A6F4A6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70</w:t>
            </w:r>
          </w:p>
        </w:tc>
        <w:tc>
          <w:tcPr>
            <w:tcW w:w="427" w:type="dxa"/>
            <w:shd w:val="clear" w:color="auto" w:fill="auto"/>
            <w:vAlign w:val="center"/>
          </w:tcPr>
          <w:p w14:paraId="0623A50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56</w:t>
            </w:r>
          </w:p>
        </w:tc>
        <w:tc>
          <w:tcPr>
            <w:tcW w:w="427" w:type="dxa"/>
            <w:shd w:val="clear" w:color="auto" w:fill="auto"/>
            <w:vAlign w:val="center"/>
          </w:tcPr>
          <w:p w14:paraId="682DF62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50</w:t>
            </w:r>
          </w:p>
        </w:tc>
        <w:tc>
          <w:tcPr>
            <w:tcW w:w="427" w:type="dxa"/>
            <w:shd w:val="clear" w:color="auto" w:fill="auto"/>
            <w:vAlign w:val="center"/>
          </w:tcPr>
          <w:p w14:paraId="7193F3B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44</w:t>
            </w:r>
          </w:p>
        </w:tc>
        <w:tc>
          <w:tcPr>
            <w:tcW w:w="860" w:type="dxa"/>
            <w:shd w:val="clear" w:color="auto" w:fill="auto"/>
            <w:vAlign w:val="center"/>
          </w:tcPr>
          <w:p w14:paraId="1296FE9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昼间</w:t>
            </w:r>
          </w:p>
        </w:tc>
        <w:tc>
          <w:tcPr>
            <w:tcW w:w="1291" w:type="dxa"/>
            <w:shd w:val="clear" w:color="auto" w:fill="auto"/>
            <w:vAlign w:val="center"/>
          </w:tcPr>
          <w:p w14:paraId="168B5DE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3D97E4D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44</w:t>
            </w:r>
          </w:p>
        </w:tc>
        <w:tc>
          <w:tcPr>
            <w:tcW w:w="427" w:type="dxa"/>
            <w:shd w:val="clear" w:color="auto" w:fill="auto"/>
            <w:vAlign w:val="center"/>
          </w:tcPr>
          <w:p w14:paraId="459BB00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30</w:t>
            </w:r>
          </w:p>
        </w:tc>
        <w:tc>
          <w:tcPr>
            <w:tcW w:w="427" w:type="dxa"/>
            <w:shd w:val="clear" w:color="auto" w:fill="auto"/>
            <w:vAlign w:val="center"/>
          </w:tcPr>
          <w:p w14:paraId="311155A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24</w:t>
            </w:r>
          </w:p>
        </w:tc>
        <w:tc>
          <w:tcPr>
            <w:tcW w:w="427" w:type="dxa"/>
            <w:shd w:val="clear" w:color="auto" w:fill="auto"/>
            <w:vAlign w:val="center"/>
          </w:tcPr>
          <w:p w14:paraId="1EFFADC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18</w:t>
            </w:r>
          </w:p>
        </w:tc>
        <w:tc>
          <w:tcPr>
            <w:tcW w:w="1357" w:type="dxa"/>
            <w:shd w:val="clear" w:color="auto" w:fill="auto"/>
            <w:vAlign w:val="center"/>
          </w:tcPr>
          <w:p w14:paraId="48F5BBF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5ADA4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681" w:type="dxa"/>
            <w:shd w:val="clear" w:color="auto" w:fill="auto"/>
            <w:vAlign w:val="center"/>
          </w:tcPr>
          <w:p w14:paraId="2EE7700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二栋</w:t>
            </w:r>
          </w:p>
        </w:tc>
        <w:tc>
          <w:tcPr>
            <w:tcW w:w="0" w:type="auto"/>
            <w:shd w:val="clear" w:color="auto" w:fill="auto"/>
            <w:noWrap/>
            <w:vAlign w:val="center"/>
          </w:tcPr>
          <w:p w14:paraId="50C2D45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机边破碎33</w:t>
            </w:r>
          </w:p>
        </w:tc>
        <w:tc>
          <w:tcPr>
            <w:tcW w:w="0" w:type="auto"/>
            <w:shd w:val="clear" w:color="auto" w:fill="auto"/>
            <w:noWrap/>
            <w:vAlign w:val="center"/>
          </w:tcPr>
          <w:p w14:paraId="5D26909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726" w:type="dxa"/>
            <w:vMerge w:val="continue"/>
            <w:shd w:val="clear" w:color="auto" w:fill="auto"/>
            <w:vAlign w:val="center"/>
          </w:tcPr>
          <w:p w14:paraId="3127ECE4">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40A6761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57</w:t>
            </w:r>
          </w:p>
        </w:tc>
        <w:tc>
          <w:tcPr>
            <w:tcW w:w="496" w:type="dxa"/>
            <w:shd w:val="clear" w:color="auto" w:fill="auto"/>
            <w:noWrap/>
            <w:vAlign w:val="center"/>
          </w:tcPr>
          <w:p w14:paraId="0B358D2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-9</w:t>
            </w:r>
          </w:p>
        </w:tc>
        <w:tc>
          <w:tcPr>
            <w:tcW w:w="480" w:type="dxa"/>
            <w:shd w:val="clear" w:color="auto" w:fill="auto"/>
            <w:noWrap/>
            <w:vAlign w:val="center"/>
          </w:tcPr>
          <w:p w14:paraId="30BE86D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458D77C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w:t>
            </w:r>
          </w:p>
        </w:tc>
        <w:tc>
          <w:tcPr>
            <w:tcW w:w="427" w:type="dxa"/>
            <w:shd w:val="clear" w:color="auto" w:fill="auto"/>
            <w:vAlign w:val="center"/>
          </w:tcPr>
          <w:p w14:paraId="250104E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18</w:t>
            </w:r>
          </w:p>
        </w:tc>
        <w:tc>
          <w:tcPr>
            <w:tcW w:w="427" w:type="dxa"/>
            <w:shd w:val="clear" w:color="auto" w:fill="auto"/>
            <w:vAlign w:val="center"/>
          </w:tcPr>
          <w:p w14:paraId="13BA4DE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33</w:t>
            </w:r>
          </w:p>
        </w:tc>
        <w:tc>
          <w:tcPr>
            <w:tcW w:w="585" w:type="dxa"/>
            <w:shd w:val="clear" w:color="auto" w:fill="auto"/>
            <w:vAlign w:val="center"/>
          </w:tcPr>
          <w:p w14:paraId="74FA6CA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62.2</w:t>
            </w:r>
          </w:p>
        </w:tc>
        <w:tc>
          <w:tcPr>
            <w:tcW w:w="427" w:type="dxa"/>
            <w:shd w:val="clear" w:color="auto" w:fill="auto"/>
            <w:vAlign w:val="center"/>
          </w:tcPr>
          <w:p w14:paraId="32CA57A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70</w:t>
            </w:r>
          </w:p>
        </w:tc>
        <w:tc>
          <w:tcPr>
            <w:tcW w:w="427" w:type="dxa"/>
            <w:shd w:val="clear" w:color="auto" w:fill="auto"/>
            <w:vAlign w:val="center"/>
          </w:tcPr>
          <w:p w14:paraId="2BF2FD3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55</w:t>
            </w:r>
          </w:p>
        </w:tc>
        <w:tc>
          <w:tcPr>
            <w:tcW w:w="427" w:type="dxa"/>
            <w:shd w:val="clear" w:color="auto" w:fill="auto"/>
            <w:vAlign w:val="center"/>
          </w:tcPr>
          <w:p w14:paraId="50F313A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50</w:t>
            </w:r>
          </w:p>
        </w:tc>
        <w:tc>
          <w:tcPr>
            <w:tcW w:w="427" w:type="dxa"/>
            <w:shd w:val="clear" w:color="auto" w:fill="auto"/>
            <w:vAlign w:val="center"/>
          </w:tcPr>
          <w:p w14:paraId="19D0E3E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44</w:t>
            </w:r>
          </w:p>
        </w:tc>
        <w:tc>
          <w:tcPr>
            <w:tcW w:w="860" w:type="dxa"/>
            <w:shd w:val="clear" w:color="auto" w:fill="auto"/>
            <w:vAlign w:val="center"/>
          </w:tcPr>
          <w:p w14:paraId="4940916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昼间</w:t>
            </w:r>
          </w:p>
        </w:tc>
        <w:tc>
          <w:tcPr>
            <w:tcW w:w="1291" w:type="dxa"/>
            <w:shd w:val="clear" w:color="auto" w:fill="auto"/>
            <w:vAlign w:val="center"/>
          </w:tcPr>
          <w:p w14:paraId="55E6756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294CB33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44</w:t>
            </w:r>
          </w:p>
        </w:tc>
        <w:tc>
          <w:tcPr>
            <w:tcW w:w="427" w:type="dxa"/>
            <w:shd w:val="clear" w:color="auto" w:fill="auto"/>
            <w:vAlign w:val="center"/>
          </w:tcPr>
          <w:p w14:paraId="79CA8FF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29</w:t>
            </w:r>
          </w:p>
        </w:tc>
        <w:tc>
          <w:tcPr>
            <w:tcW w:w="427" w:type="dxa"/>
            <w:shd w:val="clear" w:color="auto" w:fill="auto"/>
            <w:vAlign w:val="center"/>
          </w:tcPr>
          <w:p w14:paraId="1EED891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24</w:t>
            </w:r>
          </w:p>
        </w:tc>
        <w:tc>
          <w:tcPr>
            <w:tcW w:w="427" w:type="dxa"/>
            <w:shd w:val="clear" w:color="auto" w:fill="auto"/>
            <w:vAlign w:val="center"/>
          </w:tcPr>
          <w:p w14:paraId="4F23379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18</w:t>
            </w:r>
          </w:p>
        </w:tc>
        <w:tc>
          <w:tcPr>
            <w:tcW w:w="1357" w:type="dxa"/>
            <w:shd w:val="clear" w:color="auto" w:fill="auto"/>
            <w:vAlign w:val="center"/>
          </w:tcPr>
          <w:p w14:paraId="242C972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7B03E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1" w:type="dxa"/>
            <w:shd w:val="clear" w:color="auto" w:fill="auto"/>
            <w:vAlign w:val="center"/>
          </w:tcPr>
          <w:p w14:paraId="4C43D7D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二栋</w:t>
            </w:r>
          </w:p>
        </w:tc>
        <w:tc>
          <w:tcPr>
            <w:tcW w:w="0" w:type="auto"/>
            <w:shd w:val="clear" w:color="auto" w:fill="auto"/>
            <w:noWrap/>
            <w:vAlign w:val="center"/>
          </w:tcPr>
          <w:p w14:paraId="7F52EA1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机边破碎34</w:t>
            </w:r>
          </w:p>
        </w:tc>
        <w:tc>
          <w:tcPr>
            <w:tcW w:w="0" w:type="auto"/>
            <w:shd w:val="clear" w:color="auto" w:fill="auto"/>
            <w:noWrap/>
            <w:vAlign w:val="center"/>
          </w:tcPr>
          <w:p w14:paraId="6964AFB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726" w:type="dxa"/>
            <w:vMerge w:val="continue"/>
            <w:shd w:val="clear" w:color="auto" w:fill="auto"/>
            <w:vAlign w:val="center"/>
          </w:tcPr>
          <w:p w14:paraId="6C546821">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01EBC7D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57</w:t>
            </w:r>
          </w:p>
        </w:tc>
        <w:tc>
          <w:tcPr>
            <w:tcW w:w="496" w:type="dxa"/>
            <w:shd w:val="clear" w:color="auto" w:fill="auto"/>
            <w:noWrap/>
            <w:vAlign w:val="center"/>
          </w:tcPr>
          <w:p w14:paraId="6FDDC76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w:t>
            </w:r>
          </w:p>
        </w:tc>
        <w:tc>
          <w:tcPr>
            <w:tcW w:w="480" w:type="dxa"/>
            <w:shd w:val="clear" w:color="auto" w:fill="auto"/>
            <w:noWrap/>
            <w:vAlign w:val="center"/>
          </w:tcPr>
          <w:p w14:paraId="3E7059D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6B00EE8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w:t>
            </w:r>
          </w:p>
        </w:tc>
        <w:tc>
          <w:tcPr>
            <w:tcW w:w="427" w:type="dxa"/>
            <w:shd w:val="clear" w:color="auto" w:fill="auto"/>
            <w:vAlign w:val="center"/>
          </w:tcPr>
          <w:p w14:paraId="6685D7A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22</w:t>
            </w:r>
          </w:p>
        </w:tc>
        <w:tc>
          <w:tcPr>
            <w:tcW w:w="427" w:type="dxa"/>
            <w:shd w:val="clear" w:color="auto" w:fill="auto"/>
            <w:vAlign w:val="center"/>
          </w:tcPr>
          <w:p w14:paraId="5DCF119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33</w:t>
            </w:r>
          </w:p>
        </w:tc>
        <w:tc>
          <w:tcPr>
            <w:tcW w:w="585" w:type="dxa"/>
            <w:shd w:val="clear" w:color="auto" w:fill="auto"/>
            <w:vAlign w:val="center"/>
          </w:tcPr>
          <w:p w14:paraId="2A8113A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58.2</w:t>
            </w:r>
          </w:p>
        </w:tc>
        <w:tc>
          <w:tcPr>
            <w:tcW w:w="427" w:type="dxa"/>
            <w:shd w:val="clear" w:color="auto" w:fill="auto"/>
            <w:vAlign w:val="center"/>
          </w:tcPr>
          <w:p w14:paraId="1040A1A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70</w:t>
            </w:r>
          </w:p>
        </w:tc>
        <w:tc>
          <w:tcPr>
            <w:tcW w:w="427" w:type="dxa"/>
            <w:shd w:val="clear" w:color="auto" w:fill="auto"/>
            <w:vAlign w:val="center"/>
          </w:tcPr>
          <w:p w14:paraId="1D96D1F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53</w:t>
            </w:r>
          </w:p>
        </w:tc>
        <w:tc>
          <w:tcPr>
            <w:tcW w:w="427" w:type="dxa"/>
            <w:shd w:val="clear" w:color="auto" w:fill="auto"/>
            <w:vAlign w:val="center"/>
          </w:tcPr>
          <w:p w14:paraId="51FA08A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50</w:t>
            </w:r>
          </w:p>
        </w:tc>
        <w:tc>
          <w:tcPr>
            <w:tcW w:w="427" w:type="dxa"/>
            <w:shd w:val="clear" w:color="auto" w:fill="auto"/>
            <w:vAlign w:val="center"/>
          </w:tcPr>
          <w:p w14:paraId="2348BE9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45</w:t>
            </w:r>
          </w:p>
        </w:tc>
        <w:tc>
          <w:tcPr>
            <w:tcW w:w="860" w:type="dxa"/>
            <w:shd w:val="clear" w:color="auto" w:fill="auto"/>
            <w:vAlign w:val="center"/>
          </w:tcPr>
          <w:p w14:paraId="7D1B3EA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昼间</w:t>
            </w:r>
          </w:p>
        </w:tc>
        <w:tc>
          <w:tcPr>
            <w:tcW w:w="1291" w:type="dxa"/>
            <w:shd w:val="clear" w:color="auto" w:fill="auto"/>
            <w:vAlign w:val="center"/>
          </w:tcPr>
          <w:p w14:paraId="0B3E090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6C6A1EA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44</w:t>
            </w:r>
          </w:p>
        </w:tc>
        <w:tc>
          <w:tcPr>
            <w:tcW w:w="427" w:type="dxa"/>
            <w:shd w:val="clear" w:color="auto" w:fill="auto"/>
            <w:vAlign w:val="center"/>
          </w:tcPr>
          <w:p w14:paraId="0D3326E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27</w:t>
            </w:r>
          </w:p>
        </w:tc>
        <w:tc>
          <w:tcPr>
            <w:tcW w:w="427" w:type="dxa"/>
            <w:shd w:val="clear" w:color="auto" w:fill="auto"/>
            <w:vAlign w:val="center"/>
          </w:tcPr>
          <w:p w14:paraId="50A66D1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24</w:t>
            </w:r>
          </w:p>
        </w:tc>
        <w:tc>
          <w:tcPr>
            <w:tcW w:w="427" w:type="dxa"/>
            <w:shd w:val="clear" w:color="auto" w:fill="auto"/>
            <w:vAlign w:val="center"/>
          </w:tcPr>
          <w:p w14:paraId="766981C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19</w:t>
            </w:r>
          </w:p>
        </w:tc>
        <w:tc>
          <w:tcPr>
            <w:tcW w:w="1357" w:type="dxa"/>
            <w:shd w:val="clear" w:color="auto" w:fill="auto"/>
            <w:vAlign w:val="center"/>
          </w:tcPr>
          <w:p w14:paraId="31A7FBF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60EE7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681" w:type="dxa"/>
            <w:shd w:val="clear" w:color="auto" w:fill="auto"/>
            <w:vAlign w:val="center"/>
          </w:tcPr>
          <w:p w14:paraId="76E2E0C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二栋</w:t>
            </w:r>
          </w:p>
        </w:tc>
        <w:tc>
          <w:tcPr>
            <w:tcW w:w="0" w:type="auto"/>
            <w:shd w:val="clear" w:color="auto" w:fill="auto"/>
            <w:noWrap/>
            <w:vAlign w:val="center"/>
          </w:tcPr>
          <w:p w14:paraId="2291D49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机边破碎35</w:t>
            </w:r>
          </w:p>
        </w:tc>
        <w:tc>
          <w:tcPr>
            <w:tcW w:w="0" w:type="auto"/>
            <w:shd w:val="clear" w:color="auto" w:fill="auto"/>
            <w:noWrap/>
            <w:vAlign w:val="center"/>
          </w:tcPr>
          <w:p w14:paraId="21ED197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726" w:type="dxa"/>
            <w:vMerge w:val="continue"/>
            <w:shd w:val="clear" w:color="auto" w:fill="auto"/>
            <w:vAlign w:val="center"/>
          </w:tcPr>
          <w:p w14:paraId="6AEDCA8F">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61A7E86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57</w:t>
            </w:r>
          </w:p>
        </w:tc>
        <w:tc>
          <w:tcPr>
            <w:tcW w:w="496" w:type="dxa"/>
            <w:shd w:val="clear" w:color="auto" w:fill="auto"/>
            <w:noWrap/>
            <w:vAlign w:val="center"/>
          </w:tcPr>
          <w:p w14:paraId="4A46832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c>
          <w:tcPr>
            <w:tcW w:w="480" w:type="dxa"/>
            <w:shd w:val="clear" w:color="auto" w:fill="auto"/>
            <w:noWrap/>
            <w:vAlign w:val="center"/>
          </w:tcPr>
          <w:p w14:paraId="07F662B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74838CF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w:t>
            </w:r>
          </w:p>
        </w:tc>
        <w:tc>
          <w:tcPr>
            <w:tcW w:w="427" w:type="dxa"/>
            <w:shd w:val="clear" w:color="auto" w:fill="auto"/>
            <w:vAlign w:val="center"/>
          </w:tcPr>
          <w:p w14:paraId="1071127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26</w:t>
            </w:r>
          </w:p>
        </w:tc>
        <w:tc>
          <w:tcPr>
            <w:tcW w:w="427" w:type="dxa"/>
            <w:shd w:val="clear" w:color="auto" w:fill="auto"/>
            <w:vAlign w:val="center"/>
          </w:tcPr>
          <w:p w14:paraId="595C3F4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33</w:t>
            </w:r>
          </w:p>
        </w:tc>
        <w:tc>
          <w:tcPr>
            <w:tcW w:w="585" w:type="dxa"/>
            <w:shd w:val="clear" w:color="auto" w:fill="auto"/>
            <w:vAlign w:val="center"/>
          </w:tcPr>
          <w:p w14:paraId="5E8A604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54.2</w:t>
            </w:r>
          </w:p>
        </w:tc>
        <w:tc>
          <w:tcPr>
            <w:tcW w:w="427" w:type="dxa"/>
            <w:shd w:val="clear" w:color="auto" w:fill="auto"/>
            <w:vAlign w:val="center"/>
          </w:tcPr>
          <w:p w14:paraId="2EC404E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70</w:t>
            </w:r>
          </w:p>
        </w:tc>
        <w:tc>
          <w:tcPr>
            <w:tcW w:w="427" w:type="dxa"/>
            <w:shd w:val="clear" w:color="auto" w:fill="auto"/>
            <w:vAlign w:val="center"/>
          </w:tcPr>
          <w:p w14:paraId="14F1F66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52</w:t>
            </w:r>
          </w:p>
        </w:tc>
        <w:tc>
          <w:tcPr>
            <w:tcW w:w="427" w:type="dxa"/>
            <w:shd w:val="clear" w:color="auto" w:fill="auto"/>
            <w:vAlign w:val="center"/>
          </w:tcPr>
          <w:p w14:paraId="08246A0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50</w:t>
            </w:r>
          </w:p>
        </w:tc>
        <w:tc>
          <w:tcPr>
            <w:tcW w:w="427" w:type="dxa"/>
            <w:shd w:val="clear" w:color="auto" w:fill="auto"/>
            <w:vAlign w:val="center"/>
          </w:tcPr>
          <w:p w14:paraId="77080BA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45</w:t>
            </w:r>
          </w:p>
        </w:tc>
        <w:tc>
          <w:tcPr>
            <w:tcW w:w="860" w:type="dxa"/>
            <w:shd w:val="clear" w:color="auto" w:fill="auto"/>
            <w:vAlign w:val="center"/>
          </w:tcPr>
          <w:p w14:paraId="770FDCE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昼间</w:t>
            </w:r>
          </w:p>
        </w:tc>
        <w:tc>
          <w:tcPr>
            <w:tcW w:w="1291" w:type="dxa"/>
            <w:shd w:val="clear" w:color="auto" w:fill="auto"/>
            <w:vAlign w:val="center"/>
          </w:tcPr>
          <w:p w14:paraId="35763AF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51391B5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44</w:t>
            </w:r>
          </w:p>
        </w:tc>
        <w:tc>
          <w:tcPr>
            <w:tcW w:w="427" w:type="dxa"/>
            <w:shd w:val="clear" w:color="auto" w:fill="auto"/>
            <w:vAlign w:val="center"/>
          </w:tcPr>
          <w:p w14:paraId="065296F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26</w:t>
            </w:r>
          </w:p>
        </w:tc>
        <w:tc>
          <w:tcPr>
            <w:tcW w:w="427" w:type="dxa"/>
            <w:shd w:val="clear" w:color="auto" w:fill="auto"/>
            <w:vAlign w:val="center"/>
          </w:tcPr>
          <w:p w14:paraId="6F681CB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24</w:t>
            </w:r>
          </w:p>
        </w:tc>
        <w:tc>
          <w:tcPr>
            <w:tcW w:w="427" w:type="dxa"/>
            <w:shd w:val="clear" w:color="auto" w:fill="auto"/>
            <w:vAlign w:val="center"/>
          </w:tcPr>
          <w:p w14:paraId="7E49D3D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19</w:t>
            </w:r>
          </w:p>
        </w:tc>
        <w:tc>
          <w:tcPr>
            <w:tcW w:w="1357" w:type="dxa"/>
            <w:shd w:val="clear" w:color="auto" w:fill="auto"/>
            <w:vAlign w:val="center"/>
          </w:tcPr>
          <w:p w14:paraId="2ECE5E0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6B088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681" w:type="dxa"/>
            <w:shd w:val="clear" w:color="auto" w:fill="auto"/>
            <w:vAlign w:val="center"/>
          </w:tcPr>
          <w:p w14:paraId="7A8ADD8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二栋</w:t>
            </w:r>
          </w:p>
        </w:tc>
        <w:tc>
          <w:tcPr>
            <w:tcW w:w="0" w:type="auto"/>
            <w:shd w:val="clear" w:color="auto" w:fill="auto"/>
            <w:noWrap/>
            <w:vAlign w:val="center"/>
          </w:tcPr>
          <w:p w14:paraId="059D197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机边破碎36</w:t>
            </w:r>
          </w:p>
        </w:tc>
        <w:tc>
          <w:tcPr>
            <w:tcW w:w="0" w:type="auto"/>
            <w:shd w:val="clear" w:color="auto" w:fill="auto"/>
            <w:noWrap/>
            <w:vAlign w:val="center"/>
          </w:tcPr>
          <w:p w14:paraId="43DA69B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726" w:type="dxa"/>
            <w:vMerge w:val="continue"/>
            <w:shd w:val="clear" w:color="auto" w:fill="auto"/>
            <w:vAlign w:val="center"/>
          </w:tcPr>
          <w:p w14:paraId="28F8A341">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7996BFE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57</w:t>
            </w:r>
          </w:p>
        </w:tc>
        <w:tc>
          <w:tcPr>
            <w:tcW w:w="496" w:type="dxa"/>
            <w:shd w:val="clear" w:color="auto" w:fill="auto"/>
            <w:noWrap/>
            <w:vAlign w:val="center"/>
          </w:tcPr>
          <w:p w14:paraId="570B521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w:t>
            </w:r>
          </w:p>
        </w:tc>
        <w:tc>
          <w:tcPr>
            <w:tcW w:w="480" w:type="dxa"/>
            <w:shd w:val="clear" w:color="auto" w:fill="auto"/>
            <w:noWrap/>
            <w:vAlign w:val="center"/>
          </w:tcPr>
          <w:p w14:paraId="1127EB8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202F9A9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w:t>
            </w:r>
          </w:p>
        </w:tc>
        <w:tc>
          <w:tcPr>
            <w:tcW w:w="427" w:type="dxa"/>
            <w:shd w:val="clear" w:color="auto" w:fill="auto"/>
            <w:vAlign w:val="center"/>
          </w:tcPr>
          <w:p w14:paraId="029A775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29</w:t>
            </w:r>
          </w:p>
        </w:tc>
        <w:tc>
          <w:tcPr>
            <w:tcW w:w="427" w:type="dxa"/>
            <w:shd w:val="clear" w:color="auto" w:fill="auto"/>
            <w:vAlign w:val="center"/>
          </w:tcPr>
          <w:p w14:paraId="791017D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33</w:t>
            </w:r>
          </w:p>
        </w:tc>
        <w:tc>
          <w:tcPr>
            <w:tcW w:w="585" w:type="dxa"/>
            <w:shd w:val="clear" w:color="auto" w:fill="auto"/>
            <w:vAlign w:val="center"/>
          </w:tcPr>
          <w:p w14:paraId="2AE7BD2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51.2</w:t>
            </w:r>
          </w:p>
        </w:tc>
        <w:tc>
          <w:tcPr>
            <w:tcW w:w="427" w:type="dxa"/>
            <w:shd w:val="clear" w:color="auto" w:fill="auto"/>
            <w:vAlign w:val="center"/>
          </w:tcPr>
          <w:p w14:paraId="26A0A6C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70</w:t>
            </w:r>
          </w:p>
        </w:tc>
        <w:tc>
          <w:tcPr>
            <w:tcW w:w="427" w:type="dxa"/>
            <w:shd w:val="clear" w:color="auto" w:fill="auto"/>
            <w:vAlign w:val="center"/>
          </w:tcPr>
          <w:p w14:paraId="20E82FE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51</w:t>
            </w:r>
          </w:p>
        </w:tc>
        <w:tc>
          <w:tcPr>
            <w:tcW w:w="427" w:type="dxa"/>
            <w:shd w:val="clear" w:color="auto" w:fill="auto"/>
            <w:vAlign w:val="center"/>
          </w:tcPr>
          <w:p w14:paraId="11C1206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50</w:t>
            </w:r>
          </w:p>
        </w:tc>
        <w:tc>
          <w:tcPr>
            <w:tcW w:w="427" w:type="dxa"/>
            <w:shd w:val="clear" w:color="auto" w:fill="auto"/>
            <w:vAlign w:val="center"/>
          </w:tcPr>
          <w:p w14:paraId="6CB3115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46</w:t>
            </w:r>
          </w:p>
        </w:tc>
        <w:tc>
          <w:tcPr>
            <w:tcW w:w="860" w:type="dxa"/>
            <w:shd w:val="clear" w:color="auto" w:fill="auto"/>
            <w:vAlign w:val="center"/>
          </w:tcPr>
          <w:p w14:paraId="54C5120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昼间</w:t>
            </w:r>
          </w:p>
        </w:tc>
        <w:tc>
          <w:tcPr>
            <w:tcW w:w="1291" w:type="dxa"/>
            <w:shd w:val="clear" w:color="auto" w:fill="auto"/>
            <w:vAlign w:val="center"/>
          </w:tcPr>
          <w:p w14:paraId="345E360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156A55F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44</w:t>
            </w:r>
          </w:p>
        </w:tc>
        <w:tc>
          <w:tcPr>
            <w:tcW w:w="427" w:type="dxa"/>
            <w:shd w:val="clear" w:color="auto" w:fill="auto"/>
            <w:vAlign w:val="center"/>
          </w:tcPr>
          <w:p w14:paraId="0772F75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25</w:t>
            </w:r>
          </w:p>
        </w:tc>
        <w:tc>
          <w:tcPr>
            <w:tcW w:w="427" w:type="dxa"/>
            <w:shd w:val="clear" w:color="auto" w:fill="auto"/>
            <w:vAlign w:val="center"/>
          </w:tcPr>
          <w:p w14:paraId="7B73B3B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24</w:t>
            </w:r>
          </w:p>
        </w:tc>
        <w:tc>
          <w:tcPr>
            <w:tcW w:w="427" w:type="dxa"/>
            <w:shd w:val="clear" w:color="auto" w:fill="auto"/>
            <w:vAlign w:val="center"/>
          </w:tcPr>
          <w:p w14:paraId="484818F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1357" w:type="dxa"/>
            <w:shd w:val="clear" w:color="auto" w:fill="auto"/>
            <w:vAlign w:val="center"/>
          </w:tcPr>
          <w:p w14:paraId="0BC699E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5213A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1" w:type="dxa"/>
            <w:shd w:val="clear" w:color="auto" w:fill="auto"/>
            <w:vAlign w:val="center"/>
          </w:tcPr>
          <w:p w14:paraId="7573105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二栋</w:t>
            </w:r>
          </w:p>
        </w:tc>
        <w:tc>
          <w:tcPr>
            <w:tcW w:w="0" w:type="auto"/>
            <w:shd w:val="clear" w:color="auto" w:fill="auto"/>
            <w:noWrap/>
            <w:vAlign w:val="center"/>
          </w:tcPr>
          <w:p w14:paraId="722D78A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机边破碎37</w:t>
            </w:r>
          </w:p>
        </w:tc>
        <w:tc>
          <w:tcPr>
            <w:tcW w:w="0" w:type="auto"/>
            <w:shd w:val="clear" w:color="auto" w:fill="auto"/>
            <w:noWrap/>
            <w:vAlign w:val="center"/>
          </w:tcPr>
          <w:p w14:paraId="775F12E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726" w:type="dxa"/>
            <w:vMerge w:val="continue"/>
            <w:shd w:val="clear" w:color="auto" w:fill="auto"/>
            <w:vAlign w:val="center"/>
          </w:tcPr>
          <w:p w14:paraId="41C3380F">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3133465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57</w:t>
            </w:r>
          </w:p>
        </w:tc>
        <w:tc>
          <w:tcPr>
            <w:tcW w:w="496" w:type="dxa"/>
            <w:shd w:val="clear" w:color="auto" w:fill="auto"/>
            <w:noWrap/>
            <w:vAlign w:val="center"/>
          </w:tcPr>
          <w:p w14:paraId="6DC827E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7</w:t>
            </w:r>
          </w:p>
        </w:tc>
        <w:tc>
          <w:tcPr>
            <w:tcW w:w="480" w:type="dxa"/>
            <w:shd w:val="clear" w:color="auto" w:fill="auto"/>
            <w:noWrap/>
            <w:vAlign w:val="center"/>
          </w:tcPr>
          <w:p w14:paraId="2932FB0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61B1794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w:t>
            </w:r>
          </w:p>
        </w:tc>
        <w:tc>
          <w:tcPr>
            <w:tcW w:w="427" w:type="dxa"/>
            <w:shd w:val="clear" w:color="auto" w:fill="auto"/>
            <w:vAlign w:val="center"/>
          </w:tcPr>
          <w:p w14:paraId="7203EC3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34</w:t>
            </w:r>
          </w:p>
        </w:tc>
        <w:tc>
          <w:tcPr>
            <w:tcW w:w="427" w:type="dxa"/>
            <w:shd w:val="clear" w:color="auto" w:fill="auto"/>
            <w:vAlign w:val="center"/>
          </w:tcPr>
          <w:p w14:paraId="70EC0AB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33</w:t>
            </w:r>
          </w:p>
        </w:tc>
        <w:tc>
          <w:tcPr>
            <w:tcW w:w="585" w:type="dxa"/>
            <w:shd w:val="clear" w:color="auto" w:fill="auto"/>
            <w:vAlign w:val="center"/>
          </w:tcPr>
          <w:p w14:paraId="2863A16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46.2</w:t>
            </w:r>
          </w:p>
        </w:tc>
        <w:tc>
          <w:tcPr>
            <w:tcW w:w="427" w:type="dxa"/>
            <w:shd w:val="clear" w:color="auto" w:fill="auto"/>
            <w:vAlign w:val="center"/>
          </w:tcPr>
          <w:p w14:paraId="1739603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70</w:t>
            </w:r>
          </w:p>
        </w:tc>
        <w:tc>
          <w:tcPr>
            <w:tcW w:w="427" w:type="dxa"/>
            <w:shd w:val="clear" w:color="auto" w:fill="auto"/>
            <w:vAlign w:val="center"/>
          </w:tcPr>
          <w:p w14:paraId="68FD618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49</w:t>
            </w:r>
          </w:p>
        </w:tc>
        <w:tc>
          <w:tcPr>
            <w:tcW w:w="427" w:type="dxa"/>
            <w:shd w:val="clear" w:color="auto" w:fill="auto"/>
            <w:vAlign w:val="center"/>
          </w:tcPr>
          <w:p w14:paraId="20141D7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50</w:t>
            </w:r>
          </w:p>
        </w:tc>
        <w:tc>
          <w:tcPr>
            <w:tcW w:w="427" w:type="dxa"/>
            <w:shd w:val="clear" w:color="auto" w:fill="auto"/>
            <w:vAlign w:val="center"/>
          </w:tcPr>
          <w:p w14:paraId="4A694BF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47</w:t>
            </w:r>
          </w:p>
        </w:tc>
        <w:tc>
          <w:tcPr>
            <w:tcW w:w="860" w:type="dxa"/>
            <w:shd w:val="clear" w:color="auto" w:fill="auto"/>
            <w:vAlign w:val="center"/>
          </w:tcPr>
          <w:p w14:paraId="245632A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昼间</w:t>
            </w:r>
          </w:p>
        </w:tc>
        <w:tc>
          <w:tcPr>
            <w:tcW w:w="1291" w:type="dxa"/>
            <w:shd w:val="clear" w:color="auto" w:fill="auto"/>
            <w:vAlign w:val="center"/>
          </w:tcPr>
          <w:p w14:paraId="5BD3B4F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48D212A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44</w:t>
            </w:r>
          </w:p>
        </w:tc>
        <w:tc>
          <w:tcPr>
            <w:tcW w:w="427" w:type="dxa"/>
            <w:shd w:val="clear" w:color="auto" w:fill="auto"/>
            <w:vAlign w:val="center"/>
          </w:tcPr>
          <w:p w14:paraId="56CAFEF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23</w:t>
            </w:r>
          </w:p>
        </w:tc>
        <w:tc>
          <w:tcPr>
            <w:tcW w:w="427" w:type="dxa"/>
            <w:shd w:val="clear" w:color="auto" w:fill="auto"/>
            <w:vAlign w:val="center"/>
          </w:tcPr>
          <w:p w14:paraId="0FA2DE2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24</w:t>
            </w:r>
          </w:p>
        </w:tc>
        <w:tc>
          <w:tcPr>
            <w:tcW w:w="427" w:type="dxa"/>
            <w:shd w:val="clear" w:color="auto" w:fill="auto"/>
            <w:vAlign w:val="center"/>
          </w:tcPr>
          <w:p w14:paraId="0540DC1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21</w:t>
            </w:r>
          </w:p>
        </w:tc>
        <w:tc>
          <w:tcPr>
            <w:tcW w:w="1357" w:type="dxa"/>
            <w:shd w:val="clear" w:color="auto" w:fill="auto"/>
            <w:vAlign w:val="center"/>
          </w:tcPr>
          <w:p w14:paraId="00E3D2B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77568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1" w:type="dxa"/>
            <w:shd w:val="clear" w:color="auto" w:fill="auto"/>
            <w:vAlign w:val="center"/>
          </w:tcPr>
          <w:p w14:paraId="18CEF8B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二栋</w:t>
            </w:r>
          </w:p>
        </w:tc>
        <w:tc>
          <w:tcPr>
            <w:tcW w:w="0" w:type="auto"/>
            <w:shd w:val="clear" w:color="auto" w:fill="auto"/>
            <w:noWrap/>
            <w:vAlign w:val="center"/>
          </w:tcPr>
          <w:p w14:paraId="17FE087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机边破碎38</w:t>
            </w:r>
          </w:p>
        </w:tc>
        <w:tc>
          <w:tcPr>
            <w:tcW w:w="0" w:type="auto"/>
            <w:shd w:val="clear" w:color="auto" w:fill="auto"/>
            <w:noWrap/>
            <w:vAlign w:val="center"/>
          </w:tcPr>
          <w:p w14:paraId="09BDE2C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726" w:type="dxa"/>
            <w:vMerge w:val="continue"/>
            <w:shd w:val="clear" w:color="auto" w:fill="auto"/>
            <w:vAlign w:val="center"/>
          </w:tcPr>
          <w:p w14:paraId="48D3B08F">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5FD8E71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57</w:t>
            </w:r>
          </w:p>
        </w:tc>
        <w:tc>
          <w:tcPr>
            <w:tcW w:w="496" w:type="dxa"/>
            <w:shd w:val="clear" w:color="auto" w:fill="auto"/>
            <w:noWrap/>
            <w:vAlign w:val="center"/>
          </w:tcPr>
          <w:p w14:paraId="161AD54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18</w:t>
            </w:r>
          </w:p>
        </w:tc>
        <w:tc>
          <w:tcPr>
            <w:tcW w:w="480" w:type="dxa"/>
            <w:shd w:val="clear" w:color="auto" w:fill="auto"/>
            <w:noWrap/>
            <w:vAlign w:val="center"/>
          </w:tcPr>
          <w:p w14:paraId="59F1563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4730474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w:t>
            </w:r>
          </w:p>
        </w:tc>
        <w:tc>
          <w:tcPr>
            <w:tcW w:w="427" w:type="dxa"/>
            <w:shd w:val="clear" w:color="auto" w:fill="auto"/>
            <w:vAlign w:val="center"/>
          </w:tcPr>
          <w:p w14:paraId="4BA9D66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45</w:t>
            </w:r>
          </w:p>
        </w:tc>
        <w:tc>
          <w:tcPr>
            <w:tcW w:w="427" w:type="dxa"/>
            <w:shd w:val="clear" w:color="auto" w:fill="auto"/>
            <w:vAlign w:val="center"/>
          </w:tcPr>
          <w:p w14:paraId="5B4C752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33</w:t>
            </w:r>
          </w:p>
        </w:tc>
        <w:tc>
          <w:tcPr>
            <w:tcW w:w="585" w:type="dxa"/>
            <w:shd w:val="clear" w:color="auto" w:fill="auto"/>
            <w:vAlign w:val="center"/>
          </w:tcPr>
          <w:p w14:paraId="35EB296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35.2</w:t>
            </w:r>
          </w:p>
        </w:tc>
        <w:tc>
          <w:tcPr>
            <w:tcW w:w="427" w:type="dxa"/>
            <w:shd w:val="clear" w:color="auto" w:fill="auto"/>
            <w:vAlign w:val="center"/>
          </w:tcPr>
          <w:p w14:paraId="7C697F1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70</w:t>
            </w:r>
          </w:p>
        </w:tc>
        <w:tc>
          <w:tcPr>
            <w:tcW w:w="427" w:type="dxa"/>
            <w:shd w:val="clear" w:color="auto" w:fill="auto"/>
            <w:vAlign w:val="center"/>
          </w:tcPr>
          <w:p w14:paraId="0E12244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47</w:t>
            </w:r>
          </w:p>
        </w:tc>
        <w:tc>
          <w:tcPr>
            <w:tcW w:w="427" w:type="dxa"/>
            <w:shd w:val="clear" w:color="auto" w:fill="auto"/>
            <w:vAlign w:val="center"/>
          </w:tcPr>
          <w:p w14:paraId="2860E10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50</w:t>
            </w:r>
          </w:p>
        </w:tc>
        <w:tc>
          <w:tcPr>
            <w:tcW w:w="427" w:type="dxa"/>
            <w:shd w:val="clear" w:color="auto" w:fill="auto"/>
            <w:vAlign w:val="center"/>
          </w:tcPr>
          <w:p w14:paraId="439D018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49</w:t>
            </w:r>
          </w:p>
        </w:tc>
        <w:tc>
          <w:tcPr>
            <w:tcW w:w="860" w:type="dxa"/>
            <w:shd w:val="clear" w:color="auto" w:fill="auto"/>
            <w:vAlign w:val="center"/>
          </w:tcPr>
          <w:p w14:paraId="677ED7D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昼间</w:t>
            </w:r>
          </w:p>
        </w:tc>
        <w:tc>
          <w:tcPr>
            <w:tcW w:w="1291" w:type="dxa"/>
            <w:shd w:val="clear" w:color="auto" w:fill="auto"/>
            <w:vAlign w:val="center"/>
          </w:tcPr>
          <w:p w14:paraId="624DF58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72C583F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44</w:t>
            </w:r>
          </w:p>
        </w:tc>
        <w:tc>
          <w:tcPr>
            <w:tcW w:w="427" w:type="dxa"/>
            <w:shd w:val="clear" w:color="auto" w:fill="auto"/>
            <w:vAlign w:val="center"/>
          </w:tcPr>
          <w:p w14:paraId="35E086E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21</w:t>
            </w:r>
          </w:p>
        </w:tc>
        <w:tc>
          <w:tcPr>
            <w:tcW w:w="427" w:type="dxa"/>
            <w:shd w:val="clear" w:color="auto" w:fill="auto"/>
            <w:vAlign w:val="center"/>
          </w:tcPr>
          <w:p w14:paraId="4456324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24</w:t>
            </w:r>
          </w:p>
        </w:tc>
        <w:tc>
          <w:tcPr>
            <w:tcW w:w="427" w:type="dxa"/>
            <w:shd w:val="clear" w:color="auto" w:fill="auto"/>
            <w:vAlign w:val="center"/>
          </w:tcPr>
          <w:p w14:paraId="4988FA1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23</w:t>
            </w:r>
          </w:p>
        </w:tc>
        <w:tc>
          <w:tcPr>
            <w:tcW w:w="1357" w:type="dxa"/>
            <w:shd w:val="clear" w:color="auto" w:fill="auto"/>
            <w:vAlign w:val="center"/>
          </w:tcPr>
          <w:p w14:paraId="7FE2855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4CB8A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1" w:type="dxa"/>
            <w:shd w:val="clear" w:color="auto" w:fill="auto"/>
            <w:vAlign w:val="center"/>
          </w:tcPr>
          <w:p w14:paraId="07C7D2F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二栋</w:t>
            </w:r>
          </w:p>
        </w:tc>
        <w:tc>
          <w:tcPr>
            <w:tcW w:w="0" w:type="auto"/>
            <w:shd w:val="clear" w:color="auto" w:fill="auto"/>
            <w:noWrap/>
            <w:vAlign w:val="center"/>
          </w:tcPr>
          <w:p w14:paraId="6B30265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机边破碎39</w:t>
            </w:r>
          </w:p>
        </w:tc>
        <w:tc>
          <w:tcPr>
            <w:tcW w:w="0" w:type="auto"/>
            <w:shd w:val="clear" w:color="auto" w:fill="auto"/>
            <w:noWrap/>
            <w:vAlign w:val="center"/>
          </w:tcPr>
          <w:p w14:paraId="68B5673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726" w:type="dxa"/>
            <w:vMerge w:val="continue"/>
            <w:shd w:val="clear" w:color="auto" w:fill="auto"/>
            <w:vAlign w:val="center"/>
          </w:tcPr>
          <w:p w14:paraId="0B4FA7C8">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5EBE979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57</w:t>
            </w:r>
          </w:p>
        </w:tc>
        <w:tc>
          <w:tcPr>
            <w:tcW w:w="496" w:type="dxa"/>
            <w:shd w:val="clear" w:color="auto" w:fill="auto"/>
            <w:noWrap/>
            <w:vAlign w:val="center"/>
          </w:tcPr>
          <w:p w14:paraId="06FE00E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22</w:t>
            </w:r>
          </w:p>
        </w:tc>
        <w:tc>
          <w:tcPr>
            <w:tcW w:w="480" w:type="dxa"/>
            <w:shd w:val="clear" w:color="auto" w:fill="auto"/>
            <w:noWrap/>
            <w:vAlign w:val="center"/>
          </w:tcPr>
          <w:p w14:paraId="5FCC790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06861D0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w:t>
            </w:r>
          </w:p>
        </w:tc>
        <w:tc>
          <w:tcPr>
            <w:tcW w:w="427" w:type="dxa"/>
            <w:shd w:val="clear" w:color="auto" w:fill="auto"/>
            <w:vAlign w:val="center"/>
          </w:tcPr>
          <w:p w14:paraId="66E43BE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49</w:t>
            </w:r>
          </w:p>
        </w:tc>
        <w:tc>
          <w:tcPr>
            <w:tcW w:w="427" w:type="dxa"/>
            <w:shd w:val="clear" w:color="auto" w:fill="auto"/>
            <w:vAlign w:val="center"/>
          </w:tcPr>
          <w:p w14:paraId="61BF76F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33</w:t>
            </w:r>
          </w:p>
        </w:tc>
        <w:tc>
          <w:tcPr>
            <w:tcW w:w="585" w:type="dxa"/>
            <w:shd w:val="clear" w:color="auto" w:fill="auto"/>
            <w:vAlign w:val="center"/>
          </w:tcPr>
          <w:p w14:paraId="5C9D030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31.2</w:t>
            </w:r>
          </w:p>
        </w:tc>
        <w:tc>
          <w:tcPr>
            <w:tcW w:w="427" w:type="dxa"/>
            <w:shd w:val="clear" w:color="auto" w:fill="auto"/>
            <w:vAlign w:val="center"/>
          </w:tcPr>
          <w:p w14:paraId="45879CF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70</w:t>
            </w:r>
          </w:p>
        </w:tc>
        <w:tc>
          <w:tcPr>
            <w:tcW w:w="427" w:type="dxa"/>
            <w:shd w:val="clear" w:color="auto" w:fill="auto"/>
            <w:vAlign w:val="center"/>
          </w:tcPr>
          <w:p w14:paraId="4AE022B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46</w:t>
            </w:r>
          </w:p>
        </w:tc>
        <w:tc>
          <w:tcPr>
            <w:tcW w:w="427" w:type="dxa"/>
            <w:shd w:val="clear" w:color="auto" w:fill="auto"/>
            <w:vAlign w:val="center"/>
          </w:tcPr>
          <w:p w14:paraId="6FF34E7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50</w:t>
            </w:r>
          </w:p>
        </w:tc>
        <w:tc>
          <w:tcPr>
            <w:tcW w:w="427" w:type="dxa"/>
            <w:shd w:val="clear" w:color="auto" w:fill="auto"/>
            <w:vAlign w:val="center"/>
          </w:tcPr>
          <w:p w14:paraId="3ACCCC3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50</w:t>
            </w:r>
          </w:p>
        </w:tc>
        <w:tc>
          <w:tcPr>
            <w:tcW w:w="860" w:type="dxa"/>
            <w:shd w:val="clear" w:color="auto" w:fill="auto"/>
            <w:vAlign w:val="center"/>
          </w:tcPr>
          <w:p w14:paraId="40A34B5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昼间</w:t>
            </w:r>
          </w:p>
        </w:tc>
        <w:tc>
          <w:tcPr>
            <w:tcW w:w="1291" w:type="dxa"/>
            <w:shd w:val="clear" w:color="auto" w:fill="auto"/>
            <w:vAlign w:val="center"/>
          </w:tcPr>
          <w:p w14:paraId="4FA4F1B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16D7C7D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44</w:t>
            </w:r>
          </w:p>
        </w:tc>
        <w:tc>
          <w:tcPr>
            <w:tcW w:w="427" w:type="dxa"/>
            <w:shd w:val="clear" w:color="auto" w:fill="auto"/>
            <w:vAlign w:val="center"/>
          </w:tcPr>
          <w:p w14:paraId="7280B57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3D78E31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24</w:t>
            </w:r>
          </w:p>
        </w:tc>
        <w:tc>
          <w:tcPr>
            <w:tcW w:w="427" w:type="dxa"/>
            <w:shd w:val="clear" w:color="auto" w:fill="auto"/>
            <w:vAlign w:val="center"/>
          </w:tcPr>
          <w:p w14:paraId="4901B94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24</w:t>
            </w:r>
          </w:p>
        </w:tc>
        <w:tc>
          <w:tcPr>
            <w:tcW w:w="1357" w:type="dxa"/>
            <w:shd w:val="clear" w:color="auto" w:fill="auto"/>
            <w:vAlign w:val="center"/>
          </w:tcPr>
          <w:p w14:paraId="14513AF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3817B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1" w:type="dxa"/>
            <w:shd w:val="clear" w:color="auto" w:fill="auto"/>
            <w:vAlign w:val="center"/>
          </w:tcPr>
          <w:p w14:paraId="6D31A5C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二栋</w:t>
            </w:r>
          </w:p>
        </w:tc>
        <w:tc>
          <w:tcPr>
            <w:tcW w:w="0" w:type="auto"/>
            <w:shd w:val="clear" w:color="auto" w:fill="auto"/>
            <w:noWrap/>
            <w:vAlign w:val="center"/>
          </w:tcPr>
          <w:p w14:paraId="34E12D8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机边破碎40</w:t>
            </w:r>
          </w:p>
        </w:tc>
        <w:tc>
          <w:tcPr>
            <w:tcW w:w="0" w:type="auto"/>
            <w:shd w:val="clear" w:color="auto" w:fill="auto"/>
            <w:noWrap/>
            <w:vAlign w:val="center"/>
          </w:tcPr>
          <w:p w14:paraId="669E95B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726" w:type="dxa"/>
            <w:vMerge w:val="continue"/>
            <w:shd w:val="clear" w:color="auto" w:fill="auto"/>
            <w:vAlign w:val="center"/>
          </w:tcPr>
          <w:p w14:paraId="3C31539B">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1B98F26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57</w:t>
            </w:r>
          </w:p>
        </w:tc>
        <w:tc>
          <w:tcPr>
            <w:tcW w:w="496" w:type="dxa"/>
            <w:shd w:val="clear" w:color="auto" w:fill="auto"/>
            <w:noWrap/>
            <w:vAlign w:val="center"/>
          </w:tcPr>
          <w:p w14:paraId="55E685E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25</w:t>
            </w:r>
          </w:p>
        </w:tc>
        <w:tc>
          <w:tcPr>
            <w:tcW w:w="480" w:type="dxa"/>
            <w:shd w:val="clear" w:color="auto" w:fill="auto"/>
            <w:noWrap/>
            <w:vAlign w:val="center"/>
          </w:tcPr>
          <w:p w14:paraId="0B757B1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26B5441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w:t>
            </w:r>
          </w:p>
        </w:tc>
        <w:tc>
          <w:tcPr>
            <w:tcW w:w="427" w:type="dxa"/>
            <w:shd w:val="clear" w:color="auto" w:fill="auto"/>
            <w:vAlign w:val="center"/>
          </w:tcPr>
          <w:p w14:paraId="48B15FD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52</w:t>
            </w:r>
          </w:p>
        </w:tc>
        <w:tc>
          <w:tcPr>
            <w:tcW w:w="427" w:type="dxa"/>
            <w:shd w:val="clear" w:color="auto" w:fill="auto"/>
            <w:vAlign w:val="center"/>
          </w:tcPr>
          <w:p w14:paraId="3565D82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33</w:t>
            </w:r>
          </w:p>
        </w:tc>
        <w:tc>
          <w:tcPr>
            <w:tcW w:w="585" w:type="dxa"/>
            <w:shd w:val="clear" w:color="auto" w:fill="auto"/>
            <w:vAlign w:val="center"/>
          </w:tcPr>
          <w:p w14:paraId="6D2CBC1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28.2</w:t>
            </w:r>
          </w:p>
        </w:tc>
        <w:tc>
          <w:tcPr>
            <w:tcW w:w="427" w:type="dxa"/>
            <w:shd w:val="clear" w:color="auto" w:fill="auto"/>
            <w:vAlign w:val="center"/>
          </w:tcPr>
          <w:p w14:paraId="302F3D9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70</w:t>
            </w:r>
          </w:p>
        </w:tc>
        <w:tc>
          <w:tcPr>
            <w:tcW w:w="427" w:type="dxa"/>
            <w:shd w:val="clear" w:color="auto" w:fill="auto"/>
            <w:vAlign w:val="center"/>
          </w:tcPr>
          <w:p w14:paraId="14D92E6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46</w:t>
            </w:r>
          </w:p>
        </w:tc>
        <w:tc>
          <w:tcPr>
            <w:tcW w:w="427" w:type="dxa"/>
            <w:shd w:val="clear" w:color="auto" w:fill="auto"/>
            <w:vAlign w:val="center"/>
          </w:tcPr>
          <w:p w14:paraId="10906BF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50</w:t>
            </w:r>
          </w:p>
        </w:tc>
        <w:tc>
          <w:tcPr>
            <w:tcW w:w="427" w:type="dxa"/>
            <w:shd w:val="clear" w:color="auto" w:fill="auto"/>
            <w:vAlign w:val="center"/>
          </w:tcPr>
          <w:p w14:paraId="31E0EE8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51</w:t>
            </w:r>
          </w:p>
        </w:tc>
        <w:tc>
          <w:tcPr>
            <w:tcW w:w="860" w:type="dxa"/>
            <w:shd w:val="clear" w:color="auto" w:fill="auto"/>
            <w:vAlign w:val="center"/>
          </w:tcPr>
          <w:p w14:paraId="53C66CD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昼间</w:t>
            </w:r>
          </w:p>
        </w:tc>
        <w:tc>
          <w:tcPr>
            <w:tcW w:w="1291" w:type="dxa"/>
            <w:shd w:val="clear" w:color="auto" w:fill="auto"/>
            <w:vAlign w:val="center"/>
          </w:tcPr>
          <w:p w14:paraId="4F48819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50BDC85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44</w:t>
            </w:r>
          </w:p>
        </w:tc>
        <w:tc>
          <w:tcPr>
            <w:tcW w:w="427" w:type="dxa"/>
            <w:shd w:val="clear" w:color="auto" w:fill="auto"/>
            <w:vAlign w:val="center"/>
          </w:tcPr>
          <w:p w14:paraId="1B43313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3856502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24</w:t>
            </w:r>
          </w:p>
        </w:tc>
        <w:tc>
          <w:tcPr>
            <w:tcW w:w="427" w:type="dxa"/>
            <w:shd w:val="clear" w:color="auto" w:fill="auto"/>
            <w:vAlign w:val="center"/>
          </w:tcPr>
          <w:p w14:paraId="3B03060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25</w:t>
            </w:r>
          </w:p>
        </w:tc>
        <w:tc>
          <w:tcPr>
            <w:tcW w:w="1357" w:type="dxa"/>
            <w:shd w:val="clear" w:color="auto" w:fill="auto"/>
            <w:vAlign w:val="center"/>
          </w:tcPr>
          <w:p w14:paraId="3CEA498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42577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681" w:type="dxa"/>
            <w:shd w:val="clear" w:color="auto" w:fill="auto"/>
            <w:vAlign w:val="center"/>
          </w:tcPr>
          <w:p w14:paraId="53BCBAD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二栋</w:t>
            </w:r>
          </w:p>
        </w:tc>
        <w:tc>
          <w:tcPr>
            <w:tcW w:w="0" w:type="auto"/>
            <w:shd w:val="clear" w:color="auto" w:fill="auto"/>
            <w:noWrap/>
            <w:vAlign w:val="center"/>
          </w:tcPr>
          <w:p w14:paraId="7E0E48A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机边破碎41</w:t>
            </w:r>
          </w:p>
        </w:tc>
        <w:tc>
          <w:tcPr>
            <w:tcW w:w="0" w:type="auto"/>
            <w:shd w:val="clear" w:color="auto" w:fill="auto"/>
            <w:noWrap/>
            <w:vAlign w:val="center"/>
          </w:tcPr>
          <w:p w14:paraId="3C3D0E2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726" w:type="dxa"/>
            <w:vMerge w:val="continue"/>
            <w:shd w:val="clear" w:color="auto" w:fill="auto"/>
            <w:vAlign w:val="center"/>
          </w:tcPr>
          <w:p w14:paraId="6D19D129">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6AAA8BE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57</w:t>
            </w:r>
          </w:p>
        </w:tc>
        <w:tc>
          <w:tcPr>
            <w:tcW w:w="496" w:type="dxa"/>
            <w:shd w:val="clear" w:color="auto" w:fill="auto"/>
            <w:noWrap/>
            <w:vAlign w:val="center"/>
          </w:tcPr>
          <w:p w14:paraId="2BA9C84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30</w:t>
            </w:r>
          </w:p>
        </w:tc>
        <w:tc>
          <w:tcPr>
            <w:tcW w:w="480" w:type="dxa"/>
            <w:shd w:val="clear" w:color="auto" w:fill="auto"/>
            <w:noWrap/>
            <w:vAlign w:val="center"/>
          </w:tcPr>
          <w:p w14:paraId="6E05070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1BE5772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w:t>
            </w:r>
          </w:p>
        </w:tc>
        <w:tc>
          <w:tcPr>
            <w:tcW w:w="427" w:type="dxa"/>
            <w:shd w:val="clear" w:color="auto" w:fill="auto"/>
            <w:vAlign w:val="center"/>
          </w:tcPr>
          <w:p w14:paraId="610F1A3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57</w:t>
            </w:r>
          </w:p>
        </w:tc>
        <w:tc>
          <w:tcPr>
            <w:tcW w:w="427" w:type="dxa"/>
            <w:shd w:val="clear" w:color="auto" w:fill="auto"/>
            <w:vAlign w:val="center"/>
          </w:tcPr>
          <w:p w14:paraId="746028B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33</w:t>
            </w:r>
          </w:p>
        </w:tc>
        <w:tc>
          <w:tcPr>
            <w:tcW w:w="585" w:type="dxa"/>
            <w:shd w:val="clear" w:color="auto" w:fill="auto"/>
            <w:vAlign w:val="center"/>
          </w:tcPr>
          <w:p w14:paraId="789BD02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23.2</w:t>
            </w:r>
          </w:p>
        </w:tc>
        <w:tc>
          <w:tcPr>
            <w:tcW w:w="427" w:type="dxa"/>
            <w:shd w:val="clear" w:color="auto" w:fill="auto"/>
            <w:vAlign w:val="center"/>
          </w:tcPr>
          <w:p w14:paraId="45A6F09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70</w:t>
            </w:r>
          </w:p>
        </w:tc>
        <w:tc>
          <w:tcPr>
            <w:tcW w:w="427" w:type="dxa"/>
            <w:shd w:val="clear" w:color="auto" w:fill="auto"/>
            <w:vAlign w:val="center"/>
          </w:tcPr>
          <w:p w14:paraId="6FEBC4E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45</w:t>
            </w:r>
          </w:p>
        </w:tc>
        <w:tc>
          <w:tcPr>
            <w:tcW w:w="427" w:type="dxa"/>
            <w:shd w:val="clear" w:color="auto" w:fill="auto"/>
            <w:vAlign w:val="center"/>
          </w:tcPr>
          <w:p w14:paraId="4EF955C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50</w:t>
            </w:r>
          </w:p>
        </w:tc>
        <w:tc>
          <w:tcPr>
            <w:tcW w:w="427" w:type="dxa"/>
            <w:shd w:val="clear" w:color="auto" w:fill="auto"/>
            <w:vAlign w:val="center"/>
          </w:tcPr>
          <w:p w14:paraId="25FC5FF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53</w:t>
            </w:r>
          </w:p>
        </w:tc>
        <w:tc>
          <w:tcPr>
            <w:tcW w:w="860" w:type="dxa"/>
            <w:shd w:val="clear" w:color="auto" w:fill="auto"/>
            <w:vAlign w:val="center"/>
          </w:tcPr>
          <w:p w14:paraId="19E812D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昼间</w:t>
            </w:r>
          </w:p>
        </w:tc>
        <w:tc>
          <w:tcPr>
            <w:tcW w:w="1291" w:type="dxa"/>
            <w:shd w:val="clear" w:color="auto" w:fill="auto"/>
            <w:vAlign w:val="center"/>
          </w:tcPr>
          <w:p w14:paraId="1899AB1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4EBCBC6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44</w:t>
            </w:r>
          </w:p>
        </w:tc>
        <w:tc>
          <w:tcPr>
            <w:tcW w:w="427" w:type="dxa"/>
            <w:shd w:val="clear" w:color="auto" w:fill="auto"/>
            <w:vAlign w:val="center"/>
          </w:tcPr>
          <w:p w14:paraId="2663199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19</w:t>
            </w:r>
          </w:p>
        </w:tc>
        <w:tc>
          <w:tcPr>
            <w:tcW w:w="427" w:type="dxa"/>
            <w:shd w:val="clear" w:color="auto" w:fill="auto"/>
            <w:vAlign w:val="center"/>
          </w:tcPr>
          <w:p w14:paraId="3D49E72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24</w:t>
            </w:r>
          </w:p>
        </w:tc>
        <w:tc>
          <w:tcPr>
            <w:tcW w:w="427" w:type="dxa"/>
            <w:shd w:val="clear" w:color="auto" w:fill="auto"/>
            <w:vAlign w:val="center"/>
          </w:tcPr>
          <w:p w14:paraId="29E8757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27</w:t>
            </w:r>
          </w:p>
        </w:tc>
        <w:tc>
          <w:tcPr>
            <w:tcW w:w="1357" w:type="dxa"/>
            <w:shd w:val="clear" w:color="auto" w:fill="auto"/>
            <w:vAlign w:val="center"/>
          </w:tcPr>
          <w:p w14:paraId="70A77B8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70B31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681" w:type="dxa"/>
            <w:shd w:val="clear" w:color="auto" w:fill="auto"/>
            <w:vAlign w:val="center"/>
          </w:tcPr>
          <w:p w14:paraId="5900B53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二栋</w:t>
            </w:r>
          </w:p>
        </w:tc>
        <w:tc>
          <w:tcPr>
            <w:tcW w:w="0" w:type="auto"/>
            <w:shd w:val="clear" w:color="auto" w:fill="auto"/>
            <w:noWrap/>
            <w:vAlign w:val="center"/>
          </w:tcPr>
          <w:p w14:paraId="2B9D89A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机边破碎42</w:t>
            </w:r>
          </w:p>
        </w:tc>
        <w:tc>
          <w:tcPr>
            <w:tcW w:w="0" w:type="auto"/>
            <w:shd w:val="clear" w:color="auto" w:fill="auto"/>
            <w:noWrap/>
            <w:vAlign w:val="center"/>
          </w:tcPr>
          <w:p w14:paraId="5345E5E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726" w:type="dxa"/>
            <w:vMerge w:val="continue"/>
            <w:shd w:val="clear" w:color="auto" w:fill="auto"/>
            <w:vAlign w:val="center"/>
          </w:tcPr>
          <w:p w14:paraId="61C0F9E4">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5F1E171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57</w:t>
            </w:r>
          </w:p>
        </w:tc>
        <w:tc>
          <w:tcPr>
            <w:tcW w:w="496" w:type="dxa"/>
            <w:shd w:val="clear" w:color="auto" w:fill="auto"/>
            <w:noWrap/>
            <w:vAlign w:val="center"/>
          </w:tcPr>
          <w:p w14:paraId="417DE3A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36</w:t>
            </w:r>
          </w:p>
        </w:tc>
        <w:tc>
          <w:tcPr>
            <w:tcW w:w="480" w:type="dxa"/>
            <w:shd w:val="clear" w:color="auto" w:fill="auto"/>
            <w:noWrap/>
            <w:vAlign w:val="center"/>
          </w:tcPr>
          <w:p w14:paraId="4751730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58325C5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w:t>
            </w:r>
          </w:p>
        </w:tc>
        <w:tc>
          <w:tcPr>
            <w:tcW w:w="427" w:type="dxa"/>
            <w:shd w:val="clear" w:color="auto" w:fill="auto"/>
            <w:vAlign w:val="center"/>
          </w:tcPr>
          <w:p w14:paraId="1061E53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63</w:t>
            </w:r>
          </w:p>
        </w:tc>
        <w:tc>
          <w:tcPr>
            <w:tcW w:w="427" w:type="dxa"/>
            <w:shd w:val="clear" w:color="auto" w:fill="auto"/>
            <w:vAlign w:val="center"/>
          </w:tcPr>
          <w:p w14:paraId="277FF9C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33</w:t>
            </w:r>
          </w:p>
        </w:tc>
        <w:tc>
          <w:tcPr>
            <w:tcW w:w="585" w:type="dxa"/>
            <w:shd w:val="clear" w:color="auto" w:fill="auto"/>
            <w:vAlign w:val="center"/>
          </w:tcPr>
          <w:p w14:paraId="57FDD53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17.2</w:t>
            </w:r>
          </w:p>
        </w:tc>
        <w:tc>
          <w:tcPr>
            <w:tcW w:w="427" w:type="dxa"/>
            <w:shd w:val="clear" w:color="auto" w:fill="auto"/>
            <w:vAlign w:val="center"/>
          </w:tcPr>
          <w:p w14:paraId="6BF6393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70</w:t>
            </w:r>
          </w:p>
        </w:tc>
        <w:tc>
          <w:tcPr>
            <w:tcW w:w="427" w:type="dxa"/>
            <w:shd w:val="clear" w:color="auto" w:fill="auto"/>
            <w:vAlign w:val="center"/>
          </w:tcPr>
          <w:p w14:paraId="5E36F07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44</w:t>
            </w:r>
          </w:p>
        </w:tc>
        <w:tc>
          <w:tcPr>
            <w:tcW w:w="427" w:type="dxa"/>
            <w:shd w:val="clear" w:color="auto" w:fill="auto"/>
            <w:vAlign w:val="center"/>
          </w:tcPr>
          <w:p w14:paraId="3413C2D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50</w:t>
            </w:r>
          </w:p>
        </w:tc>
        <w:tc>
          <w:tcPr>
            <w:tcW w:w="427" w:type="dxa"/>
            <w:shd w:val="clear" w:color="auto" w:fill="auto"/>
            <w:vAlign w:val="center"/>
          </w:tcPr>
          <w:p w14:paraId="1791CA4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55</w:t>
            </w:r>
          </w:p>
        </w:tc>
        <w:tc>
          <w:tcPr>
            <w:tcW w:w="860" w:type="dxa"/>
            <w:shd w:val="clear" w:color="auto" w:fill="auto"/>
            <w:vAlign w:val="center"/>
          </w:tcPr>
          <w:p w14:paraId="0998658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昼间</w:t>
            </w:r>
          </w:p>
        </w:tc>
        <w:tc>
          <w:tcPr>
            <w:tcW w:w="1291" w:type="dxa"/>
            <w:shd w:val="clear" w:color="auto" w:fill="auto"/>
            <w:vAlign w:val="center"/>
          </w:tcPr>
          <w:p w14:paraId="4778B68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07214A8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44</w:t>
            </w:r>
          </w:p>
        </w:tc>
        <w:tc>
          <w:tcPr>
            <w:tcW w:w="427" w:type="dxa"/>
            <w:shd w:val="clear" w:color="auto" w:fill="auto"/>
            <w:vAlign w:val="center"/>
          </w:tcPr>
          <w:p w14:paraId="7D91ECB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18</w:t>
            </w:r>
          </w:p>
        </w:tc>
        <w:tc>
          <w:tcPr>
            <w:tcW w:w="427" w:type="dxa"/>
            <w:shd w:val="clear" w:color="auto" w:fill="auto"/>
            <w:vAlign w:val="center"/>
          </w:tcPr>
          <w:p w14:paraId="7729AD6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24</w:t>
            </w:r>
          </w:p>
        </w:tc>
        <w:tc>
          <w:tcPr>
            <w:tcW w:w="427" w:type="dxa"/>
            <w:shd w:val="clear" w:color="auto" w:fill="auto"/>
            <w:vAlign w:val="center"/>
          </w:tcPr>
          <w:p w14:paraId="409D9B0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29</w:t>
            </w:r>
          </w:p>
        </w:tc>
        <w:tc>
          <w:tcPr>
            <w:tcW w:w="1357" w:type="dxa"/>
            <w:shd w:val="clear" w:color="auto" w:fill="auto"/>
            <w:vAlign w:val="center"/>
          </w:tcPr>
          <w:p w14:paraId="493E0B2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4ED86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1" w:type="dxa"/>
            <w:shd w:val="clear" w:color="auto" w:fill="auto"/>
            <w:vAlign w:val="center"/>
          </w:tcPr>
          <w:p w14:paraId="5694CBBB">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一栋</w:t>
            </w:r>
          </w:p>
        </w:tc>
        <w:tc>
          <w:tcPr>
            <w:tcW w:w="0" w:type="auto"/>
            <w:shd w:val="clear" w:color="auto" w:fill="auto"/>
            <w:noWrap/>
            <w:vAlign w:val="center"/>
          </w:tcPr>
          <w:p w14:paraId="1ED986CC">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eastAsia" w:cs="Times New Roman"/>
                <w:i w:val="0"/>
                <w:iCs w:val="0"/>
                <w:color w:val="0000FF"/>
                <w:kern w:val="0"/>
                <w:sz w:val="21"/>
                <w:szCs w:val="21"/>
                <w:u w:val="none"/>
                <w:lang w:val="en-US" w:eastAsia="zh-CN" w:bidi="ar"/>
              </w:rPr>
              <w:t>集中破碎</w:t>
            </w:r>
            <w:r>
              <w:rPr>
                <w:rFonts w:hint="default" w:ascii="Times New Roman" w:hAnsi="Times New Roman" w:eastAsia="宋体" w:cs="Times New Roman"/>
                <w:i w:val="0"/>
                <w:iCs w:val="0"/>
                <w:color w:val="0000FF"/>
                <w:kern w:val="0"/>
                <w:sz w:val="21"/>
                <w:szCs w:val="21"/>
                <w:u w:val="none"/>
                <w:lang w:val="en-US" w:eastAsia="zh-CN" w:bidi="ar"/>
              </w:rPr>
              <w:t>1</w:t>
            </w:r>
          </w:p>
        </w:tc>
        <w:tc>
          <w:tcPr>
            <w:tcW w:w="0" w:type="auto"/>
            <w:shd w:val="clear" w:color="auto" w:fill="auto"/>
            <w:noWrap/>
            <w:vAlign w:val="center"/>
          </w:tcPr>
          <w:p w14:paraId="78CDA33C">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85</w:t>
            </w:r>
          </w:p>
        </w:tc>
        <w:tc>
          <w:tcPr>
            <w:tcW w:w="726" w:type="dxa"/>
            <w:vMerge w:val="continue"/>
            <w:shd w:val="clear" w:color="auto" w:fill="auto"/>
            <w:vAlign w:val="center"/>
          </w:tcPr>
          <w:p w14:paraId="26838D3C">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7F6074B8">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-3</w:t>
            </w:r>
            <w:r>
              <w:rPr>
                <w:rFonts w:hint="eastAsia" w:cs="Times New Roman"/>
                <w:i w:val="0"/>
                <w:iCs w:val="0"/>
                <w:color w:val="0000FF"/>
                <w:kern w:val="0"/>
                <w:sz w:val="21"/>
                <w:szCs w:val="21"/>
                <w:u w:val="none"/>
                <w:lang w:val="en-US" w:eastAsia="zh-CN" w:bidi="ar"/>
              </w:rPr>
              <w:t>0</w:t>
            </w:r>
          </w:p>
        </w:tc>
        <w:tc>
          <w:tcPr>
            <w:tcW w:w="496" w:type="dxa"/>
            <w:shd w:val="clear" w:color="auto" w:fill="auto"/>
            <w:noWrap/>
            <w:vAlign w:val="center"/>
          </w:tcPr>
          <w:p w14:paraId="029DB176">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eastAsia" w:cs="Times New Roman"/>
                <w:i w:val="0"/>
                <w:iCs w:val="0"/>
                <w:color w:val="0000FF"/>
                <w:kern w:val="0"/>
                <w:sz w:val="21"/>
                <w:szCs w:val="21"/>
                <w:u w:val="none"/>
                <w:lang w:val="en-US" w:eastAsia="zh-CN" w:bidi="ar"/>
              </w:rPr>
              <w:t>26</w:t>
            </w:r>
          </w:p>
        </w:tc>
        <w:tc>
          <w:tcPr>
            <w:tcW w:w="480" w:type="dxa"/>
            <w:shd w:val="clear" w:color="auto" w:fill="auto"/>
            <w:noWrap/>
            <w:vAlign w:val="center"/>
          </w:tcPr>
          <w:p w14:paraId="6D749BD3">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1409C28C">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1</w:t>
            </w:r>
          </w:p>
        </w:tc>
        <w:tc>
          <w:tcPr>
            <w:tcW w:w="427" w:type="dxa"/>
            <w:shd w:val="clear" w:color="auto" w:fill="auto"/>
            <w:vAlign w:val="center"/>
          </w:tcPr>
          <w:p w14:paraId="7279D266">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52</w:t>
            </w:r>
          </w:p>
        </w:tc>
        <w:tc>
          <w:tcPr>
            <w:tcW w:w="427" w:type="dxa"/>
            <w:shd w:val="clear" w:color="auto" w:fill="auto"/>
            <w:vAlign w:val="center"/>
          </w:tcPr>
          <w:p w14:paraId="34632E3B">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35</w:t>
            </w:r>
          </w:p>
        </w:tc>
        <w:tc>
          <w:tcPr>
            <w:tcW w:w="585" w:type="dxa"/>
            <w:shd w:val="clear" w:color="auto" w:fill="auto"/>
            <w:vAlign w:val="center"/>
          </w:tcPr>
          <w:p w14:paraId="16CF3FC8">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28.2</w:t>
            </w:r>
          </w:p>
        </w:tc>
        <w:tc>
          <w:tcPr>
            <w:tcW w:w="427" w:type="dxa"/>
            <w:shd w:val="clear" w:color="auto" w:fill="auto"/>
            <w:vAlign w:val="center"/>
          </w:tcPr>
          <w:p w14:paraId="20C70228">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等线" w:cs="Times New Roman"/>
                <w:i w:val="0"/>
                <w:iCs w:val="0"/>
                <w:color w:val="0000FF"/>
                <w:kern w:val="0"/>
                <w:sz w:val="21"/>
                <w:szCs w:val="21"/>
                <w:u w:val="none"/>
                <w:lang w:val="en-US" w:eastAsia="zh-CN" w:bidi="ar"/>
              </w:rPr>
              <w:t xml:space="preserve">85 </w:t>
            </w:r>
          </w:p>
        </w:tc>
        <w:tc>
          <w:tcPr>
            <w:tcW w:w="427" w:type="dxa"/>
            <w:shd w:val="clear" w:color="auto" w:fill="auto"/>
            <w:vAlign w:val="center"/>
          </w:tcPr>
          <w:p w14:paraId="5C4B635D">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等线" w:cs="Times New Roman"/>
                <w:i w:val="0"/>
                <w:iCs w:val="0"/>
                <w:color w:val="0000FF"/>
                <w:kern w:val="0"/>
                <w:sz w:val="21"/>
                <w:szCs w:val="21"/>
                <w:u w:val="none"/>
                <w:lang w:val="en-US" w:eastAsia="zh-CN" w:bidi="ar"/>
              </w:rPr>
              <w:t xml:space="preserve">51 </w:t>
            </w:r>
          </w:p>
        </w:tc>
        <w:tc>
          <w:tcPr>
            <w:tcW w:w="427" w:type="dxa"/>
            <w:shd w:val="clear" w:color="auto" w:fill="auto"/>
            <w:vAlign w:val="center"/>
          </w:tcPr>
          <w:p w14:paraId="67F9E946">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等线" w:cs="Times New Roman"/>
                <w:i w:val="0"/>
                <w:iCs w:val="0"/>
                <w:color w:val="0000FF"/>
                <w:kern w:val="0"/>
                <w:sz w:val="21"/>
                <w:szCs w:val="21"/>
                <w:u w:val="none"/>
                <w:lang w:val="en-US" w:eastAsia="zh-CN" w:bidi="ar"/>
              </w:rPr>
              <w:t xml:space="preserve">54 </w:t>
            </w:r>
          </w:p>
        </w:tc>
        <w:tc>
          <w:tcPr>
            <w:tcW w:w="427" w:type="dxa"/>
            <w:shd w:val="clear" w:color="auto" w:fill="auto"/>
            <w:vAlign w:val="center"/>
          </w:tcPr>
          <w:p w14:paraId="709063EA">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等线" w:cs="Times New Roman"/>
                <w:i w:val="0"/>
                <w:iCs w:val="0"/>
                <w:color w:val="0000FF"/>
                <w:kern w:val="0"/>
                <w:sz w:val="21"/>
                <w:szCs w:val="21"/>
                <w:u w:val="none"/>
                <w:lang w:val="en-US" w:eastAsia="zh-CN" w:bidi="ar"/>
              </w:rPr>
              <w:t xml:space="preserve">56 </w:t>
            </w:r>
          </w:p>
        </w:tc>
        <w:tc>
          <w:tcPr>
            <w:tcW w:w="860" w:type="dxa"/>
            <w:shd w:val="clear" w:color="auto" w:fill="auto"/>
            <w:vAlign w:val="center"/>
          </w:tcPr>
          <w:p w14:paraId="4762E810">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昼夜</w:t>
            </w:r>
          </w:p>
        </w:tc>
        <w:tc>
          <w:tcPr>
            <w:tcW w:w="1291" w:type="dxa"/>
            <w:shd w:val="clear" w:color="auto" w:fill="auto"/>
            <w:vAlign w:val="center"/>
          </w:tcPr>
          <w:p w14:paraId="2E2D5F19">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567C4E6E">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等线" w:cs="Times New Roman"/>
                <w:i w:val="0"/>
                <w:iCs w:val="0"/>
                <w:color w:val="0000FF"/>
                <w:kern w:val="0"/>
                <w:sz w:val="21"/>
                <w:szCs w:val="21"/>
                <w:u w:val="none"/>
                <w:lang w:val="en-US" w:eastAsia="zh-CN" w:bidi="ar"/>
              </w:rPr>
              <w:t xml:space="preserve">59 </w:t>
            </w:r>
          </w:p>
        </w:tc>
        <w:tc>
          <w:tcPr>
            <w:tcW w:w="427" w:type="dxa"/>
            <w:shd w:val="clear" w:color="auto" w:fill="auto"/>
            <w:vAlign w:val="center"/>
          </w:tcPr>
          <w:p w14:paraId="320055F5">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等线" w:cs="Times New Roman"/>
                <w:i w:val="0"/>
                <w:iCs w:val="0"/>
                <w:color w:val="0000FF"/>
                <w:kern w:val="0"/>
                <w:sz w:val="21"/>
                <w:szCs w:val="21"/>
                <w:u w:val="none"/>
                <w:lang w:val="en-US" w:eastAsia="zh-CN" w:bidi="ar"/>
              </w:rPr>
              <w:t xml:space="preserve">25 </w:t>
            </w:r>
          </w:p>
        </w:tc>
        <w:tc>
          <w:tcPr>
            <w:tcW w:w="427" w:type="dxa"/>
            <w:shd w:val="clear" w:color="auto" w:fill="auto"/>
            <w:vAlign w:val="center"/>
          </w:tcPr>
          <w:p w14:paraId="6F2A3F0C">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等线" w:cs="Times New Roman"/>
                <w:i w:val="0"/>
                <w:iCs w:val="0"/>
                <w:color w:val="0000FF"/>
                <w:kern w:val="0"/>
                <w:sz w:val="21"/>
                <w:szCs w:val="21"/>
                <w:u w:val="none"/>
                <w:lang w:val="en-US" w:eastAsia="zh-CN" w:bidi="ar"/>
              </w:rPr>
              <w:t xml:space="preserve">28 </w:t>
            </w:r>
          </w:p>
        </w:tc>
        <w:tc>
          <w:tcPr>
            <w:tcW w:w="427" w:type="dxa"/>
            <w:shd w:val="clear" w:color="auto" w:fill="auto"/>
            <w:vAlign w:val="center"/>
          </w:tcPr>
          <w:p w14:paraId="753F7326">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等线" w:cs="Times New Roman"/>
                <w:i w:val="0"/>
                <w:iCs w:val="0"/>
                <w:color w:val="0000FF"/>
                <w:kern w:val="0"/>
                <w:sz w:val="21"/>
                <w:szCs w:val="21"/>
                <w:u w:val="none"/>
                <w:lang w:val="en-US" w:eastAsia="zh-CN" w:bidi="ar"/>
              </w:rPr>
              <w:t xml:space="preserve">30 </w:t>
            </w:r>
          </w:p>
        </w:tc>
        <w:tc>
          <w:tcPr>
            <w:tcW w:w="1357" w:type="dxa"/>
            <w:shd w:val="clear" w:color="auto" w:fill="auto"/>
            <w:vAlign w:val="center"/>
          </w:tcPr>
          <w:p w14:paraId="2183E262">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2D1DC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681" w:type="dxa"/>
            <w:shd w:val="clear" w:color="auto" w:fill="auto"/>
            <w:vAlign w:val="center"/>
          </w:tcPr>
          <w:p w14:paraId="7408264A">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一栋</w:t>
            </w:r>
          </w:p>
        </w:tc>
        <w:tc>
          <w:tcPr>
            <w:tcW w:w="0" w:type="auto"/>
            <w:shd w:val="clear" w:color="auto" w:fill="auto"/>
            <w:noWrap/>
            <w:vAlign w:val="center"/>
          </w:tcPr>
          <w:p w14:paraId="4C21898A">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eastAsia" w:cs="Times New Roman"/>
                <w:i w:val="0"/>
                <w:iCs w:val="0"/>
                <w:color w:val="0000FF"/>
                <w:kern w:val="0"/>
                <w:sz w:val="21"/>
                <w:szCs w:val="21"/>
                <w:u w:val="none"/>
                <w:lang w:val="en-US" w:eastAsia="zh-CN" w:bidi="ar"/>
              </w:rPr>
              <w:t>集中破碎</w:t>
            </w:r>
            <w:r>
              <w:rPr>
                <w:rFonts w:hint="default" w:ascii="Times New Roman" w:hAnsi="Times New Roman" w:eastAsia="宋体" w:cs="Times New Roman"/>
                <w:i w:val="0"/>
                <w:iCs w:val="0"/>
                <w:color w:val="0000FF"/>
                <w:kern w:val="0"/>
                <w:sz w:val="21"/>
                <w:szCs w:val="21"/>
                <w:u w:val="none"/>
                <w:lang w:val="en-US" w:eastAsia="zh-CN" w:bidi="ar"/>
              </w:rPr>
              <w:t>2</w:t>
            </w:r>
          </w:p>
        </w:tc>
        <w:tc>
          <w:tcPr>
            <w:tcW w:w="0" w:type="auto"/>
            <w:shd w:val="clear" w:color="auto" w:fill="auto"/>
            <w:noWrap/>
            <w:vAlign w:val="center"/>
          </w:tcPr>
          <w:p w14:paraId="48301AC8">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85</w:t>
            </w:r>
          </w:p>
        </w:tc>
        <w:tc>
          <w:tcPr>
            <w:tcW w:w="726" w:type="dxa"/>
            <w:vMerge w:val="continue"/>
            <w:shd w:val="clear" w:color="auto" w:fill="auto"/>
            <w:vAlign w:val="center"/>
          </w:tcPr>
          <w:p w14:paraId="7622F342">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486D2398">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-3</w:t>
            </w:r>
            <w:r>
              <w:rPr>
                <w:rFonts w:hint="eastAsia" w:cs="Times New Roman"/>
                <w:i w:val="0"/>
                <w:iCs w:val="0"/>
                <w:color w:val="0000FF"/>
                <w:kern w:val="0"/>
                <w:sz w:val="21"/>
                <w:szCs w:val="21"/>
                <w:u w:val="none"/>
                <w:lang w:val="en-US" w:eastAsia="zh-CN" w:bidi="ar"/>
              </w:rPr>
              <w:t>0</w:t>
            </w:r>
          </w:p>
        </w:tc>
        <w:tc>
          <w:tcPr>
            <w:tcW w:w="496" w:type="dxa"/>
            <w:shd w:val="clear" w:color="auto" w:fill="auto"/>
            <w:noWrap/>
            <w:vAlign w:val="center"/>
          </w:tcPr>
          <w:p w14:paraId="375E2A92">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eastAsia" w:cs="Times New Roman"/>
                <w:i w:val="0"/>
                <w:iCs w:val="0"/>
                <w:color w:val="0000FF"/>
                <w:kern w:val="0"/>
                <w:sz w:val="21"/>
                <w:szCs w:val="21"/>
                <w:u w:val="none"/>
                <w:lang w:val="en-US" w:eastAsia="zh-CN" w:bidi="ar"/>
              </w:rPr>
              <w:t>26</w:t>
            </w:r>
          </w:p>
        </w:tc>
        <w:tc>
          <w:tcPr>
            <w:tcW w:w="480" w:type="dxa"/>
            <w:shd w:val="clear" w:color="auto" w:fill="auto"/>
            <w:noWrap/>
            <w:vAlign w:val="center"/>
          </w:tcPr>
          <w:p w14:paraId="24501E9D">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40AED495">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1</w:t>
            </w:r>
          </w:p>
        </w:tc>
        <w:tc>
          <w:tcPr>
            <w:tcW w:w="427" w:type="dxa"/>
            <w:shd w:val="clear" w:color="auto" w:fill="auto"/>
            <w:vAlign w:val="center"/>
          </w:tcPr>
          <w:p w14:paraId="13DCD33A">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52</w:t>
            </w:r>
          </w:p>
        </w:tc>
        <w:tc>
          <w:tcPr>
            <w:tcW w:w="427" w:type="dxa"/>
            <w:shd w:val="clear" w:color="auto" w:fill="auto"/>
            <w:vAlign w:val="center"/>
          </w:tcPr>
          <w:p w14:paraId="3B4A24FF">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35</w:t>
            </w:r>
          </w:p>
        </w:tc>
        <w:tc>
          <w:tcPr>
            <w:tcW w:w="585" w:type="dxa"/>
            <w:shd w:val="clear" w:color="auto" w:fill="auto"/>
            <w:vAlign w:val="center"/>
          </w:tcPr>
          <w:p w14:paraId="234D9CBE">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28.2</w:t>
            </w:r>
          </w:p>
        </w:tc>
        <w:tc>
          <w:tcPr>
            <w:tcW w:w="427" w:type="dxa"/>
            <w:shd w:val="clear" w:color="auto" w:fill="auto"/>
            <w:vAlign w:val="center"/>
          </w:tcPr>
          <w:p w14:paraId="1EB7B041">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等线" w:cs="Times New Roman"/>
                <w:i w:val="0"/>
                <w:iCs w:val="0"/>
                <w:color w:val="0000FF"/>
                <w:kern w:val="0"/>
                <w:sz w:val="21"/>
                <w:szCs w:val="21"/>
                <w:u w:val="none"/>
                <w:lang w:val="en-US" w:eastAsia="zh-CN" w:bidi="ar"/>
              </w:rPr>
              <w:t xml:space="preserve">85 </w:t>
            </w:r>
          </w:p>
        </w:tc>
        <w:tc>
          <w:tcPr>
            <w:tcW w:w="427" w:type="dxa"/>
            <w:shd w:val="clear" w:color="auto" w:fill="auto"/>
            <w:vAlign w:val="center"/>
          </w:tcPr>
          <w:p w14:paraId="662C03B0">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等线" w:cs="Times New Roman"/>
                <w:i w:val="0"/>
                <w:iCs w:val="0"/>
                <w:color w:val="0000FF"/>
                <w:kern w:val="0"/>
                <w:sz w:val="21"/>
                <w:szCs w:val="21"/>
                <w:u w:val="none"/>
                <w:lang w:val="en-US" w:eastAsia="zh-CN" w:bidi="ar"/>
              </w:rPr>
              <w:t xml:space="preserve">51 </w:t>
            </w:r>
          </w:p>
        </w:tc>
        <w:tc>
          <w:tcPr>
            <w:tcW w:w="427" w:type="dxa"/>
            <w:shd w:val="clear" w:color="auto" w:fill="auto"/>
            <w:vAlign w:val="center"/>
          </w:tcPr>
          <w:p w14:paraId="5691020A">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等线" w:cs="Times New Roman"/>
                <w:i w:val="0"/>
                <w:iCs w:val="0"/>
                <w:color w:val="0000FF"/>
                <w:kern w:val="0"/>
                <w:sz w:val="21"/>
                <w:szCs w:val="21"/>
                <w:u w:val="none"/>
                <w:lang w:val="en-US" w:eastAsia="zh-CN" w:bidi="ar"/>
              </w:rPr>
              <w:t xml:space="preserve">54 </w:t>
            </w:r>
          </w:p>
        </w:tc>
        <w:tc>
          <w:tcPr>
            <w:tcW w:w="427" w:type="dxa"/>
            <w:shd w:val="clear" w:color="auto" w:fill="auto"/>
            <w:vAlign w:val="center"/>
          </w:tcPr>
          <w:p w14:paraId="3DB1AFD3">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等线" w:cs="Times New Roman"/>
                <w:i w:val="0"/>
                <w:iCs w:val="0"/>
                <w:color w:val="0000FF"/>
                <w:kern w:val="0"/>
                <w:sz w:val="21"/>
                <w:szCs w:val="21"/>
                <w:u w:val="none"/>
                <w:lang w:val="en-US" w:eastAsia="zh-CN" w:bidi="ar"/>
              </w:rPr>
              <w:t xml:space="preserve">56 </w:t>
            </w:r>
          </w:p>
        </w:tc>
        <w:tc>
          <w:tcPr>
            <w:tcW w:w="860" w:type="dxa"/>
            <w:shd w:val="clear" w:color="auto" w:fill="auto"/>
            <w:vAlign w:val="center"/>
          </w:tcPr>
          <w:p w14:paraId="5B118479">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昼夜</w:t>
            </w:r>
          </w:p>
        </w:tc>
        <w:tc>
          <w:tcPr>
            <w:tcW w:w="1291" w:type="dxa"/>
            <w:shd w:val="clear" w:color="auto" w:fill="auto"/>
            <w:vAlign w:val="center"/>
          </w:tcPr>
          <w:p w14:paraId="31436532">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28555CFB">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等线" w:cs="Times New Roman"/>
                <w:i w:val="0"/>
                <w:iCs w:val="0"/>
                <w:color w:val="0000FF"/>
                <w:kern w:val="0"/>
                <w:sz w:val="21"/>
                <w:szCs w:val="21"/>
                <w:u w:val="none"/>
                <w:lang w:val="en-US" w:eastAsia="zh-CN" w:bidi="ar"/>
              </w:rPr>
              <w:t xml:space="preserve">59 </w:t>
            </w:r>
          </w:p>
        </w:tc>
        <w:tc>
          <w:tcPr>
            <w:tcW w:w="427" w:type="dxa"/>
            <w:shd w:val="clear" w:color="auto" w:fill="auto"/>
            <w:vAlign w:val="center"/>
          </w:tcPr>
          <w:p w14:paraId="04F96044">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等线" w:cs="Times New Roman"/>
                <w:i w:val="0"/>
                <w:iCs w:val="0"/>
                <w:color w:val="0000FF"/>
                <w:kern w:val="0"/>
                <w:sz w:val="21"/>
                <w:szCs w:val="21"/>
                <w:u w:val="none"/>
                <w:lang w:val="en-US" w:eastAsia="zh-CN" w:bidi="ar"/>
              </w:rPr>
              <w:t xml:space="preserve">25 </w:t>
            </w:r>
          </w:p>
        </w:tc>
        <w:tc>
          <w:tcPr>
            <w:tcW w:w="427" w:type="dxa"/>
            <w:shd w:val="clear" w:color="auto" w:fill="auto"/>
            <w:vAlign w:val="center"/>
          </w:tcPr>
          <w:p w14:paraId="17012ECF">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等线" w:cs="Times New Roman"/>
                <w:i w:val="0"/>
                <w:iCs w:val="0"/>
                <w:color w:val="0000FF"/>
                <w:kern w:val="0"/>
                <w:sz w:val="21"/>
                <w:szCs w:val="21"/>
                <w:u w:val="none"/>
                <w:lang w:val="en-US" w:eastAsia="zh-CN" w:bidi="ar"/>
              </w:rPr>
              <w:t xml:space="preserve">28 </w:t>
            </w:r>
          </w:p>
        </w:tc>
        <w:tc>
          <w:tcPr>
            <w:tcW w:w="427" w:type="dxa"/>
            <w:shd w:val="clear" w:color="auto" w:fill="auto"/>
            <w:vAlign w:val="center"/>
          </w:tcPr>
          <w:p w14:paraId="15C41966">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等线" w:cs="Times New Roman"/>
                <w:i w:val="0"/>
                <w:iCs w:val="0"/>
                <w:color w:val="0000FF"/>
                <w:kern w:val="0"/>
                <w:sz w:val="21"/>
                <w:szCs w:val="21"/>
                <w:u w:val="none"/>
                <w:lang w:val="en-US" w:eastAsia="zh-CN" w:bidi="ar"/>
              </w:rPr>
              <w:t xml:space="preserve">30 </w:t>
            </w:r>
          </w:p>
        </w:tc>
        <w:tc>
          <w:tcPr>
            <w:tcW w:w="1357" w:type="dxa"/>
            <w:shd w:val="clear" w:color="auto" w:fill="auto"/>
            <w:vAlign w:val="center"/>
          </w:tcPr>
          <w:p w14:paraId="7BFF17C3">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50096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1" w:type="dxa"/>
            <w:shd w:val="clear" w:color="auto" w:fill="auto"/>
            <w:vAlign w:val="center"/>
          </w:tcPr>
          <w:p w14:paraId="773C3344">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二栋</w:t>
            </w:r>
          </w:p>
        </w:tc>
        <w:tc>
          <w:tcPr>
            <w:tcW w:w="0" w:type="auto"/>
            <w:shd w:val="clear" w:color="auto" w:fill="auto"/>
            <w:noWrap/>
            <w:vAlign w:val="center"/>
          </w:tcPr>
          <w:p w14:paraId="674BBE40">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eastAsia" w:cs="Times New Roman"/>
                <w:i w:val="0"/>
                <w:iCs w:val="0"/>
                <w:color w:val="0000FF"/>
                <w:kern w:val="0"/>
                <w:sz w:val="21"/>
                <w:szCs w:val="21"/>
                <w:u w:val="none"/>
                <w:lang w:val="en-US" w:eastAsia="zh-CN" w:bidi="ar"/>
              </w:rPr>
              <w:t>集中破碎</w:t>
            </w:r>
            <w:r>
              <w:rPr>
                <w:rFonts w:hint="default" w:ascii="Times New Roman" w:hAnsi="Times New Roman" w:eastAsia="宋体" w:cs="Times New Roman"/>
                <w:i w:val="0"/>
                <w:iCs w:val="0"/>
                <w:color w:val="0000FF"/>
                <w:kern w:val="0"/>
                <w:sz w:val="21"/>
                <w:szCs w:val="21"/>
                <w:u w:val="none"/>
                <w:lang w:val="en-US" w:eastAsia="zh-CN" w:bidi="ar"/>
              </w:rPr>
              <w:t>3</w:t>
            </w:r>
          </w:p>
        </w:tc>
        <w:tc>
          <w:tcPr>
            <w:tcW w:w="0" w:type="auto"/>
            <w:shd w:val="clear" w:color="auto" w:fill="auto"/>
            <w:noWrap/>
            <w:vAlign w:val="center"/>
          </w:tcPr>
          <w:p w14:paraId="0EA13969">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85</w:t>
            </w:r>
          </w:p>
        </w:tc>
        <w:tc>
          <w:tcPr>
            <w:tcW w:w="726" w:type="dxa"/>
            <w:vMerge w:val="continue"/>
            <w:shd w:val="clear" w:color="auto" w:fill="auto"/>
            <w:vAlign w:val="center"/>
          </w:tcPr>
          <w:p w14:paraId="31EE3887">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6D516D18">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53</w:t>
            </w:r>
          </w:p>
        </w:tc>
        <w:tc>
          <w:tcPr>
            <w:tcW w:w="496" w:type="dxa"/>
            <w:shd w:val="clear" w:color="auto" w:fill="auto"/>
            <w:noWrap/>
            <w:vAlign w:val="center"/>
          </w:tcPr>
          <w:p w14:paraId="0759ED26">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eastAsia" w:cs="Times New Roman"/>
                <w:i w:val="0"/>
                <w:iCs w:val="0"/>
                <w:color w:val="0000FF"/>
                <w:kern w:val="0"/>
                <w:sz w:val="21"/>
                <w:szCs w:val="21"/>
                <w:u w:val="none"/>
                <w:lang w:val="en-US" w:eastAsia="zh-CN" w:bidi="ar"/>
              </w:rPr>
              <w:t>26</w:t>
            </w:r>
          </w:p>
        </w:tc>
        <w:tc>
          <w:tcPr>
            <w:tcW w:w="480" w:type="dxa"/>
            <w:shd w:val="clear" w:color="auto" w:fill="auto"/>
            <w:noWrap/>
            <w:vAlign w:val="center"/>
          </w:tcPr>
          <w:p w14:paraId="0FB706A8">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0BBC4C80">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7</w:t>
            </w:r>
          </w:p>
        </w:tc>
        <w:tc>
          <w:tcPr>
            <w:tcW w:w="427" w:type="dxa"/>
            <w:shd w:val="clear" w:color="auto" w:fill="auto"/>
            <w:vAlign w:val="center"/>
          </w:tcPr>
          <w:p w14:paraId="71DD16DD">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52</w:t>
            </w:r>
          </w:p>
        </w:tc>
        <w:tc>
          <w:tcPr>
            <w:tcW w:w="427" w:type="dxa"/>
            <w:shd w:val="clear" w:color="auto" w:fill="auto"/>
            <w:vAlign w:val="center"/>
          </w:tcPr>
          <w:p w14:paraId="52313601">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29</w:t>
            </w:r>
          </w:p>
        </w:tc>
        <w:tc>
          <w:tcPr>
            <w:tcW w:w="585" w:type="dxa"/>
            <w:shd w:val="clear" w:color="auto" w:fill="auto"/>
            <w:vAlign w:val="center"/>
          </w:tcPr>
          <w:p w14:paraId="53E3CEE0">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28.2</w:t>
            </w:r>
          </w:p>
        </w:tc>
        <w:tc>
          <w:tcPr>
            <w:tcW w:w="427" w:type="dxa"/>
            <w:shd w:val="clear" w:color="auto" w:fill="auto"/>
            <w:vAlign w:val="center"/>
          </w:tcPr>
          <w:p w14:paraId="2F996CF9">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等线" w:cs="Times New Roman"/>
                <w:i w:val="0"/>
                <w:iCs w:val="0"/>
                <w:color w:val="0000FF"/>
                <w:kern w:val="0"/>
                <w:sz w:val="21"/>
                <w:szCs w:val="21"/>
                <w:u w:val="none"/>
                <w:lang w:val="en-US" w:eastAsia="zh-CN" w:bidi="ar"/>
              </w:rPr>
              <w:t xml:space="preserve">68 </w:t>
            </w:r>
          </w:p>
        </w:tc>
        <w:tc>
          <w:tcPr>
            <w:tcW w:w="427" w:type="dxa"/>
            <w:shd w:val="clear" w:color="auto" w:fill="auto"/>
            <w:vAlign w:val="center"/>
          </w:tcPr>
          <w:p w14:paraId="42D556CE">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等线" w:cs="Times New Roman"/>
                <w:i w:val="0"/>
                <w:iCs w:val="0"/>
                <w:color w:val="0000FF"/>
                <w:kern w:val="0"/>
                <w:sz w:val="21"/>
                <w:szCs w:val="21"/>
                <w:u w:val="none"/>
                <w:lang w:val="en-US" w:eastAsia="zh-CN" w:bidi="ar"/>
              </w:rPr>
              <w:t xml:space="preserve">51 </w:t>
            </w:r>
          </w:p>
        </w:tc>
        <w:tc>
          <w:tcPr>
            <w:tcW w:w="427" w:type="dxa"/>
            <w:shd w:val="clear" w:color="auto" w:fill="auto"/>
            <w:vAlign w:val="center"/>
          </w:tcPr>
          <w:p w14:paraId="33EADD93">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等线" w:cs="Times New Roman"/>
                <w:i w:val="0"/>
                <w:iCs w:val="0"/>
                <w:color w:val="0000FF"/>
                <w:kern w:val="0"/>
                <w:sz w:val="21"/>
                <w:szCs w:val="21"/>
                <w:u w:val="none"/>
                <w:lang w:val="en-US" w:eastAsia="zh-CN" w:bidi="ar"/>
              </w:rPr>
              <w:t xml:space="preserve">56 </w:t>
            </w:r>
          </w:p>
        </w:tc>
        <w:tc>
          <w:tcPr>
            <w:tcW w:w="427" w:type="dxa"/>
            <w:shd w:val="clear" w:color="auto" w:fill="auto"/>
            <w:vAlign w:val="center"/>
          </w:tcPr>
          <w:p w14:paraId="0E53AB65">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等线" w:cs="Times New Roman"/>
                <w:i w:val="0"/>
                <w:iCs w:val="0"/>
                <w:color w:val="0000FF"/>
                <w:kern w:val="0"/>
                <w:sz w:val="21"/>
                <w:szCs w:val="21"/>
                <w:u w:val="none"/>
                <w:lang w:val="en-US" w:eastAsia="zh-CN" w:bidi="ar"/>
              </w:rPr>
              <w:t xml:space="preserve">56 </w:t>
            </w:r>
          </w:p>
        </w:tc>
        <w:tc>
          <w:tcPr>
            <w:tcW w:w="860" w:type="dxa"/>
            <w:shd w:val="clear" w:color="auto" w:fill="auto"/>
            <w:vAlign w:val="center"/>
          </w:tcPr>
          <w:p w14:paraId="29B35FCE">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昼间</w:t>
            </w:r>
          </w:p>
        </w:tc>
        <w:tc>
          <w:tcPr>
            <w:tcW w:w="1291" w:type="dxa"/>
            <w:shd w:val="clear" w:color="auto" w:fill="auto"/>
            <w:vAlign w:val="center"/>
          </w:tcPr>
          <w:p w14:paraId="5017CE58">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4AFF4912">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等线" w:cs="Times New Roman"/>
                <w:i w:val="0"/>
                <w:iCs w:val="0"/>
                <w:color w:val="0000FF"/>
                <w:kern w:val="0"/>
                <w:sz w:val="21"/>
                <w:szCs w:val="21"/>
                <w:u w:val="none"/>
                <w:lang w:val="en-US" w:eastAsia="zh-CN" w:bidi="ar"/>
              </w:rPr>
              <w:t xml:space="preserve">42 </w:t>
            </w:r>
          </w:p>
        </w:tc>
        <w:tc>
          <w:tcPr>
            <w:tcW w:w="427" w:type="dxa"/>
            <w:shd w:val="clear" w:color="auto" w:fill="auto"/>
            <w:vAlign w:val="center"/>
          </w:tcPr>
          <w:p w14:paraId="2E0703E3">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等线" w:cs="Times New Roman"/>
                <w:i w:val="0"/>
                <w:iCs w:val="0"/>
                <w:color w:val="0000FF"/>
                <w:kern w:val="0"/>
                <w:sz w:val="21"/>
                <w:szCs w:val="21"/>
                <w:u w:val="none"/>
                <w:lang w:val="en-US" w:eastAsia="zh-CN" w:bidi="ar"/>
              </w:rPr>
              <w:t xml:space="preserve">25 </w:t>
            </w:r>
          </w:p>
        </w:tc>
        <w:tc>
          <w:tcPr>
            <w:tcW w:w="427" w:type="dxa"/>
            <w:shd w:val="clear" w:color="auto" w:fill="auto"/>
            <w:vAlign w:val="center"/>
          </w:tcPr>
          <w:p w14:paraId="2519E712">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等线" w:cs="Times New Roman"/>
                <w:i w:val="0"/>
                <w:iCs w:val="0"/>
                <w:color w:val="0000FF"/>
                <w:kern w:val="0"/>
                <w:sz w:val="21"/>
                <w:szCs w:val="21"/>
                <w:u w:val="none"/>
                <w:lang w:val="en-US" w:eastAsia="zh-CN" w:bidi="ar"/>
              </w:rPr>
              <w:t xml:space="preserve">30 </w:t>
            </w:r>
          </w:p>
        </w:tc>
        <w:tc>
          <w:tcPr>
            <w:tcW w:w="427" w:type="dxa"/>
            <w:shd w:val="clear" w:color="auto" w:fill="auto"/>
            <w:vAlign w:val="center"/>
          </w:tcPr>
          <w:p w14:paraId="023F847D">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等线" w:cs="Times New Roman"/>
                <w:i w:val="0"/>
                <w:iCs w:val="0"/>
                <w:color w:val="0000FF"/>
                <w:kern w:val="0"/>
                <w:sz w:val="21"/>
                <w:szCs w:val="21"/>
                <w:u w:val="none"/>
                <w:lang w:val="en-US" w:eastAsia="zh-CN" w:bidi="ar"/>
              </w:rPr>
              <w:t xml:space="preserve">30 </w:t>
            </w:r>
          </w:p>
        </w:tc>
        <w:tc>
          <w:tcPr>
            <w:tcW w:w="1357" w:type="dxa"/>
            <w:shd w:val="clear" w:color="auto" w:fill="auto"/>
            <w:vAlign w:val="center"/>
          </w:tcPr>
          <w:p w14:paraId="28A9858F">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7F649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81" w:type="dxa"/>
            <w:shd w:val="clear" w:color="auto" w:fill="auto"/>
            <w:vAlign w:val="center"/>
          </w:tcPr>
          <w:p w14:paraId="3F6914D9">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二栋</w:t>
            </w:r>
          </w:p>
        </w:tc>
        <w:tc>
          <w:tcPr>
            <w:tcW w:w="0" w:type="auto"/>
            <w:shd w:val="clear" w:color="auto" w:fill="auto"/>
            <w:noWrap/>
            <w:vAlign w:val="center"/>
          </w:tcPr>
          <w:p w14:paraId="0CEE2563">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eastAsia" w:cs="Times New Roman"/>
                <w:i w:val="0"/>
                <w:iCs w:val="0"/>
                <w:color w:val="0000FF"/>
                <w:kern w:val="0"/>
                <w:sz w:val="21"/>
                <w:szCs w:val="21"/>
                <w:u w:val="none"/>
                <w:lang w:val="en-US" w:eastAsia="zh-CN" w:bidi="ar"/>
              </w:rPr>
              <w:t>集中破碎</w:t>
            </w:r>
            <w:r>
              <w:rPr>
                <w:rFonts w:hint="default" w:ascii="Times New Roman" w:hAnsi="Times New Roman" w:eastAsia="宋体" w:cs="Times New Roman"/>
                <w:i w:val="0"/>
                <w:iCs w:val="0"/>
                <w:color w:val="0000FF"/>
                <w:kern w:val="0"/>
                <w:sz w:val="21"/>
                <w:szCs w:val="21"/>
                <w:u w:val="none"/>
                <w:lang w:val="en-US" w:eastAsia="zh-CN" w:bidi="ar"/>
              </w:rPr>
              <w:t>4</w:t>
            </w:r>
          </w:p>
        </w:tc>
        <w:tc>
          <w:tcPr>
            <w:tcW w:w="0" w:type="auto"/>
            <w:shd w:val="clear" w:color="auto" w:fill="auto"/>
            <w:noWrap/>
            <w:vAlign w:val="center"/>
          </w:tcPr>
          <w:p w14:paraId="39711EAC">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85</w:t>
            </w:r>
          </w:p>
        </w:tc>
        <w:tc>
          <w:tcPr>
            <w:tcW w:w="726" w:type="dxa"/>
            <w:vMerge w:val="continue"/>
            <w:shd w:val="clear" w:color="auto" w:fill="auto"/>
            <w:vAlign w:val="center"/>
          </w:tcPr>
          <w:p w14:paraId="6FE07468">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22502C0B">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55</w:t>
            </w:r>
          </w:p>
        </w:tc>
        <w:tc>
          <w:tcPr>
            <w:tcW w:w="496" w:type="dxa"/>
            <w:shd w:val="clear" w:color="auto" w:fill="auto"/>
            <w:noWrap/>
            <w:vAlign w:val="center"/>
          </w:tcPr>
          <w:p w14:paraId="72ECBBFE">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eastAsia" w:cs="Times New Roman"/>
                <w:i w:val="0"/>
                <w:iCs w:val="0"/>
                <w:color w:val="0000FF"/>
                <w:kern w:val="0"/>
                <w:sz w:val="21"/>
                <w:szCs w:val="21"/>
                <w:u w:val="none"/>
                <w:lang w:val="en-US" w:eastAsia="zh-CN" w:bidi="ar"/>
              </w:rPr>
              <w:t>26</w:t>
            </w:r>
          </w:p>
        </w:tc>
        <w:tc>
          <w:tcPr>
            <w:tcW w:w="480" w:type="dxa"/>
            <w:shd w:val="clear" w:color="auto" w:fill="auto"/>
            <w:noWrap/>
            <w:vAlign w:val="center"/>
          </w:tcPr>
          <w:p w14:paraId="2C7C0558">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06C8D290">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5</w:t>
            </w:r>
          </w:p>
        </w:tc>
        <w:tc>
          <w:tcPr>
            <w:tcW w:w="427" w:type="dxa"/>
            <w:shd w:val="clear" w:color="auto" w:fill="auto"/>
            <w:vAlign w:val="center"/>
          </w:tcPr>
          <w:p w14:paraId="006AE462">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52</w:t>
            </w:r>
          </w:p>
        </w:tc>
        <w:tc>
          <w:tcPr>
            <w:tcW w:w="427" w:type="dxa"/>
            <w:shd w:val="clear" w:color="auto" w:fill="auto"/>
            <w:vAlign w:val="center"/>
          </w:tcPr>
          <w:p w14:paraId="59A5AB7F">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31</w:t>
            </w:r>
          </w:p>
        </w:tc>
        <w:tc>
          <w:tcPr>
            <w:tcW w:w="585" w:type="dxa"/>
            <w:shd w:val="clear" w:color="auto" w:fill="auto"/>
            <w:vAlign w:val="center"/>
          </w:tcPr>
          <w:p w14:paraId="2DA1C8AF">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28.2</w:t>
            </w:r>
          </w:p>
        </w:tc>
        <w:tc>
          <w:tcPr>
            <w:tcW w:w="427" w:type="dxa"/>
            <w:shd w:val="clear" w:color="auto" w:fill="auto"/>
            <w:vAlign w:val="center"/>
          </w:tcPr>
          <w:p w14:paraId="764B4786">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等线" w:cs="Times New Roman"/>
                <w:i w:val="0"/>
                <w:iCs w:val="0"/>
                <w:color w:val="0000FF"/>
                <w:kern w:val="0"/>
                <w:sz w:val="21"/>
                <w:szCs w:val="21"/>
                <w:u w:val="none"/>
                <w:lang w:val="en-US" w:eastAsia="zh-CN" w:bidi="ar"/>
              </w:rPr>
              <w:t xml:space="preserve">71 </w:t>
            </w:r>
          </w:p>
        </w:tc>
        <w:tc>
          <w:tcPr>
            <w:tcW w:w="427" w:type="dxa"/>
            <w:shd w:val="clear" w:color="auto" w:fill="auto"/>
            <w:vAlign w:val="center"/>
          </w:tcPr>
          <w:p w14:paraId="218C1384">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等线" w:cs="Times New Roman"/>
                <w:i w:val="0"/>
                <w:iCs w:val="0"/>
                <w:color w:val="0000FF"/>
                <w:kern w:val="0"/>
                <w:sz w:val="21"/>
                <w:szCs w:val="21"/>
                <w:u w:val="none"/>
                <w:lang w:val="en-US" w:eastAsia="zh-CN" w:bidi="ar"/>
              </w:rPr>
              <w:t xml:space="preserve">51 </w:t>
            </w:r>
          </w:p>
        </w:tc>
        <w:tc>
          <w:tcPr>
            <w:tcW w:w="427" w:type="dxa"/>
            <w:shd w:val="clear" w:color="auto" w:fill="auto"/>
            <w:vAlign w:val="center"/>
          </w:tcPr>
          <w:p w14:paraId="1DAD5A6A">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等线" w:cs="Times New Roman"/>
                <w:i w:val="0"/>
                <w:iCs w:val="0"/>
                <w:color w:val="0000FF"/>
                <w:kern w:val="0"/>
                <w:sz w:val="21"/>
                <w:szCs w:val="21"/>
                <w:u w:val="none"/>
                <w:lang w:val="en-US" w:eastAsia="zh-CN" w:bidi="ar"/>
              </w:rPr>
              <w:t xml:space="preserve">55 </w:t>
            </w:r>
          </w:p>
        </w:tc>
        <w:tc>
          <w:tcPr>
            <w:tcW w:w="427" w:type="dxa"/>
            <w:shd w:val="clear" w:color="auto" w:fill="auto"/>
            <w:vAlign w:val="center"/>
          </w:tcPr>
          <w:p w14:paraId="40D64106">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等线" w:cs="Times New Roman"/>
                <w:i w:val="0"/>
                <w:iCs w:val="0"/>
                <w:color w:val="0000FF"/>
                <w:kern w:val="0"/>
                <w:sz w:val="21"/>
                <w:szCs w:val="21"/>
                <w:u w:val="none"/>
                <w:lang w:val="en-US" w:eastAsia="zh-CN" w:bidi="ar"/>
              </w:rPr>
              <w:t xml:space="preserve">56 </w:t>
            </w:r>
          </w:p>
        </w:tc>
        <w:tc>
          <w:tcPr>
            <w:tcW w:w="860" w:type="dxa"/>
            <w:shd w:val="clear" w:color="auto" w:fill="auto"/>
            <w:vAlign w:val="center"/>
          </w:tcPr>
          <w:p w14:paraId="73CC593E">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昼间</w:t>
            </w:r>
          </w:p>
        </w:tc>
        <w:tc>
          <w:tcPr>
            <w:tcW w:w="1291" w:type="dxa"/>
            <w:shd w:val="clear" w:color="auto" w:fill="auto"/>
            <w:vAlign w:val="center"/>
          </w:tcPr>
          <w:p w14:paraId="7D230E1F">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3E3D4BB7">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等线" w:cs="Times New Roman"/>
                <w:i w:val="0"/>
                <w:iCs w:val="0"/>
                <w:color w:val="0000FF"/>
                <w:kern w:val="0"/>
                <w:sz w:val="21"/>
                <w:szCs w:val="21"/>
                <w:u w:val="none"/>
                <w:lang w:val="en-US" w:eastAsia="zh-CN" w:bidi="ar"/>
              </w:rPr>
              <w:t xml:space="preserve">45 </w:t>
            </w:r>
          </w:p>
        </w:tc>
        <w:tc>
          <w:tcPr>
            <w:tcW w:w="427" w:type="dxa"/>
            <w:shd w:val="clear" w:color="auto" w:fill="auto"/>
            <w:vAlign w:val="center"/>
          </w:tcPr>
          <w:p w14:paraId="06BB2E01">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等线" w:cs="Times New Roman"/>
                <w:i w:val="0"/>
                <w:iCs w:val="0"/>
                <w:color w:val="0000FF"/>
                <w:kern w:val="0"/>
                <w:sz w:val="21"/>
                <w:szCs w:val="21"/>
                <w:u w:val="none"/>
                <w:lang w:val="en-US" w:eastAsia="zh-CN" w:bidi="ar"/>
              </w:rPr>
              <w:t xml:space="preserve">25 </w:t>
            </w:r>
          </w:p>
        </w:tc>
        <w:tc>
          <w:tcPr>
            <w:tcW w:w="427" w:type="dxa"/>
            <w:shd w:val="clear" w:color="auto" w:fill="auto"/>
            <w:vAlign w:val="center"/>
          </w:tcPr>
          <w:p w14:paraId="35557A96">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等线" w:cs="Times New Roman"/>
                <w:i w:val="0"/>
                <w:iCs w:val="0"/>
                <w:color w:val="0000FF"/>
                <w:kern w:val="0"/>
                <w:sz w:val="21"/>
                <w:szCs w:val="21"/>
                <w:u w:val="none"/>
                <w:lang w:val="en-US" w:eastAsia="zh-CN" w:bidi="ar"/>
              </w:rPr>
              <w:t xml:space="preserve">29 </w:t>
            </w:r>
          </w:p>
        </w:tc>
        <w:tc>
          <w:tcPr>
            <w:tcW w:w="427" w:type="dxa"/>
            <w:shd w:val="clear" w:color="auto" w:fill="auto"/>
            <w:vAlign w:val="center"/>
          </w:tcPr>
          <w:p w14:paraId="3B142F8B">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等线" w:cs="Times New Roman"/>
                <w:i w:val="0"/>
                <w:iCs w:val="0"/>
                <w:color w:val="0000FF"/>
                <w:kern w:val="0"/>
                <w:sz w:val="21"/>
                <w:szCs w:val="21"/>
                <w:u w:val="none"/>
                <w:lang w:val="en-US" w:eastAsia="zh-CN" w:bidi="ar"/>
              </w:rPr>
              <w:t xml:space="preserve">30 </w:t>
            </w:r>
          </w:p>
        </w:tc>
        <w:tc>
          <w:tcPr>
            <w:tcW w:w="1357" w:type="dxa"/>
            <w:shd w:val="clear" w:color="auto" w:fill="auto"/>
            <w:vAlign w:val="center"/>
          </w:tcPr>
          <w:p w14:paraId="48CDBEAF">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40A73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681" w:type="dxa"/>
            <w:shd w:val="clear" w:color="auto" w:fill="auto"/>
            <w:vAlign w:val="center"/>
          </w:tcPr>
          <w:p w14:paraId="4386E6BC">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二栋</w:t>
            </w:r>
          </w:p>
        </w:tc>
        <w:tc>
          <w:tcPr>
            <w:tcW w:w="0" w:type="auto"/>
            <w:shd w:val="clear" w:color="auto" w:fill="auto"/>
            <w:noWrap/>
            <w:vAlign w:val="center"/>
          </w:tcPr>
          <w:p w14:paraId="3ED5B26B">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eastAsia" w:cs="Times New Roman"/>
                <w:i w:val="0"/>
                <w:iCs w:val="0"/>
                <w:color w:val="0000FF"/>
                <w:kern w:val="0"/>
                <w:sz w:val="21"/>
                <w:szCs w:val="21"/>
                <w:u w:val="none"/>
                <w:lang w:val="en-US" w:eastAsia="zh-CN" w:bidi="ar"/>
              </w:rPr>
              <w:t>集中破碎</w:t>
            </w:r>
            <w:r>
              <w:rPr>
                <w:rFonts w:hint="default" w:ascii="Times New Roman" w:hAnsi="Times New Roman" w:eastAsia="宋体" w:cs="Times New Roman"/>
                <w:i w:val="0"/>
                <w:iCs w:val="0"/>
                <w:color w:val="0000FF"/>
                <w:kern w:val="0"/>
                <w:sz w:val="21"/>
                <w:szCs w:val="21"/>
                <w:u w:val="none"/>
                <w:lang w:val="en-US" w:eastAsia="zh-CN" w:bidi="ar"/>
              </w:rPr>
              <w:t>5</w:t>
            </w:r>
          </w:p>
        </w:tc>
        <w:tc>
          <w:tcPr>
            <w:tcW w:w="0" w:type="auto"/>
            <w:shd w:val="clear" w:color="auto" w:fill="auto"/>
            <w:noWrap/>
            <w:vAlign w:val="center"/>
          </w:tcPr>
          <w:p w14:paraId="75ECCBFA">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85</w:t>
            </w:r>
          </w:p>
        </w:tc>
        <w:tc>
          <w:tcPr>
            <w:tcW w:w="726" w:type="dxa"/>
            <w:vMerge w:val="continue"/>
            <w:shd w:val="clear" w:color="auto" w:fill="auto"/>
            <w:vAlign w:val="center"/>
          </w:tcPr>
          <w:p w14:paraId="6A0A994A">
            <w:pPr>
              <w:jc w:val="center"/>
              <w:rPr>
                <w:rFonts w:hint="default" w:ascii="Times New Roman" w:hAnsi="Times New Roman" w:eastAsia="宋体" w:cs="Times New Roman"/>
                <w:i w:val="0"/>
                <w:iCs w:val="0"/>
                <w:color w:val="0000FF"/>
                <w:sz w:val="21"/>
                <w:szCs w:val="21"/>
                <w:u w:val="none"/>
              </w:rPr>
            </w:pPr>
          </w:p>
        </w:tc>
        <w:tc>
          <w:tcPr>
            <w:tcW w:w="0" w:type="auto"/>
            <w:shd w:val="clear" w:color="auto" w:fill="auto"/>
            <w:noWrap/>
            <w:vAlign w:val="center"/>
          </w:tcPr>
          <w:p w14:paraId="6E5DB6B1">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57</w:t>
            </w:r>
          </w:p>
        </w:tc>
        <w:tc>
          <w:tcPr>
            <w:tcW w:w="496" w:type="dxa"/>
            <w:shd w:val="clear" w:color="auto" w:fill="auto"/>
            <w:noWrap/>
            <w:vAlign w:val="center"/>
          </w:tcPr>
          <w:p w14:paraId="5C076116">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eastAsia" w:cs="Times New Roman"/>
                <w:i w:val="0"/>
                <w:iCs w:val="0"/>
                <w:color w:val="0000FF"/>
                <w:kern w:val="0"/>
                <w:sz w:val="21"/>
                <w:szCs w:val="21"/>
                <w:u w:val="none"/>
                <w:lang w:val="en-US" w:eastAsia="zh-CN" w:bidi="ar"/>
              </w:rPr>
              <w:t>26</w:t>
            </w:r>
          </w:p>
        </w:tc>
        <w:tc>
          <w:tcPr>
            <w:tcW w:w="480" w:type="dxa"/>
            <w:shd w:val="clear" w:color="auto" w:fill="auto"/>
            <w:noWrap/>
            <w:vAlign w:val="center"/>
          </w:tcPr>
          <w:p w14:paraId="1AEFB268">
            <w:pPr>
              <w:keepNext w:val="0"/>
              <w:keepLines w:val="0"/>
              <w:widowControl/>
              <w:suppressLineNumbers w:val="0"/>
              <w:jc w:val="center"/>
              <w:textAlignment w:val="center"/>
              <w:rPr>
                <w:rFonts w:hint="default" w:ascii="Times New Roman" w:hAnsi="Times New Roman" w:eastAsia="宋体" w:cs="Times New Roman"/>
                <w:i w:val="0"/>
                <w:iCs w:val="0"/>
                <w:color w:val="0000FF"/>
                <w:kern w:val="2"/>
                <w:sz w:val="21"/>
                <w:szCs w:val="21"/>
                <w:u w:val="none"/>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427" w:type="dxa"/>
            <w:shd w:val="clear" w:color="auto" w:fill="auto"/>
            <w:vAlign w:val="center"/>
          </w:tcPr>
          <w:p w14:paraId="73814CBF">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3</w:t>
            </w:r>
          </w:p>
        </w:tc>
        <w:tc>
          <w:tcPr>
            <w:tcW w:w="427" w:type="dxa"/>
            <w:shd w:val="clear" w:color="auto" w:fill="auto"/>
            <w:vAlign w:val="center"/>
          </w:tcPr>
          <w:p w14:paraId="6439D746">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52</w:t>
            </w:r>
          </w:p>
        </w:tc>
        <w:tc>
          <w:tcPr>
            <w:tcW w:w="427" w:type="dxa"/>
            <w:shd w:val="clear" w:color="auto" w:fill="auto"/>
            <w:vAlign w:val="center"/>
          </w:tcPr>
          <w:p w14:paraId="424C9802">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33</w:t>
            </w:r>
          </w:p>
        </w:tc>
        <w:tc>
          <w:tcPr>
            <w:tcW w:w="585" w:type="dxa"/>
            <w:shd w:val="clear" w:color="auto" w:fill="auto"/>
            <w:vAlign w:val="center"/>
          </w:tcPr>
          <w:p w14:paraId="4DB4A316">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28.2</w:t>
            </w:r>
          </w:p>
        </w:tc>
        <w:tc>
          <w:tcPr>
            <w:tcW w:w="427" w:type="dxa"/>
            <w:shd w:val="clear" w:color="auto" w:fill="auto"/>
            <w:vAlign w:val="center"/>
          </w:tcPr>
          <w:p w14:paraId="7E429AFE">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等线" w:cs="Times New Roman"/>
                <w:i w:val="0"/>
                <w:iCs w:val="0"/>
                <w:color w:val="0000FF"/>
                <w:kern w:val="0"/>
                <w:sz w:val="21"/>
                <w:szCs w:val="21"/>
                <w:u w:val="none"/>
                <w:lang w:val="en-US" w:eastAsia="zh-CN" w:bidi="ar"/>
              </w:rPr>
              <w:t xml:space="preserve">75 </w:t>
            </w:r>
          </w:p>
        </w:tc>
        <w:tc>
          <w:tcPr>
            <w:tcW w:w="427" w:type="dxa"/>
            <w:shd w:val="clear" w:color="auto" w:fill="auto"/>
            <w:vAlign w:val="center"/>
          </w:tcPr>
          <w:p w14:paraId="5880BCFC">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等线" w:cs="Times New Roman"/>
                <w:i w:val="0"/>
                <w:iCs w:val="0"/>
                <w:color w:val="0000FF"/>
                <w:kern w:val="0"/>
                <w:sz w:val="21"/>
                <w:szCs w:val="21"/>
                <w:u w:val="none"/>
                <w:lang w:val="en-US" w:eastAsia="zh-CN" w:bidi="ar"/>
              </w:rPr>
              <w:t xml:space="preserve">51 </w:t>
            </w:r>
          </w:p>
        </w:tc>
        <w:tc>
          <w:tcPr>
            <w:tcW w:w="427" w:type="dxa"/>
            <w:shd w:val="clear" w:color="auto" w:fill="auto"/>
            <w:vAlign w:val="center"/>
          </w:tcPr>
          <w:p w14:paraId="526DDD5D">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等线" w:cs="Times New Roman"/>
                <w:i w:val="0"/>
                <w:iCs w:val="0"/>
                <w:color w:val="0000FF"/>
                <w:kern w:val="0"/>
                <w:sz w:val="21"/>
                <w:szCs w:val="21"/>
                <w:u w:val="none"/>
                <w:lang w:val="en-US" w:eastAsia="zh-CN" w:bidi="ar"/>
              </w:rPr>
              <w:t xml:space="preserve">55 </w:t>
            </w:r>
          </w:p>
        </w:tc>
        <w:tc>
          <w:tcPr>
            <w:tcW w:w="427" w:type="dxa"/>
            <w:shd w:val="clear" w:color="auto" w:fill="auto"/>
            <w:vAlign w:val="center"/>
          </w:tcPr>
          <w:p w14:paraId="0169C4D0">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等线" w:cs="Times New Roman"/>
                <w:i w:val="0"/>
                <w:iCs w:val="0"/>
                <w:color w:val="0000FF"/>
                <w:kern w:val="0"/>
                <w:sz w:val="21"/>
                <w:szCs w:val="21"/>
                <w:u w:val="none"/>
                <w:lang w:val="en-US" w:eastAsia="zh-CN" w:bidi="ar"/>
              </w:rPr>
              <w:t xml:space="preserve">56 </w:t>
            </w:r>
          </w:p>
        </w:tc>
        <w:tc>
          <w:tcPr>
            <w:tcW w:w="860" w:type="dxa"/>
            <w:shd w:val="clear" w:color="auto" w:fill="auto"/>
            <w:vAlign w:val="center"/>
          </w:tcPr>
          <w:p w14:paraId="44CB5825">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昼间</w:t>
            </w:r>
          </w:p>
        </w:tc>
        <w:tc>
          <w:tcPr>
            <w:tcW w:w="1291" w:type="dxa"/>
            <w:shd w:val="clear" w:color="auto" w:fill="auto"/>
            <w:vAlign w:val="center"/>
          </w:tcPr>
          <w:p w14:paraId="4EA868FE">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20</w:t>
            </w:r>
          </w:p>
        </w:tc>
        <w:tc>
          <w:tcPr>
            <w:tcW w:w="427" w:type="dxa"/>
            <w:shd w:val="clear" w:color="auto" w:fill="auto"/>
            <w:vAlign w:val="center"/>
          </w:tcPr>
          <w:p w14:paraId="29A8DDB6">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等线" w:cs="Times New Roman"/>
                <w:i w:val="0"/>
                <w:iCs w:val="0"/>
                <w:color w:val="0000FF"/>
                <w:kern w:val="0"/>
                <w:sz w:val="21"/>
                <w:szCs w:val="21"/>
                <w:u w:val="none"/>
                <w:lang w:val="en-US" w:eastAsia="zh-CN" w:bidi="ar"/>
              </w:rPr>
              <w:t xml:space="preserve">49 </w:t>
            </w:r>
          </w:p>
        </w:tc>
        <w:tc>
          <w:tcPr>
            <w:tcW w:w="427" w:type="dxa"/>
            <w:shd w:val="clear" w:color="auto" w:fill="auto"/>
            <w:vAlign w:val="center"/>
          </w:tcPr>
          <w:p w14:paraId="1169CE35">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等线" w:cs="Times New Roman"/>
                <w:i w:val="0"/>
                <w:iCs w:val="0"/>
                <w:color w:val="0000FF"/>
                <w:kern w:val="0"/>
                <w:sz w:val="21"/>
                <w:szCs w:val="21"/>
                <w:u w:val="none"/>
                <w:lang w:val="en-US" w:eastAsia="zh-CN" w:bidi="ar"/>
              </w:rPr>
              <w:t xml:space="preserve">25 </w:t>
            </w:r>
          </w:p>
        </w:tc>
        <w:tc>
          <w:tcPr>
            <w:tcW w:w="427" w:type="dxa"/>
            <w:shd w:val="clear" w:color="auto" w:fill="auto"/>
            <w:vAlign w:val="center"/>
          </w:tcPr>
          <w:p w14:paraId="39A5FEBD">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等线" w:cs="Times New Roman"/>
                <w:i w:val="0"/>
                <w:iCs w:val="0"/>
                <w:color w:val="0000FF"/>
                <w:kern w:val="0"/>
                <w:sz w:val="21"/>
                <w:szCs w:val="21"/>
                <w:u w:val="none"/>
                <w:lang w:val="en-US" w:eastAsia="zh-CN" w:bidi="ar"/>
              </w:rPr>
              <w:t xml:space="preserve">29 </w:t>
            </w:r>
          </w:p>
        </w:tc>
        <w:tc>
          <w:tcPr>
            <w:tcW w:w="427" w:type="dxa"/>
            <w:shd w:val="clear" w:color="auto" w:fill="auto"/>
            <w:vAlign w:val="center"/>
          </w:tcPr>
          <w:p w14:paraId="4CFBAE8A">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等线" w:cs="Times New Roman"/>
                <w:i w:val="0"/>
                <w:iCs w:val="0"/>
                <w:color w:val="0000FF"/>
                <w:kern w:val="0"/>
                <w:sz w:val="21"/>
                <w:szCs w:val="21"/>
                <w:u w:val="none"/>
                <w:lang w:val="en-US" w:eastAsia="zh-CN" w:bidi="ar"/>
              </w:rPr>
              <w:t xml:space="preserve">30 </w:t>
            </w:r>
          </w:p>
        </w:tc>
        <w:tc>
          <w:tcPr>
            <w:tcW w:w="1357" w:type="dxa"/>
            <w:shd w:val="clear" w:color="auto" w:fill="auto"/>
            <w:vAlign w:val="center"/>
          </w:tcPr>
          <w:p w14:paraId="0A223438">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w:t>
            </w:r>
          </w:p>
        </w:tc>
      </w:tr>
    </w:tbl>
    <w:p w14:paraId="294F78C9">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420" w:firstLineChars="200"/>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注：表中坐标以厂界中心（107°14′38.861″，30°43′43.190″）为坐标原点，正东向为X轴正方向，正北向为Y轴正方向。查阅《窗隔声性能的试验研究》（龚农斌 同济大学声学研究所）、《建筑隔声与吸声构造》（中国建筑标准设计研究院 GJBT-1041），普通塑钢和铝合金单层玻璃隔声量16-31dB，轻钢龙骨墙壁隔声量34-50dB。本项目厂房采用砖混结构。本评价隔声量按照</w:t>
      </w:r>
      <w:r>
        <w:rPr>
          <w:rFonts w:hint="default" w:ascii="Times New Roman" w:hAnsi="Times New Roman" w:cs="Times New Roman"/>
          <w:bCs/>
          <w:color w:val="auto"/>
          <w:sz w:val="21"/>
          <w:szCs w:val="21"/>
          <w:lang w:val="en-US" w:eastAsia="zh-CN"/>
        </w:rPr>
        <w:t>20</w:t>
      </w:r>
      <w:r>
        <w:rPr>
          <w:rFonts w:hint="default" w:ascii="Times New Roman" w:hAnsi="Times New Roman" w:cs="Times New Roman"/>
          <w:bCs/>
          <w:color w:val="auto"/>
          <w:sz w:val="21"/>
          <w:szCs w:val="21"/>
        </w:rPr>
        <w:t>dB考虑。</w:t>
      </w:r>
    </w:p>
    <w:p w14:paraId="2CC82F2D">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420" w:firstLineChars="200"/>
        <w:textAlignment w:val="auto"/>
        <w:rPr>
          <w:rFonts w:hint="default" w:ascii="Times New Roman" w:hAnsi="Times New Roman" w:cs="Times New Roman"/>
          <w:bCs/>
          <w:color w:val="0000FF"/>
          <w:sz w:val="21"/>
          <w:szCs w:val="21"/>
        </w:rPr>
      </w:pPr>
    </w:p>
    <w:p w14:paraId="13C1D3F0">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420" w:firstLineChars="200"/>
        <w:textAlignment w:val="auto"/>
        <w:rPr>
          <w:rFonts w:hint="default" w:ascii="Times New Roman" w:hAnsi="Times New Roman" w:cs="Times New Roman"/>
          <w:bCs/>
          <w:color w:val="0000FF"/>
          <w:sz w:val="21"/>
          <w:szCs w:val="21"/>
        </w:rPr>
      </w:pPr>
    </w:p>
    <w:p w14:paraId="474F93BD">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firstLine="420" w:firstLineChars="200"/>
        <w:textAlignment w:val="auto"/>
        <w:rPr>
          <w:rFonts w:hint="default" w:ascii="Times New Roman" w:hAnsi="Times New Roman" w:cs="Times New Roman"/>
          <w:bCs/>
          <w:color w:val="0000FF"/>
          <w:sz w:val="21"/>
          <w:szCs w:val="21"/>
        </w:rPr>
      </w:pPr>
    </w:p>
    <w:p w14:paraId="270173F9">
      <w:pPr>
        <w:pStyle w:val="14"/>
        <w:keepNext w:val="0"/>
        <w:keepLines w:val="0"/>
        <w:pageBreakBefore w:val="0"/>
        <w:widowControl/>
        <w:kinsoku/>
        <w:wordWrap/>
        <w:overflowPunct/>
        <w:topLinePunct w:val="0"/>
        <w:autoSpaceDE/>
        <w:autoSpaceDN/>
        <w:bidi w:val="0"/>
        <w:adjustRightInd/>
        <w:snapToGrid w:val="0"/>
        <w:spacing w:before="0" w:after="0" w:line="240" w:lineRule="auto"/>
        <w:ind w:right="0"/>
        <w:textAlignment w:val="auto"/>
        <w:rPr>
          <w:rFonts w:hint="default" w:ascii="Times New Roman" w:hAnsi="Times New Roman" w:cs="Times New Roman"/>
          <w:bCs/>
          <w:color w:val="0000FF"/>
          <w:sz w:val="21"/>
          <w:szCs w:val="21"/>
        </w:rPr>
      </w:pPr>
    </w:p>
    <w:p w14:paraId="58D5C966">
      <w:pPr>
        <w:autoSpaceDE w:val="0"/>
        <w:autoSpaceDN w:val="0"/>
        <w:adjustRightInd w:val="0"/>
        <w:spacing w:line="240" w:lineRule="auto"/>
        <w:jc w:val="center"/>
        <w:textAlignment w:val="baseline"/>
        <w:rPr>
          <w:rFonts w:hint="default" w:ascii="Times New Roman" w:hAnsi="Times New Roman" w:eastAsia="宋体" w:cs="Times New Roman"/>
          <w:b/>
          <w:bCs/>
          <w:color w:val="0000FF"/>
          <w:sz w:val="24"/>
        </w:rPr>
      </w:pPr>
      <w:r>
        <w:rPr>
          <w:rFonts w:hint="eastAsia" w:ascii="Times New Roman" w:hAnsi="Times New Roman" w:eastAsia="宋体" w:cs="Times New Roman"/>
          <w:b/>
          <w:bCs/>
          <w:color w:val="0000FF"/>
          <w:sz w:val="24"/>
        </w:rPr>
        <w:t>表4.2-</w:t>
      </w:r>
      <w:r>
        <w:rPr>
          <w:rFonts w:hint="eastAsia" w:ascii="Times New Roman" w:hAnsi="Times New Roman" w:eastAsia="宋体" w:cs="Times New Roman"/>
          <w:b/>
          <w:bCs/>
          <w:color w:val="0000FF"/>
          <w:sz w:val="24"/>
          <w:lang w:val="en-US" w:eastAsia="zh-CN"/>
        </w:rPr>
        <w:t>20</w:t>
      </w:r>
      <w:r>
        <w:rPr>
          <w:rFonts w:hint="eastAsia" w:ascii="Times New Roman" w:hAnsi="Times New Roman" w:eastAsia="宋体" w:cs="Times New Roman"/>
          <w:b/>
          <w:bCs/>
          <w:color w:val="0000FF"/>
          <w:sz w:val="24"/>
        </w:rPr>
        <w:t xml:space="preserve">  项目主要生产设备噪声源强调查清单（室外声源）</w:t>
      </w:r>
    </w:p>
    <w:tbl>
      <w:tblPr>
        <w:tblStyle w:val="35"/>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2"/>
        <w:gridCol w:w="2115"/>
        <w:gridCol w:w="1833"/>
        <w:gridCol w:w="1380"/>
        <w:gridCol w:w="1380"/>
        <w:gridCol w:w="1382"/>
        <w:gridCol w:w="1768"/>
        <w:gridCol w:w="1615"/>
        <w:gridCol w:w="1322"/>
      </w:tblGrid>
      <w:tr w14:paraId="724F9C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1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088D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序号</w:t>
            </w:r>
          </w:p>
        </w:tc>
        <w:tc>
          <w:tcPr>
            <w:tcW w:w="77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0217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声源名称</w:t>
            </w:r>
          </w:p>
        </w:tc>
        <w:tc>
          <w:tcPr>
            <w:tcW w:w="6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B27A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型号</w:t>
            </w:r>
          </w:p>
        </w:tc>
        <w:tc>
          <w:tcPr>
            <w:tcW w:w="1516"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70D4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空间相对位置/m</w:t>
            </w:r>
          </w:p>
        </w:tc>
        <w:tc>
          <w:tcPr>
            <w:tcW w:w="6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BA39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声源源强</w:t>
            </w:r>
          </w:p>
        </w:tc>
        <w:tc>
          <w:tcPr>
            <w:tcW w:w="59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49AC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声源控制措施</w:t>
            </w:r>
          </w:p>
        </w:tc>
        <w:tc>
          <w:tcPr>
            <w:tcW w:w="4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7070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运行时段</w:t>
            </w:r>
          </w:p>
        </w:tc>
      </w:tr>
      <w:tr w14:paraId="0DE9D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FE776">
            <w:pPr>
              <w:jc w:val="center"/>
              <w:rPr>
                <w:rFonts w:hint="default" w:ascii="Times New Roman" w:hAnsi="Times New Roman" w:eastAsia="宋体" w:cs="Times New Roman"/>
                <w:i w:val="0"/>
                <w:iCs w:val="0"/>
                <w:color w:val="0000FF"/>
                <w:sz w:val="21"/>
                <w:szCs w:val="21"/>
                <w:u w:val="none"/>
              </w:rPr>
            </w:pPr>
          </w:p>
        </w:tc>
        <w:tc>
          <w:tcPr>
            <w:tcW w:w="77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10188">
            <w:pPr>
              <w:jc w:val="center"/>
              <w:rPr>
                <w:rFonts w:hint="default" w:ascii="Times New Roman" w:hAnsi="Times New Roman" w:eastAsia="宋体" w:cs="Times New Roman"/>
                <w:i w:val="0"/>
                <w:iCs w:val="0"/>
                <w:color w:val="0000FF"/>
                <w:sz w:val="21"/>
                <w:szCs w:val="21"/>
                <w:u w:val="none"/>
              </w:rPr>
            </w:pP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B69D1">
            <w:pPr>
              <w:jc w:val="center"/>
              <w:rPr>
                <w:rFonts w:hint="default" w:ascii="Times New Roman" w:hAnsi="Times New Roman" w:eastAsia="宋体" w:cs="Times New Roman"/>
                <w:i w:val="0"/>
                <w:iCs w:val="0"/>
                <w:color w:val="0000FF"/>
                <w:sz w:val="21"/>
                <w:szCs w:val="21"/>
                <w:u w:val="none"/>
              </w:rPr>
            </w:pP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1ACA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X</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FE15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Y</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D6F1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Z</w:t>
            </w:r>
          </w:p>
        </w:tc>
        <w:tc>
          <w:tcPr>
            <w:tcW w:w="64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552C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声压级/dB(A)</w:t>
            </w:r>
          </w:p>
        </w:tc>
        <w:tc>
          <w:tcPr>
            <w:tcW w:w="59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E5B49">
            <w:pPr>
              <w:jc w:val="center"/>
              <w:rPr>
                <w:rFonts w:hint="default" w:ascii="Times New Roman" w:hAnsi="Times New Roman" w:eastAsia="宋体" w:cs="Times New Roman"/>
                <w:i w:val="0"/>
                <w:iCs w:val="0"/>
                <w:color w:val="0000FF"/>
                <w:sz w:val="21"/>
                <w:szCs w:val="21"/>
                <w:u w:val="none"/>
              </w:rPr>
            </w:pPr>
          </w:p>
        </w:tc>
        <w:tc>
          <w:tcPr>
            <w:tcW w:w="4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6C769">
            <w:pPr>
              <w:jc w:val="center"/>
              <w:rPr>
                <w:rFonts w:hint="default" w:ascii="Times New Roman" w:hAnsi="Times New Roman" w:eastAsia="宋体" w:cs="Times New Roman"/>
                <w:i w:val="0"/>
                <w:iCs w:val="0"/>
                <w:color w:val="0000FF"/>
                <w:sz w:val="21"/>
                <w:szCs w:val="21"/>
                <w:u w:val="none"/>
              </w:rPr>
            </w:pPr>
          </w:p>
        </w:tc>
      </w:tr>
      <w:tr w14:paraId="25ACA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3700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FBCD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冷却塔1</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B023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点源</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5A1F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-31</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1C57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47</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5A98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0BA5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59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469E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基础减震</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EDFB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昼夜</w:t>
            </w:r>
          </w:p>
        </w:tc>
      </w:tr>
      <w:tr w14:paraId="40BF5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DA5F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B1F4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冷却塔2</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47BC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点源</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2050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55</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1918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47</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F536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3E9C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59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E6C41">
            <w:pPr>
              <w:jc w:val="center"/>
              <w:rPr>
                <w:rFonts w:hint="default" w:ascii="Times New Roman" w:hAnsi="Times New Roman" w:eastAsia="宋体" w:cs="Times New Roman"/>
                <w:i w:val="0"/>
                <w:iCs w:val="0"/>
                <w:color w:val="0000FF"/>
                <w:sz w:val="21"/>
                <w:szCs w:val="21"/>
                <w:u w:val="none"/>
              </w:rPr>
            </w:pP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F815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昼间</w:t>
            </w:r>
          </w:p>
        </w:tc>
      </w:tr>
      <w:tr w14:paraId="2EAEE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9860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B4AA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空压机1</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806C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点源</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2C93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-31</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E9A6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27</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5742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B2E5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59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64C9B">
            <w:pPr>
              <w:jc w:val="center"/>
              <w:rPr>
                <w:rFonts w:hint="default" w:ascii="Times New Roman" w:hAnsi="Times New Roman" w:eastAsia="宋体" w:cs="Times New Roman"/>
                <w:i w:val="0"/>
                <w:iCs w:val="0"/>
                <w:color w:val="0000FF"/>
                <w:sz w:val="21"/>
                <w:szCs w:val="21"/>
                <w:u w:val="none"/>
              </w:rPr>
            </w:pP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F590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昼夜</w:t>
            </w:r>
          </w:p>
        </w:tc>
      </w:tr>
      <w:tr w14:paraId="1B026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3412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B1C9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空压机2</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4B63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点源</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9341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-32</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FEAE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-13</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FAD8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3214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59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A79B6">
            <w:pPr>
              <w:jc w:val="center"/>
              <w:rPr>
                <w:rFonts w:hint="default" w:ascii="Times New Roman" w:hAnsi="Times New Roman" w:eastAsia="宋体" w:cs="Times New Roman"/>
                <w:i w:val="0"/>
                <w:iCs w:val="0"/>
                <w:color w:val="0000FF"/>
                <w:sz w:val="21"/>
                <w:szCs w:val="21"/>
                <w:u w:val="none"/>
              </w:rPr>
            </w:pP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C492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昼夜</w:t>
            </w:r>
          </w:p>
        </w:tc>
      </w:tr>
      <w:tr w14:paraId="1FEA0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CFAD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72E0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空压机3</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432B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点源</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5043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56</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211D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23</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57CF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96AC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59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2CEE5">
            <w:pPr>
              <w:jc w:val="center"/>
              <w:rPr>
                <w:rFonts w:hint="default" w:ascii="Times New Roman" w:hAnsi="Times New Roman" w:eastAsia="宋体" w:cs="Times New Roman"/>
                <w:i w:val="0"/>
                <w:iCs w:val="0"/>
                <w:color w:val="0000FF"/>
                <w:sz w:val="21"/>
                <w:szCs w:val="21"/>
                <w:u w:val="none"/>
              </w:rPr>
            </w:pP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E47B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昼间</w:t>
            </w:r>
          </w:p>
        </w:tc>
      </w:tr>
      <w:tr w14:paraId="5DE48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01AD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76E3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空压机4</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9435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点源</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7777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56</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EAD2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-11</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F8F6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1EB47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59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6F838">
            <w:pPr>
              <w:jc w:val="center"/>
              <w:rPr>
                <w:rFonts w:hint="default" w:ascii="Times New Roman" w:hAnsi="Times New Roman" w:eastAsia="宋体" w:cs="Times New Roman"/>
                <w:i w:val="0"/>
                <w:iCs w:val="0"/>
                <w:color w:val="0000FF"/>
                <w:sz w:val="21"/>
                <w:szCs w:val="21"/>
                <w:u w:val="none"/>
              </w:rPr>
            </w:pP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F4BA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昼间</w:t>
            </w:r>
          </w:p>
        </w:tc>
      </w:tr>
      <w:tr w14:paraId="6A863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C069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cs="Times New Roman"/>
                <w:i w:val="0"/>
                <w:iCs w:val="0"/>
                <w:color w:val="0000FF"/>
                <w:kern w:val="0"/>
                <w:sz w:val="21"/>
                <w:szCs w:val="21"/>
                <w:u w:val="none"/>
                <w:lang w:val="en-US" w:eastAsia="zh-CN" w:bidi="ar"/>
              </w:rPr>
              <w:t>7</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8193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风机1</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3DBC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点源</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3D99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-18</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4ED5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26</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4354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30</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B216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59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E8C3E">
            <w:pPr>
              <w:jc w:val="center"/>
              <w:rPr>
                <w:rFonts w:hint="default" w:ascii="Times New Roman" w:hAnsi="Times New Roman" w:eastAsia="宋体" w:cs="Times New Roman"/>
                <w:i w:val="0"/>
                <w:iCs w:val="0"/>
                <w:color w:val="0000FF"/>
                <w:sz w:val="21"/>
                <w:szCs w:val="21"/>
                <w:u w:val="none"/>
              </w:rPr>
            </w:pP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D9F4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昼夜</w:t>
            </w:r>
          </w:p>
        </w:tc>
      </w:tr>
      <w:tr w14:paraId="72523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85" w:hRule="atLeast"/>
        </w:trPr>
        <w:tc>
          <w:tcPr>
            <w:tcW w:w="3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E0F3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cs="Times New Roman"/>
                <w:i w:val="0"/>
                <w:iCs w:val="0"/>
                <w:color w:val="0000FF"/>
                <w:kern w:val="0"/>
                <w:sz w:val="21"/>
                <w:szCs w:val="21"/>
                <w:u w:val="none"/>
                <w:lang w:val="en-US" w:eastAsia="zh-CN" w:bidi="ar"/>
              </w:rPr>
              <w:t>8</w:t>
            </w:r>
          </w:p>
        </w:tc>
        <w:tc>
          <w:tcPr>
            <w:tcW w:w="7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6990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风机2</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057C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点源</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4BA8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38</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6FF4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25</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BB19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30</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4632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w:t>
            </w:r>
          </w:p>
        </w:tc>
        <w:tc>
          <w:tcPr>
            <w:tcW w:w="59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528FB">
            <w:pPr>
              <w:jc w:val="center"/>
              <w:rPr>
                <w:rFonts w:hint="default" w:ascii="Times New Roman" w:hAnsi="Times New Roman" w:eastAsia="宋体" w:cs="Times New Roman"/>
                <w:i w:val="0"/>
                <w:iCs w:val="0"/>
                <w:color w:val="0000FF"/>
                <w:sz w:val="21"/>
                <w:szCs w:val="21"/>
                <w:u w:val="none"/>
              </w:rPr>
            </w:pP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B466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昼间</w:t>
            </w:r>
          </w:p>
        </w:tc>
      </w:tr>
    </w:tbl>
    <w:p w14:paraId="55C7823F">
      <w:pPr>
        <w:pStyle w:val="165"/>
        <w:keepNext w:val="0"/>
        <w:keepLines w:val="0"/>
        <w:pageBreakBefore w:val="0"/>
        <w:widowControl w:val="0"/>
        <w:kinsoku/>
        <w:wordWrap/>
        <w:overflowPunct/>
        <w:topLinePunct w:val="0"/>
        <w:autoSpaceDE/>
        <w:autoSpaceDN/>
        <w:bidi w:val="0"/>
        <w:adjustRightInd w:val="0"/>
        <w:snapToGrid/>
        <w:spacing w:line="24" w:lineRule="auto"/>
        <w:ind w:firstLine="0" w:firstLineChars="0"/>
        <w:textAlignment w:val="auto"/>
        <w:rPr>
          <w:rFonts w:hint="default" w:ascii="Times New Roman" w:hAnsi="Times New Roman" w:eastAsia="宋体"/>
          <w:b w:val="0"/>
          <w:bCs/>
          <w:color w:val="auto"/>
          <w:highlight w:val="none"/>
          <w:lang w:val="en-US" w:eastAsia="zh-CN"/>
        </w:rPr>
      </w:pPr>
    </w:p>
    <w:p w14:paraId="6EA48230">
      <w:pPr>
        <w:pStyle w:val="31"/>
        <w:keepNext w:val="0"/>
        <w:keepLines w:val="0"/>
        <w:pageBreakBefore w:val="0"/>
        <w:kinsoku/>
        <w:wordWrap/>
        <w:overflowPunct/>
        <w:topLinePunct w:val="0"/>
        <w:autoSpaceDE/>
        <w:autoSpaceDN/>
        <w:bidi w:val="0"/>
        <w:snapToGrid/>
        <w:spacing w:line="24" w:lineRule="auto"/>
        <w:jc w:val="center"/>
        <w:textAlignment w:val="auto"/>
        <w:rPr>
          <w:rFonts w:hint="default" w:ascii="Times New Roman" w:hAnsi="Times New Roman" w:eastAsia="黑体" w:cs="Times New Roman"/>
          <w:snapToGrid w:val="0"/>
          <w:color w:val="auto"/>
          <w:sz w:val="30"/>
          <w:szCs w:val="30"/>
        </w:rPr>
        <w:sectPr>
          <w:pgSz w:w="16838" w:h="11906" w:orient="landscape"/>
          <w:pgMar w:top="1531" w:right="1701" w:bottom="1531" w:left="1701" w:header="851" w:footer="851" w:gutter="0"/>
          <w:pgNumType w:fmt="decimal"/>
          <w:cols w:space="720" w:num="1"/>
          <w:docGrid w:linePitch="312" w:charSpace="0"/>
        </w:sectPr>
      </w:pPr>
    </w:p>
    <w:tbl>
      <w:tblPr>
        <w:tblStyle w:val="35"/>
        <w:tblW w:w="94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
        <w:gridCol w:w="9071"/>
      </w:tblGrid>
      <w:tr w14:paraId="33661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4" w:type="dxa"/>
            <w:noWrap w:val="0"/>
            <w:vAlign w:val="center"/>
          </w:tcPr>
          <w:p w14:paraId="6DFBFE9A">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运营</w:t>
            </w:r>
          </w:p>
          <w:p w14:paraId="3FDA1639">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期环</w:t>
            </w:r>
          </w:p>
          <w:p w14:paraId="522248F4">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境影</w:t>
            </w:r>
          </w:p>
          <w:p w14:paraId="29372E1C">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响和</w:t>
            </w:r>
          </w:p>
          <w:p w14:paraId="559C1C22">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保护</w:t>
            </w:r>
          </w:p>
          <w:p w14:paraId="6714DD20">
            <w:pPr>
              <w:pStyle w:val="31"/>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bCs/>
                <w:color w:val="auto"/>
                <w:sz w:val="21"/>
                <w:szCs w:val="21"/>
              </w:rPr>
              <w:t>措施</w:t>
            </w:r>
          </w:p>
        </w:tc>
        <w:tc>
          <w:tcPr>
            <w:tcW w:w="9071" w:type="dxa"/>
            <w:noWrap w:val="0"/>
            <w:vAlign w:val="top"/>
          </w:tcPr>
          <w:p w14:paraId="17B8C021">
            <w:pPr>
              <w:pStyle w:val="1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（3）预测结果</w:t>
            </w:r>
          </w:p>
          <w:p w14:paraId="1AE9CC92">
            <w:pPr>
              <w:pStyle w:val="14"/>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rPr>
              <w:t>噪声影响预测结果见表4.2-2</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w:t>
            </w:r>
          </w:p>
          <w:p w14:paraId="3F939956">
            <w:pPr>
              <w:ind w:firstLine="482" w:firstLineChars="200"/>
              <w:jc w:val="center"/>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表4</w:t>
            </w:r>
            <w:r>
              <w:rPr>
                <w:rFonts w:hint="default" w:ascii="Times New Roman" w:hAnsi="Times New Roman" w:cs="Times New Roman"/>
                <w:b/>
                <w:color w:val="auto"/>
                <w:kern w:val="0"/>
                <w:sz w:val="24"/>
                <w:lang w:val="en-US" w:eastAsia="zh-CN"/>
              </w:rPr>
              <w:t>.2</w:t>
            </w:r>
            <w:r>
              <w:rPr>
                <w:rFonts w:hint="default" w:ascii="Times New Roman" w:hAnsi="Times New Roman" w:cs="Times New Roman"/>
                <w:b/>
                <w:color w:val="auto"/>
                <w:kern w:val="0"/>
                <w:sz w:val="24"/>
              </w:rPr>
              <w:t>-2</w:t>
            </w:r>
            <w:r>
              <w:rPr>
                <w:rFonts w:hint="eastAsia" w:ascii="Times New Roman" w:hAnsi="Times New Roman" w:cs="Times New Roman"/>
                <w:b/>
                <w:color w:val="auto"/>
                <w:kern w:val="0"/>
                <w:sz w:val="24"/>
                <w:lang w:val="en-US" w:eastAsia="zh-CN"/>
              </w:rPr>
              <w:t>1</w:t>
            </w:r>
            <w:r>
              <w:rPr>
                <w:rFonts w:hint="default" w:ascii="Times New Roman" w:hAnsi="Times New Roman" w:cs="Times New Roman"/>
                <w:b/>
                <w:color w:val="auto"/>
                <w:kern w:val="0"/>
                <w:sz w:val="24"/>
              </w:rPr>
              <w:t xml:space="preserve">   本项目厂界噪声预测结果  单位：dB（A）</w:t>
            </w:r>
          </w:p>
          <w:tbl>
            <w:tblPr>
              <w:tblStyle w:val="35"/>
              <w:tblW w:w="850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17"/>
              <w:gridCol w:w="917"/>
              <w:gridCol w:w="917"/>
              <w:gridCol w:w="917"/>
              <w:gridCol w:w="917"/>
              <w:gridCol w:w="1500"/>
              <w:gridCol w:w="1501"/>
              <w:gridCol w:w="918"/>
            </w:tblGrid>
            <w:tr w14:paraId="64C31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17" w:type="dxa"/>
                  <w:vMerge w:val="restart"/>
                  <w:tcBorders>
                    <w:top w:val="single" w:color="000000" w:sz="4" w:space="0"/>
                    <w:left w:val="single" w:color="000000" w:sz="4" w:space="0"/>
                    <w:bottom w:val="single" w:color="000000" w:sz="4" w:space="0"/>
                    <w:right w:val="single" w:color="000000" w:sz="4" w:space="0"/>
                  </w:tcBorders>
                  <w:noWrap w:val="0"/>
                  <w:vAlign w:val="center"/>
                </w:tcPr>
                <w:p w14:paraId="1AB11D4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预测方位</w:t>
                  </w:r>
                </w:p>
              </w:tc>
              <w:tc>
                <w:tcPr>
                  <w:tcW w:w="2751" w:type="dxa"/>
                  <w:gridSpan w:val="3"/>
                  <w:tcBorders>
                    <w:top w:val="single" w:color="000000" w:sz="4" w:space="0"/>
                    <w:left w:val="single" w:color="000000" w:sz="4" w:space="0"/>
                    <w:bottom w:val="single" w:color="000000" w:sz="4" w:space="0"/>
                    <w:right w:val="single" w:color="000000" w:sz="4" w:space="0"/>
                  </w:tcBorders>
                  <w:noWrap w:val="0"/>
                  <w:vAlign w:val="center"/>
                </w:tcPr>
                <w:p w14:paraId="484A8F8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最大值点空间相对位置/m</w:t>
                  </w:r>
                </w:p>
              </w:tc>
              <w:tc>
                <w:tcPr>
                  <w:tcW w:w="917" w:type="dxa"/>
                  <w:vMerge w:val="restart"/>
                  <w:tcBorders>
                    <w:top w:val="single" w:color="000000" w:sz="4" w:space="0"/>
                    <w:left w:val="single" w:color="000000" w:sz="4" w:space="0"/>
                    <w:bottom w:val="single" w:color="000000" w:sz="4" w:space="0"/>
                    <w:right w:val="single" w:color="000000" w:sz="4" w:space="0"/>
                  </w:tcBorders>
                  <w:noWrap w:val="0"/>
                  <w:vAlign w:val="center"/>
                </w:tcPr>
                <w:p w14:paraId="0F6277D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时段</w:t>
                  </w:r>
                </w:p>
              </w:tc>
              <w:tc>
                <w:tcPr>
                  <w:tcW w:w="1500" w:type="dxa"/>
                  <w:vMerge w:val="restart"/>
                  <w:tcBorders>
                    <w:top w:val="single" w:color="000000" w:sz="4" w:space="0"/>
                    <w:left w:val="single" w:color="000000" w:sz="4" w:space="0"/>
                    <w:bottom w:val="single" w:color="000000" w:sz="4" w:space="0"/>
                    <w:right w:val="single" w:color="000000" w:sz="4" w:space="0"/>
                  </w:tcBorders>
                  <w:noWrap w:val="0"/>
                  <w:vAlign w:val="center"/>
                </w:tcPr>
                <w:p w14:paraId="61AA23C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贡献值（dB(A)）</w:t>
                  </w:r>
                </w:p>
              </w:tc>
              <w:tc>
                <w:tcPr>
                  <w:tcW w:w="1501" w:type="dxa"/>
                  <w:vMerge w:val="restart"/>
                  <w:tcBorders>
                    <w:top w:val="single" w:color="000000" w:sz="4" w:space="0"/>
                    <w:left w:val="single" w:color="000000" w:sz="4" w:space="0"/>
                    <w:bottom w:val="single" w:color="000000" w:sz="4" w:space="0"/>
                    <w:right w:val="single" w:color="000000" w:sz="4" w:space="0"/>
                  </w:tcBorders>
                  <w:noWrap w:val="0"/>
                  <w:vAlign w:val="center"/>
                </w:tcPr>
                <w:p w14:paraId="3B816CF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标准限值（dB(A)）</w:t>
                  </w:r>
                </w:p>
              </w:tc>
              <w:tc>
                <w:tcPr>
                  <w:tcW w:w="918" w:type="dxa"/>
                  <w:vMerge w:val="restart"/>
                  <w:tcBorders>
                    <w:top w:val="single" w:color="000000" w:sz="4" w:space="0"/>
                    <w:left w:val="single" w:color="000000" w:sz="4" w:space="0"/>
                    <w:bottom w:val="single" w:color="000000" w:sz="4" w:space="0"/>
                    <w:right w:val="single" w:color="000000" w:sz="4" w:space="0"/>
                  </w:tcBorders>
                  <w:noWrap w:val="0"/>
                  <w:vAlign w:val="center"/>
                </w:tcPr>
                <w:p w14:paraId="0FF435F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达标情况</w:t>
                  </w:r>
                </w:p>
              </w:tc>
            </w:tr>
            <w:tr w14:paraId="3AF8B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1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561F3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u w:val="none"/>
                    </w:rPr>
                  </w:pPr>
                </w:p>
              </w:tc>
              <w:tc>
                <w:tcPr>
                  <w:tcW w:w="917" w:type="dxa"/>
                  <w:tcBorders>
                    <w:top w:val="single" w:color="000000" w:sz="4" w:space="0"/>
                    <w:left w:val="single" w:color="000000" w:sz="4" w:space="0"/>
                    <w:bottom w:val="single" w:color="000000" w:sz="4" w:space="0"/>
                    <w:right w:val="single" w:color="000000" w:sz="4" w:space="0"/>
                  </w:tcBorders>
                  <w:noWrap w:val="0"/>
                  <w:vAlign w:val="center"/>
                </w:tcPr>
                <w:p w14:paraId="60C017C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X</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14:paraId="5EBAF5A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Y</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14:paraId="54B0051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Z</w:t>
                  </w:r>
                </w:p>
              </w:tc>
              <w:tc>
                <w:tcPr>
                  <w:tcW w:w="91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93962B">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u w:val="none"/>
                    </w:rPr>
                  </w:pPr>
                </w:p>
              </w:tc>
              <w:tc>
                <w:tcPr>
                  <w:tcW w:w="1500"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0792B6">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u w:val="none"/>
                    </w:rPr>
                  </w:pPr>
                </w:p>
              </w:tc>
              <w:tc>
                <w:tcPr>
                  <w:tcW w:w="150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524AA9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u w:val="none"/>
                    </w:rPr>
                  </w:pPr>
                </w:p>
              </w:tc>
              <w:tc>
                <w:tcPr>
                  <w:tcW w:w="91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227D2D">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bCs/>
                      <w:i w:val="0"/>
                      <w:iCs w:val="0"/>
                      <w:color w:val="auto"/>
                      <w:sz w:val="21"/>
                      <w:szCs w:val="21"/>
                      <w:u w:val="none"/>
                    </w:rPr>
                  </w:pPr>
                </w:p>
              </w:tc>
            </w:tr>
            <w:tr w14:paraId="23DB7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17" w:type="dxa"/>
                  <w:vMerge w:val="restart"/>
                  <w:tcBorders>
                    <w:top w:val="single" w:color="000000" w:sz="4" w:space="0"/>
                    <w:left w:val="single" w:color="000000" w:sz="4" w:space="0"/>
                    <w:bottom w:val="single" w:color="000000" w:sz="4" w:space="0"/>
                    <w:right w:val="single" w:color="000000" w:sz="4" w:space="0"/>
                  </w:tcBorders>
                  <w:noWrap w:val="0"/>
                  <w:vAlign w:val="center"/>
                </w:tcPr>
                <w:p w14:paraId="346C4BA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东侧</w:t>
                  </w:r>
                </w:p>
              </w:tc>
              <w:tc>
                <w:tcPr>
                  <w:tcW w:w="917" w:type="dxa"/>
                  <w:vMerge w:val="restart"/>
                  <w:tcBorders>
                    <w:top w:val="single" w:color="000000" w:sz="4" w:space="0"/>
                    <w:left w:val="single" w:color="000000" w:sz="4" w:space="0"/>
                    <w:bottom w:val="single" w:color="000000" w:sz="4" w:space="0"/>
                    <w:right w:val="single" w:color="000000" w:sz="4" w:space="0"/>
                  </w:tcBorders>
                  <w:noWrap w:val="0"/>
                  <w:vAlign w:val="center"/>
                </w:tcPr>
                <w:p w14:paraId="4EC8770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w:t>
                  </w:r>
                </w:p>
              </w:tc>
              <w:tc>
                <w:tcPr>
                  <w:tcW w:w="917" w:type="dxa"/>
                  <w:vMerge w:val="restart"/>
                  <w:tcBorders>
                    <w:top w:val="single" w:color="000000" w:sz="4" w:space="0"/>
                    <w:left w:val="single" w:color="000000" w:sz="4" w:space="0"/>
                    <w:bottom w:val="single" w:color="000000" w:sz="4" w:space="0"/>
                    <w:right w:val="single" w:color="000000" w:sz="4" w:space="0"/>
                  </w:tcBorders>
                  <w:noWrap w:val="0"/>
                  <w:vAlign w:val="center"/>
                </w:tcPr>
                <w:p w14:paraId="416254D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917" w:type="dxa"/>
                  <w:vMerge w:val="restart"/>
                  <w:tcBorders>
                    <w:top w:val="single" w:color="000000" w:sz="4" w:space="0"/>
                    <w:left w:val="single" w:color="000000" w:sz="4" w:space="0"/>
                    <w:bottom w:val="single" w:color="000000" w:sz="4" w:space="0"/>
                    <w:right w:val="single" w:color="000000" w:sz="4" w:space="0"/>
                  </w:tcBorders>
                  <w:noWrap w:val="0"/>
                  <w:vAlign w:val="center"/>
                </w:tcPr>
                <w:p w14:paraId="2702B4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14:paraId="4CEBB39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5CD95FB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FF"/>
                      <w:sz w:val="22"/>
                      <w:szCs w:val="22"/>
                      <w:u w:val="none"/>
                      <w:lang w:val="en-US"/>
                    </w:rPr>
                  </w:pPr>
                  <w:r>
                    <w:rPr>
                      <w:rFonts w:hint="eastAsia" w:ascii="Times New Roman" w:hAnsi="Times New Roman" w:eastAsia="宋体" w:cs="Times New Roman"/>
                      <w:i w:val="0"/>
                      <w:iCs w:val="0"/>
                      <w:color w:val="0000FF"/>
                      <w:kern w:val="0"/>
                      <w:sz w:val="22"/>
                      <w:szCs w:val="22"/>
                      <w:u w:val="none"/>
                      <w:lang w:val="en-US" w:eastAsia="zh-CN" w:bidi="ar"/>
                    </w:rPr>
                    <w:t>63.94</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6AFBF68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65</w:t>
                  </w:r>
                </w:p>
              </w:tc>
              <w:tc>
                <w:tcPr>
                  <w:tcW w:w="918" w:type="dxa"/>
                  <w:tcBorders>
                    <w:top w:val="single" w:color="000000" w:sz="4" w:space="0"/>
                    <w:left w:val="single" w:color="000000" w:sz="4" w:space="0"/>
                    <w:bottom w:val="single" w:color="000000" w:sz="4" w:space="0"/>
                    <w:right w:val="single" w:color="000000" w:sz="4" w:space="0"/>
                  </w:tcBorders>
                  <w:noWrap w:val="0"/>
                  <w:vAlign w:val="center"/>
                </w:tcPr>
                <w:p w14:paraId="3457500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0C1E2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1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8D50C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1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AF3BF1">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1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DD0A67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1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DC894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17" w:type="dxa"/>
                  <w:tcBorders>
                    <w:top w:val="single" w:color="000000" w:sz="4" w:space="0"/>
                    <w:left w:val="single" w:color="000000" w:sz="4" w:space="0"/>
                    <w:bottom w:val="single" w:color="000000" w:sz="4" w:space="0"/>
                    <w:right w:val="single" w:color="000000" w:sz="4" w:space="0"/>
                  </w:tcBorders>
                  <w:noWrap w:val="0"/>
                  <w:vAlign w:val="center"/>
                </w:tcPr>
                <w:p w14:paraId="319379F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夜间</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0799C33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FF"/>
                      <w:sz w:val="22"/>
                      <w:szCs w:val="22"/>
                      <w:u w:val="none"/>
                      <w:lang w:val="en-US"/>
                    </w:rPr>
                  </w:pPr>
                  <w:r>
                    <w:rPr>
                      <w:rFonts w:hint="eastAsia" w:ascii="Times New Roman" w:hAnsi="Times New Roman" w:eastAsia="宋体" w:cs="Times New Roman"/>
                      <w:i w:val="0"/>
                      <w:iCs w:val="0"/>
                      <w:color w:val="0000FF"/>
                      <w:kern w:val="0"/>
                      <w:sz w:val="22"/>
                      <w:szCs w:val="22"/>
                      <w:u w:val="none"/>
                      <w:lang w:val="en-US" w:eastAsia="zh-CN" w:bidi="ar"/>
                    </w:rPr>
                    <w:t>47.81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D52712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55</w:t>
                  </w:r>
                </w:p>
              </w:tc>
              <w:tc>
                <w:tcPr>
                  <w:tcW w:w="918" w:type="dxa"/>
                  <w:tcBorders>
                    <w:top w:val="single" w:color="000000" w:sz="4" w:space="0"/>
                    <w:left w:val="single" w:color="000000" w:sz="4" w:space="0"/>
                    <w:bottom w:val="single" w:color="000000" w:sz="4" w:space="0"/>
                    <w:right w:val="single" w:color="000000" w:sz="4" w:space="0"/>
                  </w:tcBorders>
                  <w:noWrap w:val="0"/>
                  <w:vAlign w:val="center"/>
                </w:tcPr>
                <w:p w14:paraId="389EF00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0C75D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17" w:type="dxa"/>
                  <w:vMerge w:val="restart"/>
                  <w:tcBorders>
                    <w:top w:val="single" w:color="000000" w:sz="4" w:space="0"/>
                    <w:left w:val="single" w:color="000000" w:sz="4" w:space="0"/>
                    <w:bottom w:val="single" w:color="000000" w:sz="4" w:space="0"/>
                    <w:right w:val="single" w:color="000000" w:sz="4" w:space="0"/>
                  </w:tcBorders>
                  <w:noWrap w:val="0"/>
                  <w:vAlign w:val="center"/>
                </w:tcPr>
                <w:p w14:paraId="2223823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南侧</w:t>
                  </w:r>
                </w:p>
              </w:tc>
              <w:tc>
                <w:tcPr>
                  <w:tcW w:w="917" w:type="dxa"/>
                  <w:vMerge w:val="restart"/>
                  <w:tcBorders>
                    <w:top w:val="single" w:color="000000" w:sz="4" w:space="0"/>
                    <w:left w:val="single" w:color="000000" w:sz="4" w:space="0"/>
                    <w:bottom w:val="single" w:color="000000" w:sz="4" w:space="0"/>
                    <w:right w:val="single" w:color="000000" w:sz="4" w:space="0"/>
                  </w:tcBorders>
                  <w:noWrap w:val="0"/>
                  <w:vAlign w:val="center"/>
                </w:tcPr>
                <w:p w14:paraId="457BD1E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16</w:t>
                  </w:r>
                </w:p>
              </w:tc>
              <w:tc>
                <w:tcPr>
                  <w:tcW w:w="917" w:type="dxa"/>
                  <w:vMerge w:val="restart"/>
                  <w:tcBorders>
                    <w:top w:val="single" w:color="000000" w:sz="4" w:space="0"/>
                    <w:left w:val="single" w:color="000000" w:sz="4" w:space="0"/>
                    <w:bottom w:val="single" w:color="000000" w:sz="4" w:space="0"/>
                    <w:right w:val="single" w:color="000000" w:sz="4" w:space="0"/>
                  </w:tcBorders>
                  <w:noWrap w:val="0"/>
                  <w:vAlign w:val="center"/>
                </w:tcPr>
                <w:p w14:paraId="261E64D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w:t>
                  </w:r>
                </w:p>
              </w:tc>
              <w:tc>
                <w:tcPr>
                  <w:tcW w:w="917" w:type="dxa"/>
                  <w:vMerge w:val="restart"/>
                  <w:tcBorders>
                    <w:top w:val="single" w:color="000000" w:sz="4" w:space="0"/>
                    <w:left w:val="single" w:color="000000" w:sz="4" w:space="0"/>
                    <w:bottom w:val="single" w:color="000000" w:sz="4" w:space="0"/>
                    <w:right w:val="single" w:color="000000" w:sz="4" w:space="0"/>
                  </w:tcBorders>
                  <w:noWrap w:val="0"/>
                  <w:vAlign w:val="center"/>
                </w:tcPr>
                <w:p w14:paraId="39673CB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14:paraId="235FFCB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02F58D0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FF"/>
                      <w:sz w:val="22"/>
                      <w:szCs w:val="22"/>
                      <w:u w:val="none"/>
                      <w:lang w:val="en-US"/>
                    </w:rPr>
                  </w:pPr>
                  <w:r>
                    <w:rPr>
                      <w:rFonts w:hint="eastAsia" w:ascii="Times New Roman" w:hAnsi="Times New Roman" w:eastAsia="宋体" w:cs="Times New Roman"/>
                      <w:i w:val="0"/>
                      <w:iCs w:val="0"/>
                      <w:color w:val="0000FF"/>
                      <w:kern w:val="0"/>
                      <w:sz w:val="22"/>
                      <w:szCs w:val="22"/>
                      <w:u w:val="none"/>
                      <w:lang w:val="en-US" w:eastAsia="zh-CN" w:bidi="ar"/>
                    </w:rPr>
                    <w:t>58.12</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117B393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65</w:t>
                  </w:r>
                </w:p>
              </w:tc>
              <w:tc>
                <w:tcPr>
                  <w:tcW w:w="918" w:type="dxa"/>
                  <w:tcBorders>
                    <w:top w:val="single" w:color="000000" w:sz="4" w:space="0"/>
                    <w:left w:val="single" w:color="000000" w:sz="4" w:space="0"/>
                    <w:bottom w:val="single" w:color="000000" w:sz="4" w:space="0"/>
                    <w:right w:val="single" w:color="000000" w:sz="4" w:space="0"/>
                  </w:tcBorders>
                  <w:noWrap w:val="0"/>
                  <w:vAlign w:val="center"/>
                </w:tcPr>
                <w:p w14:paraId="1C64746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674F9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1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026513">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1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2ED83CD">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1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3FBEE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1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740F3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17" w:type="dxa"/>
                  <w:tcBorders>
                    <w:top w:val="single" w:color="000000" w:sz="4" w:space="0"/>
                    <w:left w:val="single" w:color="000000" w:sz="4" w:space="0"/>
                    <w:bottom w:val="single" w:color="000000" w:sz="4" w:space="0"/>
                    <w:right w:val="single" w:color="000000" w:sz="4" w:space="0"/>
                  </w:tcBorders>
                  <w:noWrap w:val="0"/>
                  <w:vAlign w:val="center"/>
                </w:tcPr>
                <w:p w14:paraId="28B2B75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夜间</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479957A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FF"/>
                      <w:sz w:val="22"/>
                      <w:szCs w:val="22"/>
                      <w:u w:val="none"/>
                      <w:lang w:val="en-US"/>
                    </w:rPr>
                  </w:pPr>
                  <w:r>
                    <w:rPr>
                      <w:rFonts w:hint="eastAsia" w:ascii="Times New Roman" w:hAnsi="Times New Roman" w:eastAsia="宋体" w:cs="Times New Roman"/>
                      <w:i w:val="0"/>
                      <w:iCs w:val="0"/>
                      <w:color w:val="0000FF"/>
                      <w:kern w:val="0"/>
                      <w:sz w:val="22"/>
                      <w:szCs w:val="22"/>
                      <w:u w:val="none"/>
                      <w:lang w:val="en-US" w:eastAsia="zh-CN" w:bidi="ar"/>
                    </w:rPr>
                    <w:t>52.21</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9EAEA7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55</w:t>
                  </w:r>
                </w:p>
              </w:tc>
              <w:tc>
                <w:tcPr>
                  <w:tcW w:w="918" w:type="dxa"/>
                  <w:tcBorders>
                    <w:top w:val="single" w:color="000000" w:sz="4" w:space="0"/>
                    <w:left w:val="single" w:color="000000" w:sz="4" w:space="0"/>
                    <w:bottom w:val="single" w:color="000000" w:sz="4" w:space="0"/>
                    <w:right w:val="single" w:color="000000" w:sz="4" w:space="0"/>
                  </w:tcBorders>
                  <w:noWrap w:val="0"/>
                  <w:vAlign w:val="center"/>
                </w:tcPr>
                <w:p w14:paraId="69625F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04317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17" w:type="dxa"/>
                  <w:vMerge w:val="restart"/>
                  <w:tcBorders>
                    <w:top w:val="single" w:color="000000" w:sz="4" w:space="0"/>
                    <w:left w:val="single" w:color="000000" w:sz="4" w:space="0"/>
                    <w:bottom w:val="single" w:color="000000" w:sz="4" w:space="0"/>
                    <w:right w:val="single" w:color="000000" w:sz="4" w:space="0"/>
                  </w:tcBorders>
                  <w:noWrap w:val="0"/>
                  <w:vAlign w:val="center"/>
                </w:tcPr>
                <w:p w14:paraId="5FEDBF1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西侧</w:t>
                  </w:r>
                </w:p>
              </w:tc>
              <w:tc>
                <w:tcPr>
                  <w:tcW w:w="917" w:type="dxa"/>
                  <w:vMerge w:val="restart"/>
                  <w:tcBorders>
                    <w:top w:val="single" w:color="000000" w:sz="4" w:space="0"/>
                    <w:left w:val="single" w:color="000000" w:sz="4" w:space="0"/>
                    <w:bottom w:val="single" w:color="000000" w:sz="4" w:space="0"/>
                    <w:right w:val="single" w:color="000000" w:sz="4" w:space="0"/>
                  </w:tcBorders>
                  <w:noWrap w:val="0"/>
                  <w:vAlign w:val="center"/>
                </w:tcPr>
                <w:p w14:paraId="224A308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-48</w:t>
                  </w:r>
                </w:p>
              </w:tc>
              <w:tc>
                <w:tcPr>
                  <w:tcW w:w="917" w:type="dxa"/>
                  <w:vMerge w:val="restart"/>
                  <w:tcBorders>
                    <w:top w:val="single" w:color="000000" w:sz="4" w:space="0"/>
                    <w:left w:val="single" w:color="000000" w:sz="4" w:space="0"/>
                    <w:bottom w:val="single" w:color="000000" w:sz="4" w:space="0"/>
                    <w:right w:val="single" w:color="000000" w:sz="4" w:space="0"/>
                  </w:tcBorders>
                  <w:noWrap w:val="0"/>
                  <w:vAlign w:val="center"/>
                </w:tcPr>
                <w:p w14:paraId="0507248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9</w:t>
                  </w:r>
                </w:p>
              </w:tc>
              <w:tc>
                <w:tcPr>
                  <w:tcW w:w="917" w:type="dxa"/>
                  <w:vMerge w:val="restart"/>
                  <w:tcBorders>
                    <w:top w:val="single" w:color="000000" w:sz="4" w:space="0"/>
                    <w:left w:val="single" w:color="000000" w:sz="4" w:space="0"/>
                    <w:bottom w:val="single" w:color="000000" w:sz="4" w:space="0"/>
                    <w:right w:val="single" w:color="000000" w:sz="4" w:space="0"/>
                  </w:tcBorders>
                  <w:noWrap w:val="0"/>
                  <w:vAlign w:val="center"/>
                </w:tcPr>
                <w:p w14:paraId="2F094EA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14:paraId="360CCDD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195B0D6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FF"/>
                      <w:sz w:val="22"/>
                      <w:szCs w:val="22"/>
                      <w:u w:val="none"/>
                      <w:lang w:val="en-US"/>
                    </w:rPr>
                  </w:pPr>
                  <w:r>
                    <w:rPr>
                      <w:rFonts w:hint="eastAsia" w:ascii="Times New Roman" w:hAnsi="Times New Roman" w:eastAsia="宋体" w:cs="Times New Roman"/>
                      <w:i w:val="0"/>
                      <w:iCs w:val="0"/>
                      <w:color w:val="0000FF"/>
                      <w:kern w:val="0"/>
                      <w:sz w:val="22"/>
                      <w:szCs w:val="22"/>
                      <w:u w:val="none"/>
                      <w:lang w:val="en-US" w:eastAsia="zh-CN" w:bidi="ar"/>
                    </w:rPr>
                    <w:t>57.98</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32AF883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65</w:t>
                  </w:r>
                </w:p>
              </w:tc>
              <w:tc>
                <w:tcPr>
                  <w:tcW w:w="918" w:type="dxa"/>
                  <w:tcBorders>
                    <w:top w:val="single" w:color="000000" w:sz="4" w:space="0"/>
                    <w:left w:val="single" w:color="000000" w:sz="4" w:space="0"/>
                    <w:bottom w:val="single" w:color="000000" w:sz="4" w:space="0"/>
                    <w:right w:val="single" w:color="000000" w:sz="4" w:space="0"/>
                  </w:tcBorders>
                  <w:noWrap w:val="0"/>
                  <w:vAlign w:val="center"/>
                </w:tcPr>
                <w:p w14:paraId="3A2EBAD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65D1D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1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47999B">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1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E96D98">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1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DB2BE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1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DE81656">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17" w:type="dxa"/>
                  <w:tcBorders>
                    <w:top w:val="single" w:color="000000" w:sz="4" w:space="0"/>
                    <w:left w:val="single" w:color="000000" w:sz="4" w:space="0"/>
                    <w:bottom w:val="single" w:color="000000" w:sz="4" w:space="0"/>
                    <w:right w:val="single" w:color="000000" w:sz="4" w:space="0"/>
                  </w:tcBorders>
                  <w:noWrap w:val="0"/>
                  <w:vAlign w:val="center"/>
                </w:tcPr>
                <w:p w14:paraId="3D2A1C1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夜间</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67DBF0B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FF"/>
                      <w:sz w:val="22"/>
                      <w:szCs w:val="22"/>
                      <w:u w:val="none"/>
                      <w:lang w:val="en-US"/>
                    </w:rPr>
                  </w:pPr>
                  <w:r>
                    <w:rPr>
                      <w:rFonts w:hint="eastAsia" w:ascii="Times New Roman" w:hAnsi="Times New Roman" w:eastAsia="宋体" w:cs="Times New Roman"/>
                      <w:i w:val="0"/>
                      <w:iCs w:val="0"/>
                      <w:color w:val="0000FF"/>
                      <w:kern w:val="0"/>
                      <w:sz w:val="22"/>
                      <w:szCs w:val="22"/>
                      <w:u w:val="none"/>
                      <w:lang w:val="en-US" w:eastAsia="zh-CN" w:bidi="ar"/>
                    </w:rPr>
                    <w:t>52.68</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B961BC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55</w:t>
                  </w:r>
                </w:p>
              </w:tc>
              <w:tc>
                <w:tcPr>
                  <w:tcW w:w="918" w:type="dxa"/>
                  <w:tcBorders>
                    <w:top w:val="single" w:color="000000" w:sz="4" w:space="0"/>
                    <w:left w:val="single" w:color="000000" w:sz="4" w:space="0"/>
                    <w:bottom w:val="single" w:color="000000" w:sz="4" w:space="0"/>
                    <w:right w:val="single" w:color="000000" w:sz="4" w:space="0"/>
                  </w:tcBorders>
                  <w:noWrap w:val="0"/>
                  <w:vAlign w:val="center"/>
                </w:tcPr>
                <w:p w14:paraId="7194222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32DD0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17" w:type="dxa"/>
                  <w:vMerge w:val="restart"/>
                  <w:tcBorders>
                    <w:top w:val="single" w:color="000000" w:sz="4" w:space="0"/>
                    <w:left w:val="single" w:color="000000" w:sz="4" w:space="0"/>
                    <w:bottom w:val="single" w:color="000000" w:sz="4" w:space="0"/>
                    <w:right w:val="single" w:color="000000" w:sz="4" w:space="0"/>
                  </w:tcBorders>
                  <w:noWrap w:val="0"/>
                  <w:vAlign w:val="center"/>
                </w:tcPr>
                <w:p w14:paraId="0EEA6DE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北侧</w:t>
                  </w:r>
                </w:p>
              </w:tc>
              <w:tc>
                <w:tcPr>
                  <w:tcW w:w="917" w:type="dxa"/>
                  <w:vMerge w:val="restart"/>
                  <w:tcBorders>
                    <w:top w:val="single" w:color="000000" w:sz="4" w:space="0"/>
                    <w:left w:val="single" w:color="000000" w:sz="4" w:space="0"/>
                    <w:bottom w:val="single" w:color="000000" w:sz="4" w:space="0"/>
                    <w:right w:val="single" w:color="000000" w:sz="4" w:space="0"/>
                  </w:tcBorders>
                  <w:noWrap w:val="0"/>
                  <w:vAlign w:val="center"/>
                </w:tcPr>
                <w:p w14:paraId="653D37F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917" w:type="dxa"/>
                  <w:vMerge w:val="restart"/>
                  <w:tcBorders>
                    <w:top w:val="single" w:color="000000" w:sz="4" w:space="0"/>
                    <w:left w:val="single" w:color="000000" w:sz="4" w:space="0"/>
                    <w:bottom w:val="single" w:color="000000" w:sz="4" w:space="0"/>
                    <w:right w:val="single" w:color="000000" w:sz="4" w:space="0"/>
                  </w:tcBorders>
                  <w:noWrap w:val="0"/>
                  <w:vAlign w:val="center"/>
                </w:tcPr>
                <w:p w14:paraId="6027619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w:t>
                  </w:r>
                </w:p>
              </w:tc>
              <w:tc>
                <w:tcPr>
                  <w:tcW w:w="917" w:type="dxa"/>
                  <w:vMerge w:val="restart"/>
                  <w:tcBorders>
                    <w:top w:val="single" w:color="000000" w:sz="4" w:space="0"/>
                    <w:left w:val="single" w:color="000000" w:sz="4" w:space="0"/>
                    <w:bottom w:val="single" w:color="000000" w:sz="4" w:space="0"/>
                    <w:right w:val="single" w:color="000000" w:sz="4" w:space="0"/>
                  </w:tcBorders>
                  <w:noWrap w:val="0"/>
                  <w:vAlign w:val="center"/>
                </w:tcPr>
                <w:p w14:paraId="15A3FCC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917" w:type="dxa"/>
                  <w:tcBorders>
                    <w:top w:val="single" w:color="000000" w:sz="4" w:space="0"/>
                    <w:left w:val="single" w:color="000000" w:sz="4" w:space="0"/>
                    <w:bottom w:val="single" w:color="000000" w:sz="4" w:space="0"/>
                    <w:right w:val="single" w:color="000000" w:sz="4" w:space="0"/>
                  </w:tcBorders>
                  <w:noWrap w:val="0"/>
                  <w:vAlign w:val="center"/>
                </w:tcPr>
                <w:p w14:paraId="0D117A0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昼间</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25A69FE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FF"/>
                      <w:sz w:val="22"/>
                      <w:szCs w:val="22"/>
                      <w:u w:val="none"/>
                      <w:lang w:val="en-US"/>
                    </w:rPr>
                  </w:pPr>
                  <w:r>
                    <w:rPr>
                      <w:rFonts w:hint="eastAsia" w:ascii="Times New Roman" w:hAnsi="Times New Roman" w:eastAsia="宋体" w:cs="Times New Roman"/>
                      <w:i w:val="0"/>
                      <w:iCs w:val="0"/>
                      <w:color w:val="0000FF"/>
                      <w:kern w:val="0"/>
                      <w:sz w:val="22"/>
                      <w:szCs w:val="22"/>
                      <w:u w:val="none"/>
                      <w:lang w:val="en-US" w:eastAsia="zh-CN" w:bidi="ar"/>
                    </w:rPr>
                    <w:t>58.88</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23F3A6C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65</w:t>
                  </w:r>
                </w:p>
              </w:tc>
              <w:tc>
                <w:tcPr>
                  <w:tcW w:w="918" w:type="dxa"/>
                  <w:tcBorders>
                    <w:top w:val="single" w:color="000000" w:sz="4" w:space="0"/>
                    <w:left w:val="single" w:color="000000" w:sz="4" w:space="0"/>
                    <w:bottom w:val="single" w:color="000000" w:sz="4" w:space="0"/>
                    <w:right w:val="single" w:color="000000" w:sz="4" w:space="0"/>
                  </w:tcBorders>
                  <w:noWrap w:val="0"/>
                  <w:vAlign w:val="center"/>
                </w:tcPr>
                <w:p w14:paraId="4475709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r w14:paraId="55051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1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56A52D">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1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8DC64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1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3FEE70">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1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196F4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u w:val="none"/>
                    </w:rPr>
                  </w:pPr>
                </w:p>
              </w:tc>
              <w:tc>
                <w:tcPr>
                  <w:tcW w:w="917" w:type="dxa"/>
                  <w:tcBorders>
                    <w:top w:val="single" w:color="000000" w:sz="4" w:space="0"/>
                    <w:left w:val="single" w:color="000000" w:sz="4" w:space="0"/>
                    <w:bottom w:val="single" w:color="000000" w:sz="4" w:space="0"/>
                    <w:right w:val="single" w:color="000000" w:sz="4" w:space="0"/>
                  </w:tcBorders>
                  <w:noWrap w:val="0"/>
                  <w:vAlign w:val="center"/>
                </w:tcPr>
                <w:p w14:paraId="5EE35C5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夜间</w:t>
                  </w:r>
                </w:p>
              </w:tc>
              <w:tc>
                <w:tcPr>
                  <w:tcW w:w="1500" w:type="dxa"/>
                  <w:tcBorders>
                    <w:top w:val="single" w:color="000000" w:sz="4" w:space="0"/>
                    <w:left w:val="single" w:color="000000" w:sz="4" w:space="0"/>
                    <w:bottom w:val="single" w:color="000000" w:sz="4" w:space="0"/>
                    <w:right w:val="single" w:color="000000" w:sz="4" w:space="0"/>
                  </w:tcBorders>
                  <w:noWrap/>
                  <w:vAlign w:val="center"/>
                </w:tcPr>
                <w:p w14:paraId="652FCD01">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FF"/>
                      <w:sz w:val="22"/>
                      <w:szCs w:val="22"/>
                      <w:u w:val="none"/>
                      <w:lang w:val="en-US"/>
                    </w:rPr>
                  </w:pPr>
                  <w:r>
                    <w:rPr>
                      <w:rFonts w:hint="eastAsia" w:ascii="Times New Roman" w:hAnsi="Times New Roman" w:eastAsia="宋体" w:cs="Times New Roman"/>
                      <w:i w:val="0"/>
                      <w:iCs w:val="0"/>
                      <w:color w:val="0000FF"/>
                      <w:kern w:val="0"/>
                      <w:sz w:val="22"/>
                      <w:szCs w:val="22"/>
                      <w:u w:val="none"/>
                      <w:lang w:val="en-US" w:eastAsia="zh-CN" w:bidi="ar"/>
                    </w:rPr>
                    <w:t>52.57</w:t>
                  </w:r>
                </w:p>
              </w:tc>
              <w:tc>
                <w:tcPr>
                  <w:tcW w:w="1501" w:type="dxa"/>
                  <w:tcBorders>
                    <w:top w:val="single" w:color="000000" w:sz="4" w:space="0"/>
                    <w:left w:val="single" w:color="000000" w:sz="4" w:space="0"/>
                    <w:bottom w:val="single" w:color="000000" w:sz="4" w:space="0"/>
                    <w:right w:val="single" w:color="000000" w:sz="4" w:space="0"/>
                  </w:tcBorders>
                  <w:noWrap/>
                  <w:vAlign w:val="center"/>
                </w:tcPr>
                <w:p w14:paraId="5CF7F77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55</w:t>
                  </w:r>
                </w:p>
              </w:tc>
              <w:tc>
                <w:tcPr>
                  <w:tcW w:w="918" w:type="dxa"/>
                  <w:tcBorders>
                    <w:top w:val="single" w:color="000000" w:sz="4" w:space="0"/>
                    <w:left w:val="single" w:color="000000" w:sz="4" w:space="0"/>
                    <w:bottom w:val="single" w:color="000000" w:sz="4" w:space="0"/>
                    <w:right w:val="single" w:color="000000" w:sz="4" w:space="0"/>
                  </w:tcBorders>
                  <w:noWrap w:val="0"/>
                  <w:vAlign w:val="center"/>
                </w:tcPr>
                <w:p w14:paraId="36F747E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达标</w:t>
                  </w:r>
                </w:p>
              </w:tc>
            </w:tr>
          </w:tbl>
          <w:p w14:paraId="2FE7B1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baseline"/>
              <w:rPr>
                <w:rFonts w:hint="default" w:ascii="Times New Roman" w:hAnsi="Times New Roman" w:cs="Times New Roman"/>
                <w:color w:val="auto"/>
                <w:sz w:val="24"/>
              </w:rPr>
            </w:pPr>
            <w:r>
              <w:rPr>
                <w:rFonts w:hint="default" w:ascii="Times New Roman" w:hAnsi="Times New Roman" w:cs="Times New Roman"/>
                <w:color w:val="auto"/>
                <w:sz w:val="24"/>
              </w:rPr>
              <w:t>由上表可知，正常工况下，项目营运期厂界昼间</w:t>
            </w:r>
            <w:r>
              <w:rPr>
                <w:rFonts w:hint="eastAsia" w:ascii="Times New Roman" w:hAnsi="Times New Roman" w:cs="Times New Roman"/>
                <w:color w:val="auto"/>
                <w:sz w:val="24"/>
                <w:lang w:val="en-US" w:eastAsia="zh-CN"/>
              </w:rPr>
              <w:t>和夜间</w:t>
            </w:r>
            <w:r>
              <w:rPr>
                <w:rFonts w:hint="default" w:ascii="Times New Roman" w:hAnsi="Times New Roman" w:cs="Times New Roman"/>
                <w:color w:val="auto"/>
                <w:sz w:val="24"/>
              </w:rPr>
              <w:t>噪声</w:t>
            </w:r>
            <w:r>
              <w:rPr>
                <w:rFonts w:hint="eastAsia" w:ascii="Times New Roman" w:hAnsi="Times New Roman" w:cs="Times New Roman"/>
                <w:color w:val="auto"/>
                <w:sz w:val="24"/>
                <w:lang w:val="en-US" w:eastAsia="zh-CN"/>
              </w:rPr>
              <w:t>均</w:t>
            </w:r>
            <w:r>
              <w:rPr>
                <w:rFonts w:hint="default" w:ascii="Times New Roman" w:hAnsi="Times New Roman" w:cs="Times New Roman"/>
                <w:color w:val="auto"/>
                <w:sz w:val="24"/>
              </w:rPr>
              <w:t>满足《工业企业厂界环境噪声排放标准》（GB12348-2008）3类标准要求。</w:t>
            </w:r>
          </w:p>
          <w:p w14:paraId="2A63675F">
            <w:pPr>
              <w:keepNext w:val="0"/>
              <w:keepLines w:val="0"/>
              <w:pageBreakBefore w:val="0"/>
              <w:widowControl w:val="0"/>
              <w:kinsoku/>
              <w:wordWrap/>
              <w:overflowPunct/>
              <w:topLinePunct w:val="0"/>
              <w:autoSpaceDE/>
              <w:autoSpaceDN/>
              <w:bidi w:val="0"/>
              <w:adjustRightInd/>
              <w:snapToGrid/>
              <w:spacing w:line="360" w:lineRule="auto"/>
              <w:jc w:val="left"/>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4.2.3.3声环境影响分析</w:t>
            </w:r>
          </w:p>
          <w:p w14:paraId="7124BC02">
            <w:pPr>
              <w:pStyle w:val="49"/>
              <w:keepNext w:val="0"/>
              <w:keepLines w:val="0"/>
              <w:pageBreakBefore w:val="0"/>
              <w:widowControl w:val="0"/>
              <w:kinsoku/>
              <w:wordWrap/>
              <w:overflowPunct/>
              <w:topLinePunct w:val="0"/>
              <w:autoSpaceDE/>
              <w:autoSpaceDN/>
              <w:bidi w:val="0"/>
              <w:adjustRightInd/>
              <w:snapToGrid/>
              <w:ind w:firstLine="480"/>
              <w:rPr>
                <w:rFonts w:hint="default" w:ascii="Times New Roman" w:hAnsi="Times New Roman" w:cs="Times New Roman"/>
                <w:b/>
                <w:color w:val="auto"/>
              </w:rPr>
            </w:pPr>
            <w:r>
              <w:rPr>
                <w:rFonts w:hint="default" w:ascii="Times New Roman" w:hAnsi="Times New Roman" w:cs="Times New Roman"/>
                <w:color w:val="auto"/>
                <w:kern w:val="0"/>
              </w:rPr>
              <w:t>项目采取的主要噪声控制措施是</w:t>
            </w:r>
            <w:r>
              <w:rPr>
                <w:rFonts w:hint="default" w:ascii="Times New Roman" w:hAnsi="Times New Roman" w:cs="Times New Roman"/>
                <w:color w:val="auto"/>
              </w:rPr>
              <w:t>选用低噪声设备、基础减振、厂房隔声、距离衰减等措施</w:t>
            </w:r>
            <w:r>
              <w:rPr>
                <w:rFonts w:hint="default" w:ascii="Times New Roman" w:hAnsi="Times New Roman" w:cs="Times New Roman"/>
                <w:color w:val="auto"/>
                <w:kern w:val="0"/>
              </w:rPr>
              <w:t>，</w:t>
            </w:r>
            <w:r>
              <w:rPr>
                <w:rFonts w:hint="eastAsia" w:ascii="Times New Roman" w:hAnsi="Times New Roman" w:cs="Times New Roman"/>
                <w:color w:val="auto"/>
                <w:kern w:val="0"/>
                <w:lang w:val="en-US" w:eastAsia="zh-CN"/>
              </w:rPr>
              <w:t>以</w:t>
            </w:r>
            <w:r>
              <w:rPr>
                <w:rFonts w:hint="default" w:ascii="Times New Roman" w:hAnsi="Times New Roman" w:cs="Times New Roman"/>
                <w:color w:val="auto"/>
                <w:kern w:val="0"/>
              </w:rPr>
              <w:t>达到控制噪声的目的。</w:t>
            </w:r>
            <w:r>
              <w:rPr>
                <w:rFonts w:hint="default" w:ascii="Times New Roman" w:hAnsi="Times New Roman" w:cs="Times New Roman"/>
                <w:bCs/>
                <w:color w:val="auto"/>
                <w:kern w:val="0"/>
              </w:rPr>
              <w:t>厂界噪声能够满足《工业企业厂界环境噪声排放标准》（GB12348-2008）3类排放标准要求。</w:t>
            </w:r>
          </w:p>
          <w:p w14:paraId="0DF207C3">
            <w:pPr>
              <w:pStyle w:val="49"/>
              <w:keepNext w:val="0"/>
              <w:keepLines w:val="0"/>
              <w:pageBreakBefore w:val="0"/>
              <w:widowControl w:val="0"/>
              <w:kinsoku/>
              <w:wordWrap/>
              <w:overflowPunct/>
              <w:topLinePunct w:val="0"/>
              <w:autoSpaceDE/>
              <w:autoSpaceDN/>
              <w:bidi w:val="0"/>
              <w:adjustRightInd/>
              <w:snapToGrid/>
              <w:ind w:firstLine="0" w:firstLineChars="0"/>
              <w:rPr>
                <w:rFonts w:hint="default" w:ascii="Times New Roman" w:hAnsi="Times New Roman" w:cs="Times New Roman"/>
                <w:b/>
                <w:color w:val="auto"/>
              </w:rPr>
            </w:pPr>
            <w:r>
              <w:rPr>
                <w:rFonts w:hint="default" w:ascii="Times New Roman" w:hAnsi="Times New Roman" w:cs="Times New Roman"/>
                <w:b/>
                <w:color w:val="auto"/>
              </w:rPr>
              <w:t>4.2.3.4营运期噪声监测计划</w:t>
            </w:r>
          </w:p>
          <w:p w14:paraId="03DA4E04">
            <w:pPr>
              <w:pStyle w:val="49"/>
              <w:keepNext w:val="0"/>
              <w:keepLines w:val="0"/>
              <w:pageBreakBefore w:val="0"/>
              <w:widowControl w:val="0"/>
              <w:kinsoku/>
              <w:wordWrap/>
              <w:overflowPunct/>
              <w:topLinePunct w:val="0"/>
              <w:autoSpaceDE/>
              <w:autoSpaceDN/>
              <w:bidi w:val="0"/>
              <w:adjustRightInd/>
              <w:snapToGrid/>
              <w:ind w:firstLine="480"/>
              <w:rPr>
                <w:rFonts w:hint="default" w:ascii="Times New Roman" w:hAnsi="Times New Roman" w:cs="Times New Roman"/>
                <w:b/>
                <w:color w:val="auto"/>
              </w:rPr>
            </w:pPr>
            <w:r>
              <w:rPr>
                <w:rFonts w:hint="default" w:ascii="Times New Roman" w:hAnsi="Times New Roman" w:cs="Times New Roman"/>
                <w:color w:val="auto"/>
              </w:rPr>
              <w:t>根据《排污许可证申请与核发技术规范 工业噪声》（HJ 1301-2023），</w:t>
            </w:r>
            <w:r>
              <w:rPr>
                <w:rFonts w:hint="default" w:ascii="Times New Roman" w:hAnsi="Times New Roman" w:cs="Times New Roman"/>
                <w:color w:val="auto"/>
                <w:szCs w:val="24"/>
              </w:rPr>
              <w:t>本项目</w:t>
            </w:r>
            <w:r>
              <w:rPr>
                <w:rFonts w:hint="default" w:ascii="Times New Roman" w:hAnsi="Times New Roman" w:cs="Times New Roman"/>
                <w:color w:val="auto"/>
              </w:rPr>
              <w:t>噪声监测计划见表4</w:t>
            </w:r>
            <w:r>
              <w:rPr>
                <w:rFonts w:hint="eastAsia" w:ascii="Times New Roman" w:hAnsi="Times New Roman" w:cs="Times New Roman"/>
                <w:color w:val="auto"/>
                <w:lang w:val="en-US" w:eastAsia="zh-CN"/>
              </w:rPr>
              <w:t>.2-22</w:t>
            </w:r>
            <w:r>
              <w:rPr>
                <w:rFonts w:hint="default" w:ascii="Times New Roman" w:hAnsi="Times New Roman" w:cs="Times New Roman"/>
                <w:color w:val="auto"/>
              </w:rPr>
              <w:t>。</w:t>
            </w:r>
          </w:p>
          <w:p w14:paraId="1F80C615">
            <w:pPr>
              <w:autoSpaceDE w:val="0"/>
              <w:autoSpaceDN w:val="0"/>
              <w:adjustRightInd w:val="0"/>
              <w:spacing w:line="240" w:lineRule="auto"/>
              <w:jc w:val="center"/>
              <w:textAlignment w:val="baseline"/>
              <w:rPr>
                <w:rFonts w:hint="default" w:ascii="Times New Roman" w:hAnsi="Times New Roman" w:cs="Times New Roman"/>
                <w:b/>
                <w:bCs/>
                <w:color w:val="auto"/>
                <w:sz w:val="24"/>
              </w:rPr>
            </w:pPr>
            <w:r>
              <w:rPr>
                <w:rFonts w:hint="default" w:ascii="Times New Roman" w:hAnsi="Times New Roman" w:cs="Times New Roman"/>
                <w:b/>
                <w:bCs/>
                <w:color w:val="auto"/>
                <w:sz w:val="24"/>
              </w:rPr>
              <w:t>表4.2-2</w:t>
            </w:r>
            <w:r>
              <w:rPr>
                <w:rFonts w:hint="eastAsia" w:ascii="Times New Roman" w:hAnsi="Times New Roman" w:cs="Times New Roman"/>
                <w:b/>
                <w:bCs/>
                <w:color w:val="auto"/>
                <w:sz w:val="24"/>
                <w:lang w:val="en-US" w:eastAsia="zh-CN"/>
              </w:rPr>
              <w:t>2</w:t>
            </w:r>
            <w:r>
              <w:rPr>
                <w:rFonts w:hint="default" w:ascii="Times New Roman" w:hAnsi="Times New Roman" w:cs="Times New Roman"/>
                <w:b/>
                <w:bCs/>
                <w:color w:val="auto"/>
                <w:sz w:val="24"/>
              </w:rPr>
              <w:t xml:space="preserve">  项目声环境监测计划一览表</w:t>
            </w:r>
          </w:p>
          <w:tbl>
            <w:tblPr>
              <w:tblStyle w:val="35"/>
              <w:tblW w:w="85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8"/>
              <w:gridCol w:w="3020"/>
              <w:gridCol w:w="1950"/>
              <w:gridCol w:w="1911"/>
            </w:tblGrid>
            <w:tr w14:paraId="6A533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718" w:type="dxa"/>
                  <w:noWrap w:val="0"/>
                  <w:vAlign w:val="center"/>
                </w:tcPr>
                <w:p w14:paraId="7A2A5E2F">
                  <w:pPr>
                    <w:spacing w:line="240" w:lineRule="auto"/>
                    <w:jc w:val="center"/>
                    <w:rPr>
                      <w:rFonts w:hint="default" w:ascii="Times New Roman" w:hAnsi="Times New Roman" w:cs="Times New Roman"/>
                      <w:color w:val="auto"/>
                    </w:rPr>
                  </w:pPr>
                  <w:r>
                    <w:rPr>
                      <w:rFonts w:hint="default" w:ascii="Times New Roman" w:hAnsi="Times New Roman" w:cs="Times New Roman"/>
                      <w:color w:val="auto"/>
                    </w:rPr>
                    <w:t>类别</w:t>
                  </w:r>
                </w:p>
              </w:tc>
              <w:tc>
                <w:tcPr>
                  <w:tcW w:w="3020" w:type="dxa"/>
                  <w:noWrap w:val="0"/>
                  <w:vAlign w:val="center"/>
                </w:tcPr>
                <w:p w14:paraId="36394775">
                  <w:pPr>
                    <w:spacing w:line="240" w:lineRule="auto"/>
                    <w:jc w:val="center"/>
                    <w:rPr>
                      <w:rFonts w:hint="default" w:ascii="Times New Roman" w:hAnsi="Times New Roman" w:cs="Times New Roman"/>
                      <w:color w:val="auto"/>
                    </w:rPr>
                  </w:pPr>
                  <w:r>
                    <w:rPr>
                      <w:rFonts w:hint="default" w:ascii="Times New Roman" w:hAnsi="Times New Roman" w:cs="Times New Roman"/>
                      <w:color w:val="auto"/>
                    </w:rPr>
                    <w:t>监测因子</w:t>
                  </w:r>
                </w:p>
              </w:tc>
              <w:tc>
                <w:tcPr>
                  <w:tcW w:w="1950" w:type="dxa"/>
                  <w:noWrap w:val="0"/>
                  <w:vAlign w:val="center"/>
                </w:tcPr>
                <w:p w14:paraId="14A5B27C">
                  <w:pPr>
                    <w:spacing w:line="240" w:lineRule="auto"/>
                    <w:jc w:val="center"/>
                    <w:rPr>
                      <w:rFonts w:hint="default" w:ascii="Times New Roman" w:hAnsi="Times New Roman" w:cs="Times New Roman"/>
                      <w:color w:val="auto"/>
                    </w:rPr>
                  </w:pPr>
                  <w:r>
                    <w:rPr>
                      <w:rFonts w:hint="default" w:ascii="Times New Roman" w:hAnsi="Times New Roman" w:cs="Times New Roman"/>
                      <w:color w:val="auto"/>
                    </w:rPr>
                    <w:t>监测点位</w:t>
                  </w:r>
                </w:p>
              </w:tc>
              <w:tc>
                <w:tcPr>
                  <w:tcW w:w="1911" w:type="dxa"/>
                  <w:noWrap w:val="0"/>
                  <w:vAlign w:val="center"/>
                </w:tcPr>
                <w:p w14:paraId="40261024">
                  <w:pPr>
                    <w:spacing w:line="240" w:lineRule="auto"/>
                    <w:jc w:val="center"/>
                    <w:rPr>
                      <w:rFonts w:hint="default" w:ascii="Times New Roman" w:hAnsi="Times New Roman" w:cs="Times New Roman"/>
                      <w:color w:val="auto"/>
                    </w:rPr>
                  </w:pPr>
                  <w:r>
                    <w:rPr>
                      <w:rFonts w:hint="default" w:ascii="Times New Roman" w:hAnsi="Times New Roman" w:cs="Times New Roman"/>
                      <w:color w:val="auto"/>
                    </w:rPr>
                    <w:t>监测频率</w:t>
                  </w:r>
                </w:p>
              </w:tc>
            </w:tr>
            <w:tr w14:paraId="06E4D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18" w:type="dxa"/>
                  <w:noWrap w:val="0"/>
                  <w:vAlign w:val="center"/>
                </w:tcPr>
                <w:p w14:paraId="3700ED38">
                  <w:pPr>
                    <w:spacing w:line="240" w:lineRule="auto"/>
                    <w:jc w:val="center"/>
                    <w:rPr>
                      <w:rFonts w:hint="default" w:ascii="Times New Roman" w:hAnsi="Times New Roman" w:cs="Times New Roman"/>
                      <w:color w:val="auto"/>
                    </w:rPr>
                  </w:pPr>
                  <w:r>
                    <w:rPr>
                      <w:rFonts w:hint="default" w:ascii="Times New Roman" w:hAnsi="Times New Roman" w:cs="Times New Roman"/>
                      <w:color w:val="auto"/>
                    </w:rPr>
                    <w:t>噪声</w:t>
                  </w:r>
                </w:p>
              </w:tc>
              <w:tc>
                <w:tcPr>
                  <w:tcW w:w="3020" w:type="dxa"/>
                  <w:noWrap w:val="0"/>
                  <w:vAlign w:val="center"/>
                </w:tcPr>
                <w:p w14:paraId="33CE7F47">
                  <w:pPr>
                    <w:spacing w:line="240" w:lineRule="auto"/>
                    <w:jc w:val="center"/>
                    <w:rPr>
                      <w:rFonts w:hint="default" w:ascii="Times New Roman" w:hAnsi="Times New Roman" w:cs="Times New Roman"/>
                      <w:color w:val="auto"/>
                    </w:rPr>
                  </w:pPr>
                  <w:r>
                    <w:rPr>
                      <w:rFonts w:hint="default" w:ascii="Times New Roman" w:hAnsi="Times New Roman" w:cs="Times New Roman"/>
                      <w:color w:val="auto"/>
                    </w:rPr>
                    <w:t>等效连续A声级</w:t>
                  </w:r>
                </w:p>
              </w:tc>
              <w:tc>
                <w:tcPr>
                  <w:tcW w:w="1950" w:type="dxa"/>
                  <w:noWrap w:val="0"/>
                  <w:vAlign w:val="center"/>
                </w:tcPr>
                <w:p w14:paraId="2378FEB1">
                  <w:pPr>
                    <w:spacing w:line="240" w:lineRule="auto"/>
                    <w:jc w:val="center"/>
                    <w:rPr>
                      <w:rFonts w:hint="default" w:ascii="Times New Roman" w:hAnsi="Times New Roman" w:cs="Times New Roman"/>
                      <w:color w:val="auto"/>
                    </w:rPr>
                  </w:pPr>
                  <w:r>
                    <w:rPr>
                      <w:rFonts w:hint="default" w:ascii="Times New Roman" w:hAnsi="Times New Roman" w:cs="Times New Roman"/>
                      <w:color w:val="auto"/>
                    </w:rPr>
                    <w:t>厂界</w:t>
                  </w:r>
                </w:p>
              </w:tc>
              <w:tc>
                <w:tcPr>
                  <w:tcW w:w="1911" w:type="dxa"/>
                  <w:noWrap w:val="0"/>
                  <w:vAlign w:val="center"/>
                </w:tcPr>
                <w:p w14:paraId="1D4E3CD4">
                  <w:pPr>
                    <w:spacing w:line="240" w:lineRule="auto"/>
                    <w:jc w:val="center"/>
                    <w:rPr>
                      <w:rFonts w:hint="default" w:ascii="Times New Roman" w:hAnsi="Times New Roman" w:cs="Times New Roman"/>
                      <w:color w:val="auto"/>
                    </w:rPr>
                  </w:pPr>
                  <w:r>
                    <w:rPr>
                      <w:rFonts w:hint="default" w:ascii="Times New Roman" w:hAnsi="Times New Roman" w:cs="Times New Roman"/>
                      <w:color w:val="auto"/>
                    </w:rPr>
                    <w:t>1次/季度</w:t>
                  </w:r>
                </w:p>
              </w:tc>
            </w:tr>
          </w:tbl>
          <w:p w14:paraId="14D655C1">
            <w:pPr>
              <w:pStyle w:val="49"/>
              <w:keepNext w:val="0"/>
              <w:keepLines w:val="0"/>
              <w:pageBreakBefore w:val="0"/>
              <w:widowControl w:val="0"/>
              <w:kinsoku/>
              <w:wordWrap/>
              <w:overflowPunct/>
              <w:topLinePunct w:val="0"/>
              <w:autoSpaceDE/>
              <w:autoSpaceDN/>
              <w:bidi w:val="0"/>
              <w:ind w:firstLine="0" w:firstLineChars="0"/>
              <w:textAlignment w:val="auto"/>
              <w:rPr>
                <w:rFonts w:hint="default" w:ascii="Times New Roman" w:hAnsi="Times New Roman" w:cs="Times New Roman"/>
                <w:b/>
                <w:color w:val="auto"/>
              </w:rPr>
            </w:pPr>
            <w:r>
              <w:rPr>
                <w:rFonts w:hint="default" w:ascii="Times New Roman" w:hAnsi="Times New Roman" w:cs="Times New Roman"/>
                <w:b/>
                <w:color w:val="auto"/>
              </w:rPr>
              <w:t xml:space="preserve">4.2.4 </w:t>
            </w:r>
            <w:r>
              <w:rPr>
                <w:rFonts w:hint="default" w:ascii="Times New Roman" w:hAnsi="Times New Roman" w:cs="Times New Roman"/>
                <w:b/>
                <w:color w:val="auto"/>
                <w:szCs w:val="24"/>
              </w:rPr>
              <w:t>固体废物</w:t>
            </w:r>
          </w:p>
          <w:p w14:paraId="597626C5">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4.2.4.1固体废物产生量及处置措施</w:t>
            </w:r>
          </w:p>
          <w:p w14:paraId="73917E0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本项目固体废物主要为一般工业固体废物、危险废物和生活垃圾。</w:t>
            </w:r>
            <w:r>
              <w:rPr>
                <w:rFonts w:hint="default" w:ascii="Times New Roman" w:hAnsi="Times New Roman" w:cs="Times New Roman"/>
                <w:color w:val="auto"/>
                <w:sz w:val="24"/>
                <w:lang w:bidi="ar"/>
              </w:rPr>
              <w:t>具体如下：</w:t>
            </w:r>
          </w:p>
          <w:p w14:paraId="44F4CDBB">
            <w:pPr>
              <w:pStyle w:val="18"/>
              <w:keepNext w:val="0"/>
              <w:keepLines w:val="0"/>
              <w:pageBreakBefore w:val="0"/>
              <w:widowControl w:val="0"/>
              <w:numPr>
                <w:ilvl w:val="0"/>
                <w:numId w:val="0"/>
              </w:numPr>
              <w:kinsoku/>
              <w:wordWrap/>
              <w:overflowPunct/>
              <w:topLinePunct w:val="0"/>
              <w:autoSpaceDE/>
              <w:autoSpaceDN/>
              <w:bidi w:val="0"/>
              <w:spacing w:line="360" w:lineRule="auto"/>
              <w:ind w:firstLine="482" w:firstLineChars="200"/>
              <w:textAlignment w:val="auto"/>
              <w:rPr>
                <w:rFonts w:hint="default" w:ascii="Times New Roman" w:hAnsi="Times New Roman" w:cs="Times New Roman"/>
                <w:b/>
                <w:color w:val="0000FF"/>
                <w:sz w:val="24"/>
              </w:rPr>
            </w:pPr>
            <w:r>
              <w:rPr>
                <w:rFonts w:hint="default" w:ascii="Times New Roman" w:hAnsi="Times New Roman" w:cs="Times New Roman"/>
                <w:b/>
                <w:color w:val="0000FF"/>
                <w:sz w:val="24"/>
              </w:rPr>
              <w:t>1、生活垃圾</w:t>
            </w:r>
            <w:r>
              <w:rPr>
                <w:rFonts w:hint="default" w:ascii="Times New Roman" w:hAnsi="Times New Roman" w:cs="Times New Roman"/>
                <w:b w:val="0"/>
                <w:bCs/>
                <w:color w:val="0000FF"/>
                <w:sz w:val="24"/>
              </w:rPr>
              <w:t>（SW</w:t>
            </w:r>
            <w:r>
              <w:rPr>
                <w:rFonts w:hint="eastAsia" w:cs="Times New Roman"/>
                <w:b w:val="0"/>
                <w:bCs/>
                <w:color w:val="0000FF"/>
                <w:sz w:val="24"/>
                <w:lang w:val="en-US" w:eastAsia="zh-CN"/>
              </w:rPr>
              <w:t>64</w:t>
            </w:r>
            <w:r>
              <w:rPr>
                <w:rFonts w:hint="default" w:ascii="Times New Roman" w:hAnsi="Times New Roman" w:cs="Times New Roman"/>
                <w:b w:val="0"/>
                <w:bCs/>
                <w:color w:val="0000FF"/>
                <w:sz w:val="24"/>
              </w:rPr>
              <w:t>，900-099-S64）</w:t>
            </w:r>
          </w:p>
          <w:p w14:paraId="6479C0F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本项目年工作300d，劳动定员为</w:t>
            </w:r>
            <w:r>
              <w:rPr>
                <w:rFonts w:hint="default" w:ascii="Times New Roman" w:hAnsi="Times New Roman" w:cs="Times New Roman"/>
                <w:color w:val="auto"/>
                <w:sz w:val="24"/>
                <w:lang w:val="en-US" w:eastAsia="zh-CN"/>
              </w:rPr>
              <w:t>400</w:t>
            </w:r>
            <w:r>
              <w:rPr>
                <w:rFonts w:hint="default" w:ascii="Times New Roman" w:hAnsi="Times New Roman" w:cs="Times New Roman"/>
                <w:color w:val="auto"/>
                <w:sz w:val="24"/>
              </w:rPr>
              <w:t>人，员工生活垃圾按0.5kg/人·d计算。项目生活垃圾产生量为</w:t>
            </w:r>
            <w:r>
              <w:rPr>
                <w:rFonts w:hint="default" w:ascii="Times New Roman" w:hAnsi="Times New Roman" w:cs="Times New Roman"/>
                <w:color w:val="auto"/>
                <w:sz w:val="24"/>
                <w:lang w:val="en-US" w:eastAsia="zh-CN"/>
              </w:rPr>
              <w:t>60</w:t>
            </w:r>
            <w:r>
              <w:rPr>
                <w:rFonts w:hint="default" w:ascii="Times New Roman" w:hAnsi="Times New Roman" w:cs="Times New Roman"/>
                <w:color w:val="auto"/>
                <w:sz w:val="24"/>
              </w:rPr>
              <w:t>t/a。在厂区设垃圾桶，收集后交由环卫部门统一处理。</w:t>
            </w:r>
          </w:p>
          <w:p w14:paraId="701DB07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2、一般工业固体废物</w:t>
            </w:r>
          </w:p>
          <w:p w14:paraId="2C7C6C82">
            <w:pPr>
              <w:pStyle w:val="49"/>
              <w:keepNext w:val="0"/>
              <w:keepLines w:val="0"/>
              <w:pageBreakBefore w:val="0"/>
              <w:widowControl w:val="0"/>
              <w:kinsoku/>
              <w:wordWrap/>
              <w:overflowPunct/>
              <w:topLinePunct w:val="0"/>
              <w:autoSpaceDE/>
              <w:autoSpaceDN/>
              <w:bidi w:val="0"/>
              <w:ind w:firstLine="482"/>
              <w:textAlignment w:val="auto"/>
              <w:rPr>
                <w:rFonts w:hint="default" w:ascii="Times New Roman" w:hAnsi="Times New Roman" w:cs="Times New Roman"/>
                <w:b/>
                <w:bCs/>
                <w:color w:val="0000FF"/>
                <w:szCs w:val="24"/>
              </w:rPr>
            </w:pPr>
            <w:r>
              <w:rPr>
                <w:rFonts w:hint="default" w:ascii="Times New Roman" w:hAnsi="Times New Roman" w:cs="Times New Roman"/>
                <w:b/>
                <w:bCs/>
                <w:color w:val="0000FF"/>
                <w:szCs w:val="24"/>
              </w:rPr>
              <w:t>S</w:t>
            </w:r>
            <w:r>
              <w:rPr>
                <w:rFonts w:hint="default" w:ascii="Times New Roman" w:hAnsi="Times New Roman" w:cs="Times New Roman"/>
                <w:b/>
                <w:bCs/>
                <w:color w:val="0000FF"/>
                <w:szCs w:val="24"/>
                <w:highlight w:val="none"/>
              </w:rPr>
              <w:t>1废包装材料</w:t>
            </w:r>
            <w:r>
              <w:rPr>
                <w:rFonts w:hint="default" w:ascii="Times New Roman" w:hAnsi="Times New Roman" w:cs="Times New Roman"/>
                <w:color w:val="0000FF"/>
                <w:szCs w:val="24"/>
                <w:highlight w:val="none"/>
              </w:rPr>
              <w:t>（</w:t>
            </w:r>
            <w:r>
              <w:rPr>
                <w:rFonts w:hint="eastAsia"/>
                <w:bCs/>
                <w:color w:val="0000FF"/>
                <w:sz w:val="24"/>
              </w:rPr>
              <w:t>S</w:t>
            </w:r>
            <w:r>
              <w:rPr>
                <w:bCs/>
                <w:color w:val="0000FF"/>
                <w:sz w:val="24"/>
              </w:rPr>
              <w:t>W17</w:t>
            </w:r>
            <w:r>
              <w:rPr>
                <w:rFonts w:hint="eastAsia"/>
                <w:bCs/>
                <w:color w:val="0000FF"/>
                <w:sz w:val="24"/>
                <w:lang w:eastAsia="zh-CN"/>
              </w:rPr>
              <w:t>，</w:t>
            </w:r>
            <w:r>
              <w:rPr>
                <w:rFonts w:hint="default" w:ascii="Times New Roman" w:hAnsi="Times New Roman" w:cs="Times New Roman"/>
                <w:bCs/>
                <w:color w:val="0000FF"/>
                <w:highlight w:val="none"/>
              </w:rPr>
              <w:t>900-003-S17</w:t>
            </w:r>
            <w:r>
              <w:rPr>
                <w:rFonts w:hint="default" w:ascii="Times New Roman" w:hAnsi="Times New Roman" w:cs="Times New Roman"/>
                <w:color w:val="0000FF"/>
                <w:szCs w:val="24"/>
                <w:highlight w:val="none"/>
              </w:rPr>
              <w:t>）：根据建设单位提供资料，本项目原辅料年用量约</w:t>
            </w:r>
            <w:r>
              <w:rPr>
                <w:rFonts w:hint="eastAsia" w:cs="Times New Roman"/>
                <w:color w:val="0000FF"/>
                <w:szCs w:val="24"/>
                <w:highlight w:val="none"/>
                <w:lang w:val="en-US" w:eastAsia="zh-CN"/>
              </w:rPr>
              <w:t>1020.72513</w:t>
            </w:r>
            <w:r>
              <w:rPr>
                <w:rFonts w:hint="default" w:ascii="Times New Roman" w:hAnsi="Times New Roman" w:cs="Times New Roman"/>
                <w:color w:val="0000FF"/>
                <w:szCs w:val="24"/>
                <w:highlight w:val="none"/>
              </w:rPr>
              <w:t>吨。</w:t>
            </w:r>
            <w:r>
              <w:rPr>
                <w:rFonts w:hint="default" w:ascii="Times New Roman" w:hAnsi="Times New Roman" w:cs="Times New Roman"/>
                <w:color w:val="0000FF"/>
                <w:spacing w:val="-4"/>
                <w:szCs w:val="24"/>
                <w:highlight w:val="none"/>
              </w:rPr>
              <w:t>废包装袋约</w:t>
            </w:r>
            <w:r>
              <w:rPr>
                <w:rFonts w:hint="eastAsia" w:cs="Times New Roman"/>
                <w:color w:val="0000FF"/>
                <w:spacing w:val="-4"/>
                <w:szCs w:val="24"/>
                <w:highlight w:val="none"/>
                <w:lang w:val="en-US" w:eastAsia="zh-CN"/>
              </w:rPr>
              <w:t>46521</w:t>
            </w:r>
            <w:r>
              <w:rPr>
                <w:rFonts w:hint="default" w:ascii="Times New Roman" w:hAnsi="Times New Roman" w:cs="Times New Roman"/>
                <w:color w:val="0000FF"/>
                <w:spacing w:val="-4"/>
                <w:szCs w:val="24"/>
                <w:highlight w:val="none"/>
              </w:rPr>
              <w:t>个，单</w:t>
            </w:r>
            <w:r>
              <w:rPr>
                <w:rFonts w:hint="eastAsia" w:ascii="Times New Roman" w:hAnsi="Times New Roman" w:cs="Times New Roman"/>
                <w:color w:val="0000FF"/>
                <w:spacing w:val="-4"/>
                <w:szCs w:val="24"/>
                <w:highlight w:val="none"/>
                <w:lang w:val="en-US" w:eastAsia="zh-CN"/>
              </w:rPr>
              <w:t>个</w:t>
            </w:r>
            <w:r>
              <w:rPr>
                <w:rFonts w:hint="default" w:ascii="Times New Roman" w:hAnsi="Times New Roman" w:cs="Times New Roman"/>
                <w:color w:val="0000FF"/>
                <w:spacing w:val="-4"/>
                <w:szCs w:val="24"/>
                <w:highlight w:val="none"/>
              </w:rPr>
              <w:t>包装袋按50g计算。本项目废包装袋年产生量约</w:t>
            </w:r>
            <w:r>
              <w:rPr>
                <w:rFonts w:hint="eastAsia" w:cs="Times New Roman"/>
                <w:color w:val="0000FF"/>
                <w:spacing w:val="-4"/>
                <w:szCs w:val="24"/>
                <w:highlight w:val="none"/>
                <w:lang w:val="en-US" w:eastAsia="zh-CN"/>
              </w:rPr>
              <w:t>2.326</w:t>
            </w:r>
            <w:r>
              <w:rPr>
                <w:rFonts w:hint="default" w:ascii="Times New Roman" w:hAnsi="Times New Roman" w:eastAsia="Times New Roman" w:cs="Times New Roman"/>
                <w:color w:val="0000FF"/>
                <w:spacing w:val="-4"/>
                <w:szCs w:val="24"/>
                <w:highlight w:val="none"/>
              </w:rPr>
              <w:t>t</w:t>
            </w:r>
            <w:r>
              <w:rPr>
                <w:rFonts w:hint="default" w:ascii="Times New Roman" w:hAnsi="Times New Roman" w:cs="Times New Roman"/>
                <w:color w:val="0000FF"/>
                <w:spacing w:val="-4"/>
                <w:szCs w:val="24"/>
                <w:highlight w:val="none"/>
              </w:rPr>
              <w:t>。废包装材</w:t>
            </w:r>
            <w:r>
              <w:rPr>
                <w:rFonts w:hint="default" w:ascii="Times New Roman" w:hAnsi="Times New Roman" w:cs="Times New Roman"/>
                <w:color w:val="0000FF"/>
                <w:spacing w:val="-4"/>
                <w:szCs w:val="24"/>
              </w:rPr>
              <w:t>料</w:t>
            </w:r>
            <w:r>
              <w:rPr>
                <w:rFonts w:hint="default" w:ascii="Times New Roman" w:hAnsi="Times New Roman" w:cs="Times New Roman"/>
                <w:color w:val="0000FF"/>
                <w:szCs w:val="24"/>
              </w:rPr>
              <w:t>收集存放于一般工业固废暂存点，交给相关单位回收利用</w:t>
            </w:r>
          </w:p>
          <w:p w14:paraId="734F1C42">
            <w:pPr>
              <w:pStyle w:val="49"/>
              <w:keepNext w:val="0"/>
              <w:keepLines w:val="0"/>
              <w:pageBreakBefore w:val="0"/>
              <w:widowControl w:val="0"/>
              <w:kinsoku/>
              <w:wordWrap/>
              <w:overflowPunct/>
              <w:topLinePunct w:val="0"/>
              <w:autoSpaceDE/>
              <w:autoSpaceDN/>
              <w:bidi w:val="0"/>
              <w:ind w:firstLine="482"/>
              <w:textAlignment w:val="auto"/>
              <w:rPr>
                <w:rFonts w:hint="default" w:ascii="Times New Roman" w:hAnsi="Times New Roman" w:cs="Times New Roman"/>
                <w:color w:val="0000FF"/>
                <w:szCs w:val="24"/>
              </w:rPr>
            </w:pPr>
            <w:r>
              <w:rPr>
                <w:rFonts w:hint="default" w:ascii="Times New Roman" w:hAnsi="Times New Roman" w:cs="Times New Roman"/>
                <w:b/>
                <w:bCs/>
                <w:color w:val="0000FF"/>
                <w:szCs w:val="24"/>
              </w:rPr>
              <w:t>S2边角料</w:t>
            </w:r>
            <w:r>
              <w:rPr>
                <w:rFonts w:hint="eastAsia" w:ascii="Times New Roman" w:hAnsi="Times New Roman" w:cs="Times New Roman"/>
                <w:b/>
                <w:bCs/>
                <w:color w:val="0000FF"/>
                <w:szCs w:val="24"/>
                <w:lang w:val="en-US" w:eastAsia="zh-CN"/>
              </w:rPr>
              <w:t>、</w:t>
            </w:r>
            <w:r>
              <w:rPr>
                <w:rFonts w:hint="default" w:ascii="Times New Roman" w:hAnsi="Times New Roman" w:cs="Times New Roman"/>
                <w:b/>
                <w:bCs/>
                <w:color w:val="0000FF"/>
                <w:szCs w:val="24"/>
              </w:rPr>
              <w:t>S3不合格品</w:t>
            </w:r>
            <w:r>
              <w:rPr>
                <w:rFonts w:hint="eastAsia" w:cs="Times New Roman"/>
                <w:b/>
                <w:bCs/>
                <w:color w:val="0000FF"/>
                <w:szCs w:val="24"/>
                <w:lang w:val="en-US" w:eastAsia="zh-CN"/>
              </w:rPr>
              <w:t>和</w:t>
            </w:r>
            <w:r>
              <w:rPr>
                <w:rFonts w:hint="default" w:ascii="Times New Roman" w:hAnsi="Times New Roman" w:cs="Times New Roman"/>
                <w:b/>
                <w:bCs/>
                <w:color w:val="0000FF"/>
                <w:szCs w:val="24"/>
              </w:rPr>
              <w:t>S4废塑料</w:t>
            </w:r>
            <w:r>
              <w:rPr>
                <w:rFonts w:hint="default" w:ascii="Times New Roman" w:hAnsi="Times New Roman" w:cs="Times New Roman"/>
                <w:color w:val="0000FF"/>
                <w:szCs w:val="24"/>
              </w:rPr>
              <w:t>（</w:t>
            </w:r>
            <w:r>
              <w:rPr>
                <w:rFonts w:hint="eastAsia"/>
                <w:bCs/>
                <w:color w:val="0000FF"/>
                <w:sz w:val="24"/>
              </w:rPr>
              <w:t>S</w:t>
            </w:r>
            <w:r>
              <w:rPr>
                <w:bCs/>
                <w:color w:val="0000FF"/>
                <w:sz w:val="24"/>
              </w:rPr>
              <w:t>W17</w:t>
            </w:r>
            <w:r>
              <w:rPr>
                <w:rFonts w:hint="eastAsia"/>
                <w:bCs/>
                <w:color w:val="0000FF"/>
                <w:sz w:val="24"/>
                <w:lang w:eastAsia="zh-CN"/>
              </w:rPr>
              <w:t>，</w:t>
            </w:r>
            <w:r>
              <w:rPr>
                <w:rFonts w:hint="default" w:ascii="Times New Roman" w:hAnsi="Times New Roman" w:cs="Times New Roman"/>
                <w:bCs/>
                <w:color w:val="0000FF"/>
              </w:rPr>
              <w:t>900-003-S17</w:t>
            </w:r>
            <w:r>
              <w:rPr>
                <w:rFonts w:hint="default" w:ascii="Times New Roman" w:hAnsi="Times New Roman" w:cs="Times New Roman"/>
                <w:color w:val="0000FF"/>
                <w:szCs w:val="24"/>
              </w:rPr>
              <w:t>）</w:t>
            </w:r>
            <w:r>
              <w:rPr>
                <w:rFonts w:hint="default" w:ascii="Times New Roman" w:hAnsi="Times New Roman" w:cs="Times New Roman"/>
                <w:b/>
                <w:bCs/>
                <w:color w:val="0000FF"/>
                <w:szCs w:val="24"/>
              </w:rPr>
              <w:t>：</w:t>
            </w:r>
            <w:r>
              <w:rPr>
                <w:rFonts w:hint="default" w:ascii="Times New Roman" w:hAnsi="Times New Roman" w:cs="Times New Roman"/>
                <w:color w:val="0000FF"/>
                <w:spacing w:val="-3"/>
                <w:szCs w:val="24"/>
              </w:rPr>
              <w:t>根据建设单位提供资料，项目不合格产品及废塑料约</w:t>
            </w:r>
            <w:r>
              <w:rPr>
                <w:rFonts w:hint="default" w:ascii="Times New Roman" w:hAnsi="Times New Roman" w:cs="Times New Roman"/>
                <w:color w:val="0000FF"/>
                <w:spacing w:val="-3"/>
                <w:szCs w:val="24"/>
                <w:lang w:val="en-US" w:eastAsia="zh-CN"/>
              </w:rPr>
              <w:t>为</w:t>
            </w:r>
            <w:r>
              <w:rPr>
                <w:rFonts w:hint="eastAsia" w:cs="Times New Roman"/>
                <w:color w:val="0000FF"/>
                <w:spacing w:val="-3"/>
                <w:szCs w:val="24"/>
                <w:lang w:val="en-US" w:eastAsia="zh-CN"/>
              </w:rPr>
              <w:t>总量的7％，约为55.9762吨</w:t>
            </w:r>
            <w:r>
              <w:rPr>
                <w:rFonts w:hint="default" w:ascii="Times New Roman" w:hAnsi="Times New Roman" w:cs="Times New Roman"/>
                <w:color w:val="0000FF"/>
                <w:spacing w:val="-3"/>
                <w:szCs w:val="24"/>
              </w:rPr>
              <w:t>。</w:t>
            </w:r>
            <w:r>
              <w:rPr>
                <w:rFonts w:hint="default" w:ascii="Times New Roman" w:hAnsi="Times New Roman" w:cs="Times New Roman"/>
                <w:color w:val="0000FF"/>
                <w:szCs w:val="24"/>
              </w:rPr>
              <w:t>不合格品和废塑料经集中破碎机破碎后回用。</w:t>
            </w:r>
          </w:p>
          <w:p w14:paraId="5C9384F3">
            <w:pPr>
              <w:pStyle w:val="53"/>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0000FF"/>
                <w:szCs w:val="24"/>
                <w:lang w:val="en-US" w:eastAsia="zh-CN"/>
              </w:rPr>
            </w:pPr>
            <w:r>
              <w:rPr>
                <w:rFonts w:hint="default" w:ascii="Times New Roman" w:hAnsi="Times New Roman" w:cs="Times New Roman"/>
                <w:bCs/>
                <w:color w:val="0000FF"/>
                <w:sz w:val="24"/>
                <w:lang w:val="en-US" w:eastAsia="zh-CN"/>
              </w:rPr>
              <w:t xml:space="preserve"> </w:t>
            </w:r>
            <w:r>
              <w:rPr>
                <w:rFonts w:hint="default" w:ascii="Times New Roman" w:hAnsi="Times New Roman" w:cs="Times New Roman"/>
                <w:b/>
                <w:bCs w:val="0"/>
                <w:color w:val="0000FF"/>
                <w:sz w:val="24"/>
                <w:lang w:val="en-US" w:eastAsia="zh-CN"/>
              </w:rPr>
              <w:t xml:space="preserve"> S</w:t>
            </w:r>
            <w:r>
              <w:rPr>
                <w:rFonts w:hint="eastAsia" w:ascii="Times New Roman" w:hAnsi="Times New Roman" w:cs="Times New Roman"/>
                <w:b/>
                <w:bCs w:val="0"/>
                <w:color w:val="0000FF"/>
                <w:sz w:val="24"/>
                <w:lang w:val="en-US" w:eastAsia="zh-CN"/>
              </w:rPr>
              <w:t>6</w:t>
            </w:r>
            <w:r>
              <w:rPr>
                <w:rFonts w:hint="default" w:ascii="Times New Roman" w:hAnsi="Times New Roman" w:cs="Times New Roman"/>
                <w:b/>
                <w:bCs w:val="0"/>
                <w:color w:val="0000FF"/>
                <w:sz w:val="24"/>
                <w:lang w:val="en-US" w:eastAsia="zh-CN"/>
              </w:rPr>
              <w:t>印刷不合格品</w:t>
            </w:r>
            <w:r>
              <w:rPr>
                <w:rFonts w:hint="default" w:ascii="Times New Roman" w:hAnsi="Times New Roman" w:cs="Times New Roman"/>
                <w:color w:val="0000FF"/>
                <w:szCs w:val="24"/>
              </w:rPr>
              <w:t>（</w:t>
            </w:r>
            <w:r>
              <w:rPr>
                <w:rFonts w:hint="default" w:ascii="Times New Roman" w:hAnsi="Times New Roman" w:cs="Times New Roman"/>
                <w:bCs/>
                <w:color w:val="0000FF"/>
                <w:sz w:val="24"/>
              </w:rPr>
              <w:t>SW17</w:t>
            </w:r>
            <w:r>
              <w:rPr>
                <w:rFonts w:hint="default" w:ascii="Times New Roman" w:hAnsi="Times New Roman" w:cs="Times New Roman"/>
                <w:bCs/>
                <w:color w:val="0000FF"/>
                <w:sz w:val="24"/>
                <w:lang w:eastAsia="zh-CN"/>
              </w:rPr>
              <w:t>，</w:t>
            </w:r>
            <w:r>
              <w:rPr>
                <w:rFonts w:hint="default" w:ascii="Times New Roman" w:hAnsi="Times New Roman" w:cs="Times New Roman"/>
                <w:bCs/>
                <w:color w:val="0000FF"/>
              </w:rPr>
              <w:t>900-003-S17</w:t>
            </w:r>
            <w:r>
              <w:rPr>
                <w:rFonts w:hint="default" w:ascii="Times New Roman" w:hAnsi="Times New Roman" w:cs="Times New Roman"/>
                <w:color w:val="0000FF"/>
                <w:szCs w:val="24"/>
              </w:rPr>
              <w:t>）</w:t>
            </w:r>
            <w:r>
              <w:rPr>
                <w:rFonts w:hint="default" w:ascii="Times New Roman" w:hAnsi="Times New Roman" w:cs="Times New Roman"/>
                <w:color w:val="0000FF"/>
                <w:szCs w:val="24"/>
                <w:lang w:eastAsia="zh-CN"/>
              </w:rPr>
              <w:t>：移印</w:t>
            </w:r>
            <w:r>
              <w:rPr>
                <w:rFonts w:hint="default" w:ascii="Times New Roman" w:hAnsi="Times New Roman" w:cs="Times New Roman"/>
                <w:color w:val="0000FF"/>
                <w:szCs w:val="24"/>
                <w:lang w:val="en-US" w:eastAsia="zh-CN"/>
              </w:rPr>
              <w:t>过程中会产生部分印刷不合格产品，利用</w:t>
            </w:r>
            <w:r>
              <w:rPr>
                <w:rFonts w:hint="eastAsia" w:ascii="Times New Roman" w:hAnsi="Times New Roman" w:cs="Times New Roman"/>
                <w:color w:val="0000FF"/>
                <w:szCs w:val="24"/>
                <w:lang w:val="en-US" w:eastAsia="zh-CN"/>
              </w:rPr>
              <w:t>酒精等</w:t>
            </w:r>
            <w:r>
              <w:rPr>
                <w:rFonts w:hint="default" w:ascii="Times New Roman" w:hAnsi="Times New Roman" w:cs="Times New Roman"/>
                <w:color w:val="0000FF"/>
                <w:szCs w:val="24"/>
                <w:lang w:val="en-US" w:eastAsia="zh-CN"/>
              </w:rPr>
              <w:t>擦去表面油墨后回用于印刷。</w:t>
            </w:r>
          </w:p>
          <w:p w14:paraId="73EF4CF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0000FF"/>
                <w:sz w:val="24"/>
                <w:lang w:val="en-US" w:eastAsia="zh-CN"/>
              </w:rPr>
            </w:pPr>
            <w:r>
              <w:rPr>
                <w:rFonts w:hint="eastAsia" w:cs="Times New Roman"/>
                <w:b/>
                <w:color w:val="0000FF"/>
                <w:sz w:val="24"/>
                <w:lang w:val="en-US" w:eastAsia="zh-CN"/>
              </w:rPr>
              <w:t>S8金属边角料</w:t>
            </w:r>
            <w:r>
              <w:rPr>
                <w:rFonts w:hint="eastAsia"/>
                <w:bCs/>
                <w:color w:val="0000FF"/>
                <w:sz w:val="24"/>
              </w:rPr>
              <w:t>（S</w:t>
            </w:r>
            <w:r>
              <w:rPr>
                <w:bCs/>
                <w:color w:val="0000FF"/>
                <w:sz w:val="24"/>
              </w:rPr>
              <w:t>W17</w:t>
            </w:r>
            <w:r>
              <w:rPr>
                <w:rFonts w:hint="eastAsia"/>
                <w:bCs/>
                <w:color w:val="0000FF"/>
                <w:sz w:val="24"/>
                <w:lang w:eastAsia="zh-CN"/>
              </w:rPr>
              <w:t>，</w:t>
            </w:r>
            <w:r>
              <w:rPr>
                <w:rFonts w:hint="eastAsia"/>
                <w:bCs/>
                <w:color w:val="0000FF"/>
                <w:sz w:val="24"/>
              </w:rPr>
              <w:t>900-00</w:t>
            </w:r>
            <w:r>
              <w:rPr>
                <w:rFonts w:hint="eastAsia"/>
                <w:bCs/>
                <w:color w:val="0000FF"/>
                <w:sz w:val="24"/>
                <w:lang w:val="en-US" w:eastAsia="zh-CN"/>
              </w:rPr>
              <w:t>2</w:t>
            </w:r>
            <w:r>
              <w:rPr>
                <w:rFonts w:hint="eastAsia"/>
                <w:bCs/>
                <w:color w:val="0000FF"/>
                <w:sz w:val="24"/>
              </w:rPr>
              <w:t>-S17）</w:t>
            </w:r>
            <w:r>
              <w:rPr>
                <w:rFonts w:hint="eastAsia"/>
                <w:bCs/>
                <w:color w:val="0000FF"/>
                <w:sz w:val="24"/>
                <w:lang w:eastAsia="zh-CN"/>
              </w:rPr>
              <w:t>：</w:t>
            </w:r>
            <w:r>
              <w:rPr>
                <w:rFonts w:hint="eastAsia"/>
                <w:bCs/>
                <w:color w:val="0000FF"/>
                <w:sz w:val="24"/>
                <w:lang w:val="en-US" w:eastAsia="zh-CN"/>
              </w:rPr>
              <w:t>本项目模具维修保养过程中会产生少量金属边角料，金属边角料回收。</w:t>
            </w:r>
          </w:p>
          <w:p w14:paraId="20C3259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3、危险废物</w:t>
            </w:r>
          </w:p>
          <w:p w14:paraId="0A13D845">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0000FF"/>
                <w:sz w:val="24"/>
                <w:lang w:val="en-US" w:eastAsia="zh-CN"/>
              </w:rPr>
            </w:pPr>
            <w:r>
              <w:rPr>
                <w:rFonts w:hint="eastAsia" w:cs="Times New Roman"/>
                <w:b/>
                <w:bCs/>
                <w:color w:val="0000FF"/>
                <w:sz w:val="24"/>
                <w:lang w:val="en-US" w:eastAsia="zh-CN"/>
              </w:rPr>
              <w:t>S5废油墨桶</w:t>
            </w:r>
            <w:r>
              <w:rPr>
                <w:rFonts w:hint="eastAsia" w:cs="Times New Roman"/>
                <w:b w:val="0"/>
                <w:bCs w:val="0"/>
                <w:color w:val="0000FF"/>
                <w:sz w:val="24"/>
                <w:lang w:val="en-US" w:eastAsia="zh-CN"/>
              </w:rPr>
              <w:t>（HW12，900-253-12）：项目使用油墨、稀释剂、固化剂等进行移印操作会产生少量废油墨桶，约50个，</w:t>
            </w:r>
            <w:r>
              <w:rPr>
                <w:rFonts w:hint="default" w:ascii="Times New Roman" w:hAnsi="Times New Roman" w:cs="Times New Roman"/>
                <w:bCs/>
                <w:color w:val="0000FF"/>
                <w:spacing w:val="-10"/>
                <w:sz w:val="24"/>
              </w:rPr>
              <w:t>单个质量为0.2kg</w:t>
            </w:r>
            <w:r>
              <w:rPr>
                <w:rFonts w:hint="eastAsia" w:ascii="Times New Roman" w:hAnsi="Times New Roman" w:cs="Times New Roman"/>
                <w:bCs/>
                <w:color w:val="0000FF"/>
                <w:spacing w:val="-10"/>
                <w:sz w:val="24"/>
                <w:lang w:eastAsia="zh-CN"/>
              </w:rPr>
              <w:t>，</w:t>
            </w:r>
            <w:r>
              <w:rPr>
                <w:rFonts w:hint="eastAsia" w:ascii="Times New Roman" w:hAnsi="Times New Roman" w:cs="Times New Roman"/>
                <w:bCs/>
                <w:color w:val="0000FF"/>
                <w:spacing w:val="-10"/>
                <w:sz w:val="24"/>
                <w:lang w:val="en-US" w:eastAsia="zh-CN"/>
              </w:rPr>
              <w:t>产生量约0.01</w:t>
            </w:r>
            <w:r>
              <w:rPr>
                <w:rFonts w:hint="default" w:ascii="Times New Roman" w:hAnsi="Times New Roman" w:cs="Times New Roman"/>
                <w:bCs/>
                <w:color w:val="0000FF"/>
                <w:spacing w:val="-10"/>
                <w:sz w:val="24"/>
              </w:rPr>
              <w:t>t/a。</w:t>
            </w:r>
            <w:r>
              <w:rPr>
                <w:rFonts w:hint="default" w:ascii="Times New Roman" w:hAnsi="Times New Roman" w:cs="Times New Roman"/>
                <w:color w:val="0000FF"/>
                <w:sz w:val="24"/>
              </w:rPr>
              <w:t>集中收集后暂存于危险废物贮存库，定期委托有危险废物经营资质的单位处置。</w:t>
            </w:r>
          </w:p>
          <w:p w14:paraId="4804252D">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cs="Times New Roman"/>
                <w:b/>
                <w:bCs/>
                <w:color w:val="0000FF"/>
                <w:sz w:val="24"/>
              </w:rPr>
            </w:pPr>
            <w:r>
              <w:rPr>
                <w:rFonts w:hint="default" w:ascii="Times New Roman" w:hAnsi="Times New Roman" w:cs="Times New Roman"/>
                <w:b/>
                <w:bCs/>
                <w:color w:val="0000FF"/>
                <w:sz w:val="24"/>
              </w:rPr>
              <w:t>S</w:t>
            </w:r>
            <w:r>
              <w:rPr>
                <w:rFonts w:hint="eastAsia" w:cs="Times New Roman"/>
                <w:b/>
                <w:bCs/>
                <w:color w:val="0000FF"/>
                <w:sz w:val="24"/>
                <w:lang w:val="en-US" w:eastAsia="zh-CN"/>
              </w:rPr>
              <w:t>8</w:t>
            </w:r>
            <w:r>
              <w:rPr>
                <w:rFonts w:hint="default" w:ascii="Times New Roman" w:hAnsi="Times New Roman" w:cs="Times New Roman"/>
                <w:b/>
                <w:bCs/>
                <w:color w:val="0000FF"/>
                <w:sz w:val="24"/>
              </w:rPr>
              <w:t>废包装桶</w:t>
            </w:r>
            <w:r>
              <w:rPr>
                <w:rFonts w:hint="default" w:ascii="Times New Roman" w:hAnsi="Times New Roman" w:cs="Times New Roman"/>
                <w:color w:val="0000FF"/>
                <w:sz w:val="24"/>
              </w:rPr>
              <w:t>（HW08，900-249-08）：项目使用</w:t>
            </w:r>
            <w:r>
              <w:rPr>
                <w:rFonts w:hint="eastAsia" w:cs="Times New Roman"/>
                <w:color w:val="0000FF"/>
                <w:sz w:val="24"/>
                <w:lang w:val="en-US" w:eastAsia="zh-CN"/>
              </w:rPr>
              <w:t>:</w:t>
            </w:r>
            <w:r>
              <w:rPr>
                <w:rFonts w:hint="default" w:ascii="Times New Roman" w:hAnsi="Times New Roman" w:cs="Times New Roman"/>
                <w:color w:val="0000FF"/>
                <w:sz w:val="24"/>
              </w:rPr>
              <w:t>润滑油、防锈剂</w:t>
            </w:r>
            <w:r>
              <w:rPr>
                <w:rFonts w:hint="eastAsia" w:cs="Times New Roman"/>
                <w:color w:val="0000FF"/>
                <w:sz w:val="24"/>
                <w:lang w:eastAsia="zh-CN"/>
              </w:rPr>
              <w:t>、</w:t>
            </w:r>
            <w:r>
              <w:rPr>
                <w:rFonts w:hint="eastAsia" w:cs="Times New Roman"/>
                <w:color w:val="0000FF"/>
                <w:sz w:val="24"/>
                <w:lang w:val="en-US" w:eastAsia="zh-CN"/>
              </w:rPr>
              <w:t>白油、空压机油</w:t>
            </w:r>
            <w:r>
              <w:rPr>
                <w:rFonts w:hint="default" w:ascii="Times New Roman" w:hAnsi="Times New Roman" w:cs="Times New Roman"/>
                <w:color w:val="0000FF"/>
                <w:sz w:val="24"/>
                <w:lang w:val="en-US" w:eastAsia="zh-CN"/>
              </w:rPr>
              <w:t>等</w:t>
            </w:r>
            <w:r>
              <w:rPr>
                <w:rFonts w:hint="default" w:ascii="Times New Roman" w:hAnsi="Times New Roman" w:cs="Times New Roman"/>
                <w:color w:val="0000FF"/>
                <w:sz w:val="24"/>
              </w:rPr>
              <w:t>过程中产生少量废包装桶，产生废包装桶约</w:t>
            </w:r>
            <w:r>
              <w:rPr>
                <w:rFonts w:hint="eastAsia" w:cs="Times New Roman"/>
                <w:color w:val="0000FF"/>
                <w:sz w:val="24"/>
                <w:lang w:val="en-US" w:eastAsia="zh-CN"/>
              </w:rPr>
              <w:t>78</w:t>
            </w:r>
            <w:r>
              <w:rPr>
                <w:rFonts w:hint="default" w:ascii="Times New Roman" w:hAnsi="Times New Roman" w:cs="Times New Roman"/>
                <w:bCs/>
                <w:color w:val="0000FF"/>
                <w:spacing w:val="-10"/>
                <w:sz w:val="24"/>
              </w:rPr>
              <w:t>个/a，单个质量为0.2kg，产生量约0.0</w:t>
            </w:r>
            <w:r>
              <w:rPr>
                <w:rFonts w:hint="eastAsia" w:cs="Times New Roman"/>
                <w:bCs/>
                <w:color w:val="0000FF"/>
                <w:spacing w:val="-10"/>
                <w:sz w:val="24"/>
                <w:lang w:val="en-US" w:eastAsia="zh-CN"/>
              </w:rPr>
              <w:t>1</w:t>
            </w:r>
            <w:r>
              <w:rPr>
                <w:rFonts w:hint="eastAsia" w:ascii="Times New Roman" w:hAnsi="Times New Roman" w:cs="Times New Roman"/>
                <w:bCs/>
                <w:color w:val="0000FF"/>
                <w:spacing w:val="-10"/>
                <w:sz w:val="24"/>
                <w:lang w:val="en-US" w:eastAsia="zh-CN"/>
              </w:rPr>
              <w:t>56</w:t>
            </w:r>
            <w:r>
              <w:rPr>
                <w:rFonts w:hint="default" w:ascii="Times New Roman" w:hAnsi="Times New Roman" w:cs="Times New Roman"/>
                <w:bCs/>
                <w:color w:val="0000FF"/>
                <w:spacing w:val="-10"/>
                <w:sz w:val="24"/>
              </w:rPr>
              <w:t>t/a。</w:t>
            </w:r>
            <w:r>
              <w:rPr>
                <w:rFonts w:hint="default" w:ascii="Times New Roman" w:hAnsi="Times New Roman" w:cs="Times New Roman"/>
                <w:color w:val="0000FF"/>
                <w:sz w:val="24"/>
              </w:rPr>
              <w:t>集中收集后暂存于危险废物贮存库，定期委托有危险废物经营资质的单位处置。</w:t>
            </w:r>
          </w:p>
          <w:p w14:paraId="68B60003">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0000FF"/>
                <w:sz w:val="24"/>
                <w:lang w:eastAsia="zh-CN"/>
              </w:rPr>
            </w:pPr>
            <w:r>
              <w:rPr>
                <w:rFonts w:hint="default" w:ascii="Times New Roman" w:hAnsi="Times New Roman" w:cs="Times New Roman"/>
                <w:b/>
                <w:color w:val="0000FF"/>
                <w:sz w:val="24"/>
              </w:rPr>
              <w:t>S</w:t>
            </w:r>
            <w:r>
              <w:rPr>
                <w:rFonts w:hint="eastAsia" w:cs="Times New Roman"/>
                <w:b/>
                <w:color w:val="0000FF"/>
                <w:sz w:val="24"/>
                <w:lang w:val="en-US" w:eastAsia="zh-CN"/>
              </w:rPr>
              <w:t>7</w:t>
            </w:r>
            <w:r>
              <w:rPr>
                <w:rFonts w:hint="default" w:ascii="Times New Roman" w:hAnsi="Times New Roman" w:cs="Times New Roman"/>
                <w:b/>
                <w:color w:val="0000FF"/>
                <w:sz w:val="24"/>
              </w:rPr>
              <w:t>废含油棉纱手套</w:t>
            </w:r>
            <w:r>
              <w:rPr>
                <w:rFonts w:hint="default" w:ascii="Times New Roman" w:hAnsi="Times New Roman" w:cs="Times New Roman"/>
                <w:bCs/>
                <w:color w:val="0000FF"/>
                <w:sz w:val="24"/>
              </w:rPr>
              <w:t>（</w:t>
            </w:r>
            <w:r>
              <w:rPr>
                <w:rFonts w:hint="default" w:ascii="Times New Roman" w:hAnsi="Times New Roman" w:cs="Times New Roman"/>
                <w:color w:val="0000FF"/>
                <w:sz w:val="24"/>
              </w:rPr>
              <w:t>HW49</w:t>
            </w:r>
            <w:r>
              <w:rPr>
                <w:rFonts w:hint="eastAsia" w:cs="Times New Roman"/>
                <w:color w:val="0000FF"/>
                <w:sz w:val="24"/>
                <w:lang w:eastAsia="zh-CN"/>
              </w:rPr>
              <w:t>，</w:t>
            </w:r>
            <w:r>
              <w:rPr>
                <w:rFonts w:hint="default" w:ascii="Times New Roman" w:hAnsi="Times New Roman" w:cs="Times New Roman"/>
                <w:bCs/>
                <w:color w:val="0000FF"/>
                <w:sz w:val="24"/>
              </w:rPr>
              <w:t>900-041-49）：项目营运期模具保养、设备保养维护</w:t>
            </w:r>
            <w:r>
              <w:rPr>
                <w:rFonts w:hint="eastAsia" w:cs="Times New Roman"/>
                <w:bCs/>
                <w:color w:val="0000FF"/>
                <w:sz w:val="24"/>
                <w:lang w:val="en-US" w:eastAsia="zh-CN"/>
              </w:rPr>
              <w:t>等</w:t>
            </w:r>
            <w:r>
              <w:rPr>
                <w:rFonts w:hint="default" w:ascii="Times New Roman" w:hAnsi="Times New Roman" w:cs="Times New Roman"/>
                <w:bCs/>
                <w:color w:val="0000FF"/>
                <w:sz w:val="24"/>
              </w:rPr>
              <w:t>过程中会产生少量废棉纱手套，产生量约0.0</w:t>
            </w:r>
            <w:r>
              <w:rPr>
                <w:rFonts w:hint="default" w:ascii="Times New Roman" w:hAnsi="Times New Roman" w:cs="Times New Roman"/>
                <w:bCs/>
                <w:color w:val="0000FF"/>
                <w:sz w:val="24"/>
                <w:lang w:val="en-US" w:eastAsia="zh-CN"/>
              </w:rPr>
              <w:t>3</w:t>
            </w:r>
            <w:r>
              <w:rPr>
                <w:rFonts w:hint="default" w:ascii="Times New Roman" w:hAnsi="Times New Roman" w:cs="Times New Roman"/>
                <w:bCs/>
                <w:color w:val="0000FF"/>
                <w:sz w:val="24"/>
              </w:rPr>
              <w:t>t/a</w:t>
            </w:r>
            <w:r>
              <w:rPr>
                <w:rFonts w:hint="default" w:ascii="Times New Roman" w:hAnsi="Times New Roman" w:cs="Times New Roman"/>
                <w:bCs/>
                <w:color w:val="0000FF"/>
                <w:sz w:val="24"/>
                <w:lang w:eastAsia="zh-CN"/>
              </w:rPr>
              <w:t>。</w:t>
            </w:r>
          </w:p>
          <w:p w14:paraId="57B1C97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Cs/>
                <w:color w:val="00B050"/>
                <w:sz w:val="24"/>
              </w:rPr>
            </w:pPr>
            <w:r>
              <w:rPr>
                <w:rFonts w:hint="default" w:ascii="Times New Roman" w:hAnsi="Times New Roman" w:cs="Times New Roman"/>
                <w:b/>
                <w:bCs/>
                <w:color w:val="00B050"/>
                <w:sz w:val="24"/>
              </w:rPr>
              <w:t>S</w:t>
            </w:r>
            <w:r>
              <w:rPr>
                <w:rFonts w:hint="eastAsia" w:cs="Times New Roman"/>
                <w:b/>
                <w:bCs/>
                <w:color w:val="00B050"/>
                <w:sz w:val="24"/>
                <w:lang w:val="en-US" w:eastAsia="zh-CN"/>
              </w:rPr>
              <w:t>10</w:t>
            </w:r>
            <w:r>
              <w:rPr>
                <w:rFonts w:hint="default" w:ascii="Times New Roman" w:hAnsi="Times New Roman" w:cs="Times New Roman"/>
                <w:b/>
                <w:bCs/>
                <w:color w:val="00B050"/>
                <w:sz w:val="24"/>
              </w:rPr>
              <w:t>废活性炭（</w:t>
            </w:r>
            <w:r>
              <w:rPr>
                <w:rFonts w:hint="default" w:ascii="Times New Roman" w:hAnsi="Times New Roman" w:cs="Times New Roman"/>
                <w:color w:val="00B050"/>
                <w:sz w:val="24"/>
              </w:rPr>
              <w:t>HW49，900-039-49</w:t>
            </w:r>
            <w:r>
              <w:rPr>
                <w:rFonts w:hint="default" w:ascii="Times New Roman" w:hAnsi="Times New Roman" w:cs="Times New Roman"/>
                <w:b/>
                <w:bCs/>
                <w:color w:val="00B050"/>
                <w:sz w:val="24"/>
              </w:rPr>
              <w:t>）</w:t>
            </w:r>
            <w:r>
              <w:rPr>
                <w:rFonts w:hint="default" w:ascii="Times New Roman" w:hAnsi="Times New Roman" w:cs="Times New Roman"/>
                <w:color w:val="00B050"/>
                <w:sz w:val="24"/>
              </w:rPr>
              <w:t>：根据</w:t>
            </w:r>
            <w:r>
              <w:rPr>
                <w:rFonts w:hint="eastAsia" w:cs="Times New Roman"/>
                <w:color w:val="00B050"/>
                <w:sz w:val="24"/>
                <w:lang w:val="en-US" w:eastAsia="zh-CN"/>
              </w:rPr>
              <w:t>行业经验，1吨活性炭可以吸附约0.25吨VOCs</w:t>
            </w:r>
            <w:r>
              <w:rPr>
                <w:rFonts w:hint="default" w:ascii="Times New Roman" w:hAnsi="Times New Roman" w:cs="Times New Roman"/>
                <w:bCs/>
                <w:color w:val="00B050"/>
                <w:sz w:val="24"/>
              </w:rPr>
              <w:t>。项目VOCs年去除量为</w:t>
            </w:r>
            <w:r>
              <w:rPr>
                <w:rFonts w:hint="eastAsia" w:cs="Times New Roman"/>
                <w:bCs/>
                <w:color w:val="00B050"/>
                <w:sz w:val="24"/>
                <w:lang w:val="en-US" w:eastAsia="zh-CN"/>
              </w:rPr>
              <w:t>1.3292</w:t>
            </w:r>
            <w:r>
              <w:rPr>
                <w:rFonts w:hint="default" w:ascii="Times New Roman" w:hAnsi="Times New Roman" w:cs="Times New Roman"/>
                <w:bCs/>
                <w:color w:val="00B050"/>
                <w:sz w:val="24"/>
              </w:rPr>
              <w:t>t/a。则项目产生废活性炭量约</w:t>
            </w:r>
            <w:r>
              <w:rPr>
                <w:rFonts w:hint="eastAsia" w:cs="Times New Roman"/>
                <w:bCs/>
                <w:color w:val="00B050"/>
                <w:sz w:val="24"/>
                <w:lang w:val="en-US" w:eastAsia="zh-CN"/>
              </w:rPr>
              <w:t>5.3168</w:t>
            </w:r>
            <w:r>
              <w:rPr>
                <w:rFonts w:hint="default" w:ascii="Times New Roman" w:hAnsi="Times New Roman" w:cs="Times New Roman"/>
                <w:bCs/>
                <w:color w:val="00B050"/>
                <w:sz w:val="24"/>
              </w:rPr>
              <w:t>t/a。活性炭更换频次</w:t>
            </w:r>
            <w:r>
              <w:rPr>
                <w:rFonts w:hint="eastAsia" w:cs="Times New Roman"/>
                <w:bCs/>
                <w:color w:val="00B050"/>
                <w:sz w:val="24"/>
                <w:lang w:val="en-US" w:eastAsia="zh-CN"/>
              </w:rPr>
              <w:t>为</w:t>
            </w:r>
            <w:r>
              <w:rPr>
                <w:rFonts w:hint="default" w:ascii="Times New Roman" w:hAnsi="Times New Roman" w:cs="Times New Roman"/>
                <w:bCs/>
                <w:color w:val="00B050"/>
                <w:sz w:val="24"/>
              </w:rPr>
              <w:t>3个月</w:t>
            </w:r>
            <w:r>
              <w:rPr>
                <w:rFonts w:hint="eastAsia" w:cs="Times New Roman"/>
                <w:bCs/>
                <w:color w:val="00B050"/>
                <w:sz w:val="24"/>
                <w:lang w:val="en-US" w:eastAsia="zh-CN"/>
              </w:rPr>
              <w:t>一次（每次更换量约1.3292</w:t>
            </w:r>
            <w:r>
              <w:rPr>
                <w:rFonts w:hint="default" w:ascii="Times New Roman" w:hAnsi="Times New Roman" w:cs="Times New Roman"/>
                <w:bCs/>
                <w:color w:val="00B050"/>
                <w:sz w:val="24"/>
              </w:rPr>
              <w:t>t</w:t>
            </w:r>
            <w:r>
              <w:rPr>
                <w:rFonts w:hint="eastAsia" w:cs="Times New Roman"/>
                <w:bCs/>
                <w:color w:val="00B050"/>
                <w:sz w:val="24"/>
                <w:lang w:val="en-US" w:eastAsia="zh-CN"/>
              </w:rPr>
              <w:t>）</w:t>
            </w:r>
            <w:r>
              <w:rPr>
                <w:rFonts w:hint="default" w:ascii="Times New Roman" w:hAnsi="Times New Roman" w:cs="Times New Roman"/>
                <w:bCs/>
                <w:color w:val="00B050"/>
                <w:sz w:val="24"/>
              </w:rPr>
              <w:t>。</w:t>
            </w:r>
          </w:p>
          <w:p w14:paraId="6D87965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color w:val="0000FF"/>
                <w:sz w:val="24"/>
              </w:rPr>
            </w:pPr>
            <w:r>
              <w:rPr>
                <w:rFonts w:hint="default" w:ascii="Times New Roman" w:hAnsi="Times New Roman" w:cs="Times New Roman"/>
                <w:b/>
                <w:bCs/>
                <w:color w:val="0000FF"/>
                <w:sz w:val="24"/>
              </w:rPr>
              <w:t>S</w:t>
            </w:r>
            <w:r>
              <w:rPr>
                <w:rFonts w:hint="eastAsia" w:cs="Times New Roman"/>
                <w:b/>
                <w:bCs/>
                <w:color w:val="0000FF"/>
                <w:sz w:val="24"/>
                <w:lang w:val="en-US" w:eastAsia="zh-CN"/>
              </w:rPr>
              <w:t>11</w:t>
            </w:r>
            <w:r>
              <w:rPr>
                <w:rFonts w:hint="default" w:ascii="Times New Roman" w:hAnsi="Times New Roman" w:cs="Times New Roman"/>
                <w:b/>
                <w:bCs/>
                <w:color w:val="0000FF"/>
                <w:sz w:val="24"/>
              </w:rPr>
              <w:t>废润滑油</w:t>
            </w:r>
            <w:r>
              <w:rPr>
                <w:rFonts w:hint="default" w:ascii="Times New Roman" w:hAnsi="Times New Roman" w:cs="Times New Roman"/>
                <w:color w:val="0000FF"/>
                <w:sz w:val="24"/>
              </w:rPr>
              <w:t>（HW08，900-217-08）</w:t>
            </w:r>
            <w:r>
              <w:rPr>
                <w:rFonts w:hint="default" w:ascii="Times New Roman" w:hAnsi="Times New Roman" w:cs="Times New Roman"/>
                <w:b/>
                <w:bCs/>
                <w:color w:val="0000FF"/>
                <w:sz w:val="24"/>
              </w:rPr>
              <w:t>：</w:t>
            </w:r>
            <w:r>
              <w:rPr>
                <w:rFonts w:hint="default" w:ascii="Times New Roman" w:hAnsi="Times New Roman" w:cs="Times New Roman"/>
                <w:color w:val="0000FF"/>
                <w:sz w:val="24"/>
              </w:rPr>
              <w:t>在</w:t>
            </w:r>
            <w:r>
              <w:rPr>
                <w:rFonts w:hint="eastAsia" w:cs="Times New Roman"/>
                <w:color w:val="0000FF"/>
                <w:sz w:val="24"/>
                <w:lang w:val="en-US" w:eastAsia="zh-CN"/>
              </w:rPr>
              <w:t>空压机、模具等</w:t>
            </w:r>
            <w:r>
              <w:rPr>
                <w:rFonts w:hint="default" w:ascii="Times New Roman" w:hAnsi="Times New Roman" w:cs="Times New Roman"/>
                <w:color w:val="0000FF"/>
                <w:sz w:val="24"/>
              </w:rPr>
              <w:t>设备维修保养过程中会产生少量废润滑油。根据建设单位提供资料，本项目废矿物油的产生量约为0.0</w:t>
            </w:r>
            <w:r>
              <w:rPr>
                <w:rFonts w:hint="eastAsia" w:cs="Times New Roman"/>
                <w:color w:val="0000FF"/>
                <w:sz w:val="24"/>
                <w:lang w:val="en-US" w:eastAsia="zh-CN"/>
              </w:rPr>
              <w:t>8</w:t>
            </w:r>
            <w:r>
              <w:rPr>
                <w:rFonts w:hint="default" w:ascii="Times New Roman" w:hAnsi="Times New Roman" w:cs="Times New Roman"/>
                <w:color w:val="0000FF"/>
                <w:sz w:val="24"/>
              </w:rPr>
              <w:t>t/a。</w:t>
            </w:r>
          </w:p>
          <w:p w14:paraId="162F268C">
            <w:pPr>
              <w:adjustRightInd w:val="0"/>
              <w:snapToGrid w:val="0"/>
              <w:spacing w:line="360" w:lineRule="auto"/>
              <w:ind w:firstLine="482" w:firstLineChars="200"/>
              <w:rPr>
                <w:rFonts w:hint="eastAsia"/>
                <w:color w:val="0000FF"/>
                <w:sz w:val="24"/>
              </w:rPr>
            </w:pPr>
            <w:r>
              <w:rPr>
                <w:rFonts w:hint="eastAsia"/>
                <w:b/>
                <w:bCs/>
                <w:color w:val="0000FF"/>
                <w:sz w:val="24"/>
              </w:rPr>
              <w:t>S1</w:t>
            </w:r>
            <w:r>
              <w:rPr>
                <w:rFonts w:hint="eastAsia"/>
                <w:b/>
                <w:bCs/>
                <w:color w:val="0000FF"/>
                <w:sz w:val="24"/>
                <w:lang w:val="en-US" w:eastAsia="zh-CN"/>
              </w:rPr>
              <w:t>3</w:t>
            </w:r>
            <w:r>
              <w:rPr>
                <w:rFonts w:hint="eastAsia"/>
                <w:b/>
                <w:bCs/>
                <w:color w:val="0000FF"/>
                <w:sz w:val="24"/>
              </w:rPr>
              <w:t>空压机产生的油/水混合物</w:t>
            </w:r>
            <w:r>
              <w:rPr>
                <w:rFonts w:hint="eastAsia"/>
                <w:color w:val="0000FF"/>
                <w:sz w:val="24"/>
              </w:rPr>
              <w:t>（HW09，900-007-09）</w:t>
            </w:r>
            <w:r>
              <w:rPr>
                <w:rFonts w:hint="eastAsia"/>
                <w:b/>
                <w:bCs/>
                <w:color w:val="0000FF"/>
                <w:sz w:val="24"/>
              </w:rPr>
              <w:t>：</w:t>
            </w:r>
            <w:r>
              <w:rPr>
                <w:color w:val="0000FF"/>
                <w:sz w:val="24"/>
              </w:rPr>
              <w:t>根据建设单位提供的资料，空压机产生的油/水混合物</w:t>
            </w:r>
            <w:r>
              <w:rPr>
                <w:rFonts w:hint="eastAsia"/>
                <w:color w:val="0000FF"/>
                <w:sz w:val="24"/>
              </w:rPr>
              <w:t>约0.0</w:t>
            </w:r>
            <w:r>
              <w:rPr>
                <w:rFonts w:hint="eastAsia"/>
                <w:color w:val="0000FF"/>
                <w:sz w:val="24"/>
                <w:lang w:val="en-US" w:eastAsia="zh-CN"/>
              </w:rPr>
              <w:t>1</w:t>
            </w:r>
            <w:r>
              <w:rPr>
                <w:color w:val="0000FF"/>
                <w:sz w:val="24"/>
              </w:rPr>
              <w:t>t/a</w:t>
            </w:r>
            <w:r>
              <w:rPr>
                <w:rFonts w:hint="eastAsia"/>
                <w:color w:val="0000FF"/>
                <w:sz w:val="24"/>
              </w:rPr>
              <w:t>。</w:t>
            </w:r>
          </w:p>
          <w:p w14:paraId="12C1644A">
            <w:pPr>
              <w:adjustRightInd w:val="0"/>
              <w:snapToGrid w:val="0"/>
              <w:spacing w:line="360" w:lineRule="auto"/>
              <w:ind w:firstLine="482" w:firstLineChars="200"/>
              <w:rPr>
                <w:rFonts w:hint="default"/>
                <w:color w:val="0000FF"/>
                <w:sz w:val="24"/>
              </w:rPr>
            </w:pPr>
            <w:r>
              <w:rPr>
                <w:rFonts w:hint="eastAsia"/>
                <w:b/>
                <w:bCs/>
                <w:color w:val="0000FF"/>
                <w:sz w:val="24"/>
              </w:rPr>
              <w:t>S1</w:t>
            </w:r>
            <w:r>
              <w:rPr>
                <w:rFonts w:hint="eastAsia"/>
                <w:b/>
                <w:bCs/>
                <w:color w:val="0000FF"/>
                <w:sz w:val="24"/>
                <w:lang w:val="en-US" w:eastAsia="zh-CN"/>
              </w:rPr>
              <w:t>4废空压机油</w:t>
            </w:r>
            <w:r>
              <w:rPr>
                <w:rFonts w:hint="eastAsia"/>
                <w:color w:val="0000FF"/>
                <w:sz w:val="24"/>
              </w:rPr>
              <w:t>（HW0</w:t>
            </w:r>
            <w:r>
              <w:rPr>
                <w:rFonts w:hint="eastAsia"/>
                <w:color w:val="0000FF"/>
                <w:sz w:val="24"/>
                <w:lang w:val="en-US" w:eastAsia="zh-CN"/>
              </w:rPr>
              <w:t>8</w:t>
            </w:r>
            <w:r>
              <w:rPr>
                <w:rFonts w:hint="eastAsia"/>
                <w:color w:val="0000FF"/>
                <w:sz w:val="24"/>
              </w:rPr>
              <w:t>，900-</w:t>
            </w:r>
            <w:r>
              <w:rPr>
                <w:rFonts w:hint="eastAsia"/>
                <w:color w:val="0000FF"/>
                <w:sz w:val="24"/>
                <w:lang w:val="en-US" w:eastAsia="zh-CN"/>
              </w:rPr>
              <w:t>214-08</w:t>
            </w:r>
            <w:r>
              <w:rPr>
                <w:rFonts w:hint="eastAsia"/>
                <w:color w:val="0000FF"/>
                <w:sz w:val="24"/>
              </w:rPr>
              <w:t>）</w:t>
            </w:r>
            <w:r>
              <w:rPr>
                <w:rFonts w:hint="eastAsia"/>
                <w:b/>
                <w:bCs/>
                <w:color w:val="0000FF"/>
                <w:sz w:val="24"/>
              </w:rPr>
              <w:t>：</w:t>
            </w:r>
            <w:r>
              <w:rPr>
                <w:color w:val="0000FF"/>
                <w:sz w:val="24"/>
              </w:rPr>
              <w:t>根据建设单位提供的资料，空压机产生的油/水混合物</w:t>
            </w:r>
            <w:r>
              <w:rPr>
                <w:rFonts w:hint="eastAsia"/>
                <w:color w:val="0000FF"/>
                <w:sz w:val="24"/>
              </w:rPr>
              <w:t>约0.0</w:t>
            </w:r>
            <w:r>
              <w:rPr>
                <w:rFonts w:hint="eastAsia"/>
                <w:color w:val="0000FF"/>
                <w:sz w:val="24"/>
                <w:lang w:val="en-US" w:eastAsia="zh-CN"/>
              </w:rPr>
              <w:t>02</w:t>
            </w:r>
            <w:r>
              <w:rPr>
                <w:color w:val="0000FF"/>
                <w:sz w:val="24"/>
              </w:rPr>
              <w:t>t/a</w:t>
            </w:r>
            <w:r>
              <w:rPr>
                <w:rFonts w:hint="eastAsia"/>
                <w:color w:val="0000FF"/>
                <w:sz w:val="24"/>
              </w:rPr>
              <w:t>。</w:t>
            </w:r>
          </w:p>
          <w:p w14:paraId="6451832C">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bCs/>
                <w:color w:val="auto"/>
                <w:sz w:val="24"/>
              </w:rPr>
              <w:t>危险废物暂存于危险废物贮存库，</w:t>
            </w:r>
            <w:r>
              <w:rPr>
                <w:rFonts w:hint="default" w:ascii="Times New Roman" w:hAnsi="Times New Roman" w:cs="Times New Roman"/>
                <w:color w:val="auto"/>
                <w:sz w:val="24"/>
              </w:rPr>
              <w:t>定期委托有危险废物经营资质的单位处置。</w:t>
            </w:r>
          </w:p>
          <w:p w14:paraId="6F2476E0">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textAlignment w:val="auto"/>
              <w:rPr>
                <w:rFonts w:hint="default" w:ascii="Times New Roman" w:hAnsi="Times New Roman" w:cs="Times New Roman"/>
                <w:b/>
                <w:bCs/>
                <w:color w:val="auto"/>
                <w:sz w:val="24"/>
                <w:szCs w:val="24"/>
              </w:rPr>
            </w:pPr>
            <w:r>
              <w:rPr>
                <w:rFonts w:hint="default" w:ascii="Times New Roman" w:hAnsi="Times New Roman" w:cs="Times New Roman"/>
                <w:bCs/>
                <w:color w:val="auto"/>
                <w:sz w:val="24"/>
              </w:rPr>
              <w:t>本项目固体废物产生情况及处置措施见表4.2-2</w:t>
            </w:r>
            <w:r>
              <w:rPr>
                <w:rFonts w:hint="eastAsia" w:ascii="Times New Roman" w:hAnsi="Times New Roman" w:cs="Times New Roman"/>
                <w:bCs/>
                <w:color w:val="auto"/>
                <w:sz w:val="24"/>
                <w:lang w:val="en-US" w:eastAsia="zh-CN"/>
              </w:rPr>
              <w:t>3</w:t>
            </w:r>
            <w:r>
              <w:rPr>
                <w:rFonts w:hint="default" w:ascii="Times New Roman" w:hAnsi="Times New Roman" w:cs="Times New Roman"/>
                <w:bCs/>
                <w:color w:val="auto"/>
                <w:sz w:val="24"/>
              </w:rPr>
              <w:t>。</w:t>
            </w:r>
          </w:p>
          <w:p w14:paraId="50F158DD">
            <w:pPr>
              <w:pStyle w:val="50"/>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baseline"/>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表4.2-2</w:t>
            </w:r>
            <w:r>
              <w:rPr>
                <w:rFonts w:hint="eastAsia"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rPr>
              <w:t xml:space="preserve">  本项目固体废物产生情况及处置措施</w:t>
            </w:r>
          </w:p>
          <w:tbl>
            <w:tblPr>
              <w:tblStyle w:val="35"/>
              <w:tblW w:w="88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6"/>
              <w:gridCol w:w="1743"/>
              <w:gridCol w:w="2115"/>
              <w:gridCol w:w="1351"/>
              <w:gridCol w:w="2443"/>
            </w:tblGrid>
            <w:tr w14:paraId="6BF8F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959" w:type="dxa"/>
                  <w:gridSpan w:val="2"/>
                  <w:noWrap w:val="0"/>
                  <w:vAlign w:val="center"/>
                </w:tcPr>
                <w:p w14:paraId="257F8350">
                  <w:pPr>
                    <w:keepNext w:val="0"/>
                    <w:keepLines w:val="0"/>
                    <w:widowControl/>
                    <w:suppressLineNumbers w:val="0"/>
                    <w:jc w:val="center"/>
                    <w:textAlignment w:val="center"/>
                    <w:rPr>
                      <w:rFonts w:hint="default" w:ascii="Times New Roman" w:hAnsi="Times New Roman" w:cs="Times New Roman"/>
                      <w:color w:val="0000FF"/>
                      <w:sz w:val="21"/>
                    </w:rPr>
                  </w:pPr>
                  <w:r>
                    <w:rPr>
                      <w:rFonts w:hint="eastAsia" w:ascii="宋体" w:hAnsi="宋体" w:eastAsia="宋体" w:cs="宋体"/>
                      <w:i w:val="0"/>
                      <w:iCs w:val="0"/>
                      <w:color w:val="0000FF"/>
                      <w:kern w:val="0"/>
                      <w:sz w:val="21"/>
                      <w:szCs w:val="21"/>
                      <w:u w:val="none"/>
                      <w:lang w:val="en-US" w:eastAsia="zh-CN" w:bidi="ar"/>
                    </w:rPr>
                    <w:t>类别</w:t>
                  </w:r>
                </w:p>
              </w:tc>
              <w:tc>
                <w:tcPr>
                  <w:tcW w:w="2115" w:type="dxa"/>
                  <w:noWrap w:val="0"/>
                  <w:vAlign w:val="center"/>
                </w:tcPr>
                <w:p w14:paraId="5EDD4B59">
                  <w:pPr>
                    <w:keepNext w:val="0"/>
                    <w:keepLines w:val="0"/>
                    <w:widowControl/>
                    <w:suppressLineNumbers w:val="0"/>
                    <w:jc w:val="center"/>
                    <w:textAlignment w:val="center"/>
                    <w:rPr>
                      <w:rFonts w:hint="default" w:ascii="Times New Roman" w:hAnsi="Times New Roman" w:cs="Times New Roman"/>
                      <w:color w:val="0000FF"/>
                      <w:sz w:val="21"/>
                    </w:rPr>
                  </w:pPr>
                  <w:r>
                    <w:rPr>
                      <w:rFonts w:hint="eastAsia" w:ascii="宋体" w:hAnsi="宋体" w:eastAsia="宋体" w:cs="宋体"/>
                      <w:i w:val="0"/>
                      <w:iCs w:val="0"/>
                      <w:color w:val="0000FF"/>
                      <w:kern w:val="0"/>
                      <w:sz w:val="21"/>
                      <w:szCs w:val="21"/>
                      <w:u w:val="none"/>
                      <w:lang w:val="en-US" w:eastAsia="zh-CN" w:bidi="ar"/>
                    </w:rPr>
                    <w:t>代码</w:t>
                  </w:r>
                </w:p>
              </w:tc>
              <w:tc>
                <w:tcPr>
                  <w:tcW w:w="1351" w:type="dxa"/>
                  <w:noWrap w:val="0"/>
                  <w:vAlign w:val="center"/>
                </w:tcPr>
                <w:p w14:paraId="55027AE8">
                  <w:pPr>
                    <w:keepNext w:val="0"/>
                    <w:keepLines w:val="0"/>
                    <w:widowControl/>
                    <w:suppressLineNumbers w:val="0"/>
                    <w:jc w:val="center"/>
                    <w:textAlignment w:val="center"/>
                    <w:rPr>
                      <w:rFonts w:hint="default" w:ascii="Times New Roman" w:hAnsi="Times New Roman" w:cs="Times New Roman"/>
                      <w:color w:val="0000FF"/>
                      <w:sz w:val="21"/>
                    </w:rPr>
                  </w:pPr>
                  <w:r>
                    <w:rPr>
                      <w:rFonts w:hint="eastAsia" w:ascii="宋体" w:hAnsi="宋体" w:eastAsia="宋体" w:cs="宋体"/>
                      <w:i w:val="0"/>
                      <w:iCs w:val="0"/>
                      <w:color w:val="0000FF"/>
                      <w:kern w:val="0"/>
                      <w:sz w:val="21"/>
                      <w:szCs w:val="21"/>
                      <w:u w:val="none"/>
                      <w:lang w:val="en-US" w:eastAsia="zh-CN" w:bidi="ar"/>
                    </w:rPr>
                    <w:t>产生量（</w:t>
                  </w:r>
                  <w:r>
                    <w:rPr>
                      <w:rFonts w:hint="default" w:ascii="Times New Roman" w:hAnsi="Times New Roman" w:eastAsia="宋体" w:cs="Times New Roman"/>
                      <w:i w:val="0"/>
                      <w:iCs w:val="0"/>
                      <w:color w:val="0000FF"/>
                      <w:kern w:val="0"/>
                      <w:sz w:val="21"/>
                      <w:szCs w:val="21"/>
                      <w:u w:val="none"/>
                      <w:lang w:val="en-US" w:eastAsia="zh-CN" w:bidi="ar"/>
                    </w:rPr>
                    <w:t>t/a</w:t>
                  </w:r>
                  <w:r>
                    <w:rPr>
                      <w:rFonts w:hint="eastAsia" w:ascii="宋体" w:hAnsi="宋体" w:eastAsia="宋体" w:cs="宋体"/>
                      <w:i w:val="0"/>
                      <w:iCs w:val="0"/>
                      <w:color w:val="0000FF"/>
                      <w:kern w:val="0"/>
                      <w:sz w:val="21"/>
                      <w:szCs w:val="21"/>
                      <w:u w:val="none"/>
                      <w:lang w:val="en-US" w:eastAsia="zh-CN" w:bidi="ar"/>
                    </w:rPr>
                    <w:t>）</w:t>
                  </w:r>
                </w:p>
              </w:tc>
              <w:tc>
                <w:tcPr>
                  <w:tcW w:w="2443" w:type="dxa"/>
                  <w:noWrap w:val="0"/>
                  <w:vAlign w:val="center"/>
                </w:tcPr>
                <w:p w14:paraId="000C32B4">
                  <w:pPr>
                    <w:keepNext w:val="0"/>
                    <w:keepLines w:val="0"/>
                    <w:widowControl/>
                    <w:suppressLineNumbers w:val="0"/>
                    <w:jc w:val="center"/>
                    <w:textAlignment w:val="center"/>
                    <w:rPr>
                      <w:rFonts w:hint="default" w:ascii="Times New Roman" w:hAnsi="Times New Roman" w:cs="Times New Roman"/>
                      <w:color w:val="0000FF"/>
                      <w:sz w:val="21"/>
                    </w:rPr>
                  </w:pPr>
                  <w:r>
                    <w:rPr>
                      <w:rFonts w:hint="eastAsia" w:ascii="宋体" w:hAnsi="宋体" w:eastAsia="宋体" w:cs="宋体"/>
                      <w:i w:val="0"/>
                      <w:iCs w:val="0"/>
                      <w:color w:val="0000FF"/>
                      <w:kern w:val="0"/>
                      <w:sz w:val="21"/>
                      <w:szCs w:val="21"/>
                      <w:u w:val="none"/>
                      <w:lang w:val="en-US" w:eastAsia="zh-CN" w:bidi="ar"/>
                    </w:rPr>
                    <w:t>处理</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处置措施</w:t>
                  </w:r>
                </w:p>
              </w:tc>
            </w:tr>
            <w:tr w14:paraId="0CF7F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6" w:type="dxa"/>
                  <w:noWrap w:val="0"/>
                  <w:vAlign w:val="center"/>
                </w:tcPr>
                <w:p w14:paraId="13DE4609">
                  <w:pPr>
                    <w:keepNext w:val="0"/>
                    <w:keepLines w:val="0"/>
                    <w:widowControl/>
                    <w:suppressLineNumbers w:val="0"/>
                    <w:jc w:val="center"/>
                    <w:textAlignment w:val="center"/>
                    <w:rPr>
                      <w:rFonts w:hint="default" w:ascii="Times New Roman" w:hAnsi="Times New Roman" w:cs="Times New Roman"/>
                      <w:color w:val="0000FF"/>
                    </w:rPr>
                  </w:pPr>
                  <w:r>
                    <w:rPr>
                      <w:rFonts w:hint="eastAsia" w:ascii="宋体" w:hAnsi="宋体" w:eastAsia="宋体" w:cs="宋体"/>
                      <w:i w:val="0"/>
                      <w:iCs w:val="0"/>
                      <w:color w:val="0000FF"/>
                      <w:kern w:val="0"/>
                      <w:sz w:val="21"/>
                      <w:szCs w:val="21"/>
                      <w:u w:val="none"/>
                      <w:lang w:val="en-US" w:eastAsia="zh-CN" w:bidi="ar"/>
                    </w:rPr>
                    <w:t>生活垃圾</w:t>
                  </w:r>
                </w:p>
              </w:tc>
              <w:tc>
                <w:tcPr>
                  <w:tcW w:w="1743" w:type="dxa"/>
                  <w:noWrap w:val="0"/>
                  <w:vAlign w:val="center"/>
                </w:tcPr>
                <w:p w14:paraId="5FAC01AD">
                  <w:pPr>
                    <w:keepNext w:val="0"/>
                    <w:keepLines w:val="0"/>
                    <w:widowControl/>
                    <w:suppressLineNumbers w:val="0"/>
                    <w:jc w:val="center"/>
                    <w:textAlignment w:val="center"/>
                    <w:rPr>
                      <w:rFonts w:hint="default" w:ascii="Times New Roman" w:hAnsi="Times New Roman" w:cs="Times New Roman"/>
                      <w:color w:val="0000FF"/>
                    </w:rPr>
                  </w:pPr>
                  <w:r>
                    <w:rPr>
                      <w:rFonts w:hint="eastAsia" w:ascii="宋体" w:hAnsi="宋体" w:eastAsia="宋体" w:cs="宋体"/>
                      <w:i w:val="0"/>
                      <w:iCs w:val="0"/>
                      <w:color w:val="0000FF"/>
                      <w:kern w:val="0"/>
                      <w:sz w:val="21"/>
                      <w:szCs w:val="21"/>
                      <w:u w:val="none"/>
                      <w:lang w:val="en-US" w:eastAsia="zh-CN" w:bidi="ar"/>
                    </w:rPr>
                    <w:t>生活垃圾</w:t>
                  </w:r>
                </w:p>
              </w:tc>
              <w:tc>
                <w:tcPr>
                  <w:tcW w:w="2115" w:type="dxa"/>
                  <w:noWrap w:val="0"/>
                  <w:vAlign w:val="center"/>
                </w:tcPr>
                <w:p w14:paraId="3F61BF21">
                  <w:pPr>
                    <w:keepNext w:val="0"/>
                    <w:keepLines w:val="0"/>
                    <w:widowControl/>
                    <w:suppressLineNumbers w:val="0"/>
                    <w:jc w:val="center"/>
                    <w:textAlignment w:val="center"/>
                    <w:rPr>
                      <w:rFonts w:hint="default" w:ascii="Times New Roman" w:hAnsi="Times New Roman" w:cs="Times New Roman"/>
                      <w:color w:val="0000FF"/>
                    </w:rPr>
                  </w:pPr>
                  <w:r>
                    <w:rPr>
                      <w:rFonts w:hint="default" w:ascii="Times New Roman" w:hAnsi="Times New Roman" w:eastAsia="宋体" w:cs="Times New Roman"/>
                      <w:i w:val="0"/>
                      <w:iCs w:val="0"/>
                      <w:color w:val="0000FF"/>
                      <w:kern w:val="0"/>
                      <w:sz w:val="21"/>
                      <w:szCs w:val="21"/>
                      <w:u w:val="none"/>
                      <w:lang w:val="en-US" w:eastAsia="zh-CN" w:bidi="ar"/>
                    </w:rPr>
                    <w:t>SW64，900-099-S64</w:t>
                  </w:r>
                </w:p>
              </w:tc>
              <w:tc>
                <w:tcPr>
                  <w:tcW w:w="1351" w:type="dxa"/>
                  <w:noWrap w:val="0"/>
                  <w:vAlign w:val="center"/>
                </w:tcPr>
                <w:p w14:paraId="6ED6D321">
                  <w:pPr>
                    <w:keepNext w:val="0"/>
                    <w:keepLines w:val="0"/>
                    <w:widowControl/>
                    <w:suppressLineNumbers w:val="0"/>
                    <w:jc w:val="center"/>
                    <w:textAlignment w:val="center"/>
                    <w:rPr>
                      <w:rFonts w:hint="default" w:ascii="Times New Roman" w:hAnsi="Times New Roman" w:cs="Times New Roman"/>
                      <w:color w:val="0000FF"/>
                    </w:rPr>
                  </w:pPr>
                  <w:r>
                    <w:rPr>
                      <w:rFonts w:hint="default" w:ascii="Times New Roman" w:hAnsi="Times New Roman" w:eastAsia="宋体" w:cs="Times New Roman"/>
                      <w:i w:val="0"/>
                      <w:iCs w:val="0"/>
                      <w:color w:val="0000FF"/>
                      <w:kern w:val="0"/>
                      <w:sz w:val="21"/>
                      <w:szCs w:val="21"/>
                      <w:u w:val="none"/>
                      <w:lang w:val="en-US" w:eastAsia="zh-CN" w:bidi="ar"/>
                    </w:rPr>
                    <w:t>60</w:t>
                  </w:r>
                </w:p>
              </w:tc>
              <w:tc>
                <w:tcPr>
                  <w:tcW w:w="2443" w:type="dxa"/>
                  <w:noWrap w:val="0"/>
                  <w:vAlign w:val="center"/>
                </w:tcPr>
                <w:p w14:paraId="1ABD093F">
                  <w:pPr>
                    <w:keepNext w:val="0"/>
                    <w:keepLines w:val="0"/>
                    <w:widowControl/>
                    <w:suppressLineNumbers w:val="0"/>
                    <w:jc w:val="center"/>
                    <w:textAlignment w:val="center"/>
                    <w:rPr>
                      <w:rFonts w:hint="default" w:ascii="Times New Roman" w:hAnsi="Times New Roman" w:cs="Times New Roman"/>
                      <w:color w:val="0000FF"/>
                    </w:rPr>
                  </w:pPr>
                  <w:r>
                    <w:rPr>
                      <w:rFonts w:hint="eastAsia" w:ascii="宋体" w:hAnsi="宋体" w:eastAsia="宋体" w:cs="宋体"/>
                      <w:i w:val="0"/>
                      <w:iCs w:val="0"/>
                      <w:color w:val="0000FF"/>
                      <w:kern w:val="0"/>
                      <w:sz w:val="21"/>
                      <w:szCs w:val="21"/>
                      <w:u w:val="none"/>
                      <w:lang w:val="en-US" w:eastAsia="zh-CN" w:bidi="ar"/>
                    </w:rPr>
                    <w:t>交环卫部门处置</w:t>
                  </w:r>
                </w:p>
              </w:tc>
            </w:tr>
            <w:tr w14:paraId="28D4E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6" w:type="dxa"/>
                  <w:vMerge w:val="restart"/>
                  <w:noWrap w:val="0"/>
                  <w:vAlign w:val="center"/>
                </w:tcPr>
                <w:p w14:paraId="78E2D5DD">
                  <w:pPr>
                    <w:keepNext w:val="0"/>
                    <w:keepLines w:val="0"/>
                    <w:widowControl/>
                    <w:suppressLineNumbers w:val="0"/>
                    <w:jc w:val="center"/>
                    <w:textAlignment w:val="center"/>
                    <w:rPr>
                      <w:rFonts w:hint="default" w:ascii="Times New Roman" w:hAnsi="Times New Roman" w:cs="Times New Roman"/>
                      <w:color w:val="0000FF"/>
                    </w:rPr>
                  </w:pPr>
                  <w:r>
                    <w:rPr>
                      <w:rFonts w:hint="eastAsia" w:ascii="宋体" w:hAnsi="宋体" w:eastAsia="宋体" w:cs="宋体"/>
                      <w:i w:val="0"/>
                      <w:iCs w:val="0"/>
                      <w:color w:val="0000FF"/>
                      <w:kern w:val="0"/>
                      <w:sz w:val="21"/>
                      <w:szCs w:val="21"/>
                      <w:u w:val="none"/>
                      <w:lang w:val="en-US" w:eastAsia="zh-CN" w:bidi="ar"/>
                    </w:rPr>
                    <w:t>一般工业固废</w:t>
                  </w:r>
                </w:p>
              </w:tc>
              <w:tc>
                <w:tcPr>
                  <w:tcW w:w="1743" w:type="dxa"/>
                  <w:noWrap w:val="0"/>
                  <w:vAlign w:val="center"/>
                </w:tcPr>
                <w:p w14:paraId="7D06CC28">
                  <w:pPr>
                    <w:keepNext w:val="0"/>
                    <w:keepLines w:val="0"/>
                    <w:widowControl/>
                    <w:suppressLineNumbers w:val="0"/>
                    <w:jc w:val="center"/>
                    <w:textAlignment w:val="center"/>
                    <w:rPr>
                      <w:rFonts w:hint="default" w:ascii="Times New Roman" w:hAnsi="Times New Roman" w:cs="Times New Roman"/>
                      <w:color w:val="0000FF"/>
                      <w:kern w:val="0"/>
                      <w:szCs w:val="21"/>
                    </w:rPr>
                  </w:pPr>
                  <w:r>
                    <w:rPr>
                      <w:rFonts w:hint="eastAsia" w:ascii="宋体" w:hAnsi="宋体" w:eastAsia="宋体" w:cs="宋体"/>
                      <w:i w:val="0"/>
                      <w:iCs w:val="0"/>
                      <w:color w:val="0000FF"/>
                      <w:kern w:val="0"/>
                      <w:sz w:val="21"/>
                      <w:szCs w:val="21"/>
                      <w:u w:val="none"/>
                      <w:lang w:val="en-US" w:eastAsia="zh-CN" w:bidi="ar"/>
                    </w:rPr>
                    <w:t>废包装材料</w:t>
                  </w:r>
                </w:p>
              </w:tc>
              <w:tc>
                <w:tcPr>
                  <w:tcW w:w="2115" w:type="dxa"/>
                  <w:noWrap w:val="0"/>
                  <w:vAlign w:val="center"/>
                </w:tcPr>
                <w:p w14:paraId="63790597">
                  <w:pPr>
                    <w:keepNext w:val="0"/>
                    <w:keepLines w:val="0"/>
                    <w:widowControl/>
                    <w:suppressLineNumbers w:val="0"/>
                    <w:jc w:val="center"/>
                    <w:textAlignment w:val="center"/>
                    <w:rPr>
                      <w:rFonts w:hint="default" w:ascii="Times New Roman" w:hAnsi="Times New Roman" w:cs="Times New Roman"/>
                      <w:color w:val="0000FF"/>
                    </w:rPr>
                  </w:pPr>
                  <w:r>
                    <w:rPr>
                      <w:rFonts w:hint="default" w:ascii="Times New Roman" w:hAnsi="Times New Roman" w:eastAsia="宋体" w:cs="Times New Roman"/>
                      <w:i w:val="0"/>
                      <w:iCs w:val="0"/>
                      <w:color w:val="0000FF"/>
                      <w:kern w:val="0"/>
                      <w:sz w:val="21"/>
                      <w:szCs w:val="21"/>
                      <w:u w:val="none"/>
                      <w:lang w:val="en-US" w:eastAsia="zh-CN" w:bidi="ar"/>
                    </w:rPr>
                    <w:t>SW17，900-003-S17</w:t>
                  </w:r>
                </w:p>
              </w:tc>
              <w:tc>
                <w:tcPr>
                  <w:tcW w:w="1351" w:type="dxa"/>
                  <w:noWrap w:val="0"/>
                  <w:vAlign w:val="center"/>
                </w:tcPr>
                <w:p w14:paraId="7A166D35">
                  <w:pPr>
                    <w:keepNext w:val="0"/>
                    <w:keepLines w:val="0"/>
                    <w:widowControl/>
                    <w:suppressLineNumbers w:val="0"/>
                    <w:jc w:val="center"/>
                    <w:textAlignment w:val="center"/>
                    <w:rPr>
                      <w:rFonts w:hint="default" w:ascii="Times New Roman" w:hAnsi="Times New Roman" w:cs="Times New Roman"/>
                      <w:color w:val="0000FF"/>
                      <w:lang w:val="en-US"/>
                    </w:rPr>
                  </w:pPr>
                  <w:r>
                    <w:rPr>
                      <w:rFonts w:hint="default" w:ascii="Times New Roman" w:hAnsi="Times New Roman" w:eastAsia="宋体" w:cs="Times New Roman"/>
                      <w:i w:val="0"/>
                      <w:iCs w:val="0"/>
                      <w:color w:val="0000FF"/>
                      <w:kern w:val="0"/>
                      <w:sz w:val="21"/>
                      <w:szCs w:val="21"/>
                      <w:u w:val="none"/>
                      <w:lang w:val="en-US" w:eastAsia="zh-CN" w:bidi="ar"/>
                    </w:rPr>
                    <w:t>2.326</w:t>
                  </w:r>
                </w:p>
              </w:tc>
              <w:tc>
                <w:tcPr>
                  <w:tcW w:w="2443" w:type="dxa"/>
                  <w:noWrap w:val="0"/>
                  <w:vAlign w:val="center"/>
                </w:tcPr>
                <w:p w14:paraId="0B34EDBB">
                  <w:pPr>
                    <w:keepNext w:val="0"/>
                    <w:keepLines w:val="0"/>
                    <w:widowControl/>
                    <w:suppressLineNumbers w:val="0"/>
                    <w:jc w:val="both"/>
                    <w:textAlignment w:val="center"/>
                    <w:rPr>
                      <w:rFonts w:hint="default" w:ascii="Times New Roman" w:hAnsi="Times New Roman" w:cs="Times New Roman"/>
                      <w:color w:val="0000FF"/>
                    </w:rPr>
                  </w:pPr>
                  <w:r>
                    <w:rPr>
                      <w:rFonts w:hint="eastAsia" w:ascii="宋体" w:hAnsi="宋体" w:eastAsia="宋体" w:cs="宋体"/>
                      <w:i w:val="0"/>
                      <w:iCs w:val="0"/>
                      <w:color w:val="0000FF"/>
                      <w:kern w:val="0"/>
                      <w:sz w:val="21"/>
                      <w:szCs w:val="21"/>
                      <w:u w:val="none"/>
                      <w:lang w:val="en-US" w:eastAsia="zh-CN" w:bidi="ar"/>
                    </w:rPr>
                    <w:t>交给相关单位回收利用</w:t>
                  </w:r>
                </w:p>
              </w:tc>
            </w:tr>
            <w:tr w14:paraId="295D8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6" w:type="dxa"/>
                  <w:vMerge w:val="continue"/>
                  <w:noWrap w:val="0"/>
                  <w:vAlign w:val="center"/>
                </w:tcPr>
                <w:p w14:paraId="431FA803">
                  <w:pPr>
                    <w:jc w:val="center"/>
                    <w:rPr>
                      <w:rFonts w:hint="default" w:ascii="Times New Roman" w:hAnsi="Times New Roman" w:cs="Times New Roman"/>
                      <w:color w:val="0000FF"/>
                    </w:rPr>
                  </w:pPr>
                </w:p>
              </w:tc>
              <w:tc>
                <w:tcPr>
                  <w:tcW w:w="1743" w:type="dxa"/>
                  <w:noWrap w:val="0"/>
                  <w:vAlign w:val="center"/>
                </w:tcPr>
                <w:p w14:paraId="4019256C">
                  <w:pPr>
                    <w:keepNext w:val="0"/>
                    <w:keepLines w:val="0"/>
                    <w:widowControl/>
                    <w:suppressLineNumbers w:val="0"/>
                    <w:jc w:val="center"/>
                    <w:textAlignment w:val="center"/>
                    <w:rPr>
                      <w:rFonts w:hint="default" w:ascii="Times New Roman" w:hAnsi="Times New Roman" w:cs="Times New Roman"/>
                      <w:color w:val="0000FF"/>
                      <w:kern w:val="0"/>
                      <w:szCs w:val="21"/>
                    </w:rPr>
                  </w:pPr>
                  <w:r>
                    <w:rPr>
                      <w:rFonts w:hint="eastAsia" w:ascii="宋体" w:hAnsi="宋体" w:eastAsia="宋体" w:cs="宋体"/>
                      <w:i w:val="0"/>
                      <w:iCs w:val="0"/>
                      <w:color w:val="0000FF"/>
                      <w:kern w:val="0"/>
                      <w:sz w:val="21"/>
                      <w:szCs w:val="21"/>
                      <w:u w:val="none"/>
                      <w:lang w:val="en-US" w:eastAsia="zh-CN" w:bidi="ar"/>
                    </w:rPr>
                    <w:t>边角料、不合格品、废塑料</w:t>
                  </w:r>
                </w:p>
              </w:tc>
              <w:tc>
                <w:tcPr>
                  <w:tcW w:w="2115" w:type="dxa"/>
                  <w:noWrap w:val="0"/>
                  <w:vAlign w:val="center"/>
                </w:tcPr>
                <w:p w14:paraId="7B975459">
                  <w:pPr>
                    <w:keepNext w:val="0"/>
                    <w:keepLines w:val="0"/>
                    <w:widowControl/>
                    <w:suppressLineNumbers w:val="0"/>
                    <w:jc w:val="center"/>
                    <w:textAlignment w:val="center"/>
                    <w:rPr>
                      <w:rFonts w:hint="default" w:ascii="Times New Roman" w:hAnsi="Times New Roman" w:cs="Times New Roman"/>
                      <w:color w:val="0000FF"/>
                    </w:rPr>
                  </w:pPr>
                  <w:r>
                    <w:rPr>
                      <w:rFonts w:hint="default" w:ascii="Times New Roman" w:hAnsi="Times New Roman" w:eastAsia="宋体" w:cs="Times New Roman"/>
                      <w:i w:val="0"/>
                      <w:iCs w:val="0"/>
                      <w:color w:val="0000FF"/>
                      <w:kern w:val="0"/>
                      <w:sz w:val="21"/>
                      <w:szCs w:val="21"/>
                      <w:u w:val="none"/>
                      <w:lang w:val="en-US" w:eastAsia="zh-CN" w:bidi="ar"/>
                    </w:rPr>
                    <w:t>SW17，900-003-S17</w:t>
                  </w:r>
                </w:p>
              </w:tc>
              <w:tc>
                <w:tcPr>
                  <w:tcW w:w="1351" w:type="dxa"/>
                  <w:noWrap w:val="0"/>
                  <w:vAlign w:val="center"/>
                </w:tcPr>
                <w:p w14:paraId="5D19C901">
                  <w:pPr>
                    <w:keepNext w:val="0"/>
                    <w:keepLines w:val="0"/>
                    <w:widowControl/>
                    <w:suppressLineNumbers w:val="0"/>
                    <w:jc w:val="center"/>
                    <w:textAlignment w:val="center"/>
                    <w:rPr>
                      <w:rFonts w:hint="default" w:ascii="Times New Roman" w:hAnsi="Times New Roman" w:cs="Times New Roman"/>
                      <w:color w:val="0000FF"/>
                      <w:lang w:val="en-US"/>
                    </w:rPr>
                  </w:pPr>
                  <w:r>
                    <w:rPr>
                      <w:rFonts w:hint="default" w:ascii="Times New Roman" w:hAnsi="Times New Roman" w:cs="Times New Roman"/>
                      <w:color w:val="0000FF"/>
                      <w:lang w:val="en-US"/>
                    </w:rPr>
                    <w:t>55.9762</w:t>
                  </w:r>
                </w:p>
              </w:tc>
              <w:tc>
                <w:tcPr>
                  <w:tcW w:w="2443" w:type="dxa"/>
                  <w:noWrap w:val="0"/>
                  <w:vAlign w:val="center"/>
                </w:tcPr>
                <w:p w14:paraId="2F94A0E6">
                  <w:pPr>
                    <w:keepNext w:val="0"/>
                    <w:keepLines w:val="0"/>
                    <w:widowControl/>
                    <w:suppressLineNumbers w:val="0"/>
                    <w:jc w:val="center"/>
                    <w:textAlignment w:val="center"/>
                    <w:rPr>
                      <w:rFonts w:hint="default" w:ascii="Times New Roman" w:hAnsi="Times New Roman" w:cs="Times New Roman"/>
                      <w:color w:val="0000FF"/>
                    </w:rPr>
                  </w:pPr>
                  <w:r>
                    <w:rPr>
                      <w:rFonts w:hint="eastAsia" w:ascii="宋体" w:hAnsi="宋体" w:eastAsia="宋体" w:cs="宋体"/>
                      <w:i w:val="0"/>
                      <w:iCs w:val="0"/>
                      <w:color w:val="0000FF"/>
                      <w:kern w:val="0"/>
                      <w:sz w:val="21"/>
                      <w:szCs w:val="21"/>
                      <w:u w:val="none"/>
                      <w:lang w:val="en-US" w:eastAsia="zh-CN" w:bidi="ar"/>
                    </w:rPr>
                    <w:t>破碎后回用于生产</w:t>
                  </w:r>
                </w:p>
              </w:tc>
            </w:tr>
            <w:tr w14:paraId="4B1EF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6" w:type="dxa"/>
                  <w:vMerge w:val="continue"/>
                  <w:noWrap w:val="0"/>
                  <w:vAlign w:val="center"/>
                </w:tcPr>
                <w:p w14:paraId="28729D73">
                  <w:pPr>
                    <w:jc w:val="center"/>
                    <w:rPr>
                      <w:rFonts w:hint="default" w:ascii="Times New Roman" w:hAnsi="Times New Roman" w:cs="Times New Roman"/>
                      <w:color w:val="0000FF"/>
                    </w:rPr>
                  </w:pPr>
                </w:p>
              </w:tc>
              <w:tc>
                <w:tcPr>
                  <w:tcW w:w="1743" w:type="dxa"/>
                  <w:noWrap w:val="0"/>
                  <w:vAlign w:val="center"/>
                </w:tcPr>
                <w:p w14:paraId="03B1056F">
                  <w:pPr>
                    <w:keepNext w:val="0"/>
                    <w:keepLines w:val="0"/>
                    <w:widowControl/>
                    <w:suppressLineNumbers w:val="0"/>
                    <w:jc w:val="center"/>
                    <w:textAlignment w:val="center"/>
                    <w:rPr>
                      <w:rFonts w:hint="default" w:ascii="Times New Roman" w:hAnsi="Times New Roman" w:cs="Times New Roman"/>
                      <w:color w:val="0000FF"/>
                      <w:kern w:val="0"/>
                      <w:szCs w:val="21"/>
                    </w:rPr>
                  </w:pPr>
                  <w:r>
                    <w:rPr>
                      <w:rFonts w:hint="eastAsia" w:ascii="宋体" w:hAnsi="宋体" w:eastAsia="宋体" w:cs="宋体"/>
                      <w:i w:val="0"/>
                      <w:iCs w:val="0"/>
                      <w:color w:val="0000FF"/>
                      <w:kern w:val="0"/>
                      <w:sz w:val="21"/>
                      <w:szCs w:val="21"/>
                      <w:u w:val="none"/>
                      <w:lang w:val="en-US" w:eastAsia="zh-CN" w:bidi="ar"/>
                    </w:rPr>
                    <w:t>印刷不合格品</w:t>
                  </w:r>
                </w:p>
              </w:tc>
              <w:tc>
                <w:tcPr>
                  <w:tcW w:w="2115" w:type="dxa"/>
                  <w:noWrap w:val="0"/>
                  <w:vAlign w:val="center"/>
                </w:tcPr>
                <w:p w14:paraId="2F674D8E">
                  <w:pPr>
                    <w:keepNext w:val="0"/>
                    <w:keepLines w:val="0"/>
                    <w:widowControl/>
                    <w:suppressLineNumbers w:val="0"/>
                    <w:jc w:val="center"/>
                    <w:textAlignment w:val="center"/>
                    <w:rPr>
                      <w:rFonts w:hint="default" w:ascii="Times New Roman" w:hAnsi="Times New Roman" w:cs="Times New Roman"/>
                      <w:color w:val="0000FF"/>
                    </w:rPr>
                  </w:pPr>
                  <w:r>
                    <w:rPr>
                      <w:rFonts w:hint="default" w:ascii="Times New Roman" w:hAnsi="Times New Roman" w:eastAsia="宋体" w:cs="Times New Roman"/>
                      <w:i w:val="0"/>
                      <w:iCs w:val="0"/>
                      <w:color w:val="0000FF"/>
                      <w:kern w:val="0"/>
                      <w:sz w:val="21"/>
                      <w:szCs w:val="21"/>
                      <w:u w:val="none"/>
                      <w:lang w:val="en-US" w:eastAsia="zh-CN" w:bidi="ar"/>
                    </w:rPr>
                    <w:t>SW17，900-003-S17</w:t>
                  </w:r>
                </w:p>
              </w:tc>
              <w:tc>
                <w:tcPr>
                  <w:tcW w:w="1351" w:type="dxa"/>
                  <w:noWrap w:val="0"/>
                  <w:vAlign w:val="center"/>
                </w:tcPr>
                <w:p w14:paraId="3E370E16">
                  <w:pPr>
                    <w:keepNext w:val="0"/>
                    <w:keepLines w:val="0"/>
                    <w:widowControl/>
                    <w:suppressLineNumbers w:val="0"/>
                    <w:jc w:val="center"/>
                    <w:textAlignment w:val="center"/>
                    <w:rPr>
                      <w:rFonts w:hint="default" w:ascii="Times New Roman" w:hAnsi="Times New Roman" w:cs="Times New Roman"/>
                      <w:color w:val="0000FF"/>
                    </w:rPr>
                  </w:pPr>
                  <w:r>
                    <w:rPr>
                      <w:rFonts w:hint="default" w:ascii="Times New Roman" w:hAnsi="Times New Roman" w:eastAsia="宋体" w:cs="Times New Roman"/>
                      <w:i w:val="0"/>
                      <w:iCs w:val="0"/>
                      <w:color w:val="0000FF"/>
                      <w:kern w:val="0"/>
                      <w:sz w:val="21"/>
                      <w:szCs w:val="21"/>
                      <w:u w:val="none"/>
                      <w:lang w:val="en-US" w:eastAsia="zh-CN" w:bidi="ar"/>
                    </w:rPr>
                    <w:t>5</w:t>
                  </w:r>
                </w:p>
              </w:tc>
              <w:tc>
                <w:tcPr>
                  <w:tcW w:w="2443" w:type="dxa"/>
                  <w:noWrap w:val="0"/>
                  <w:vAlign w:val="center"/>
                </w:tcPr>
                <w:p w14:paraId="32DFAF48">
                  <w:pPr>
                    <w:keepNext w:val="0"/>
                    <w:keepLines w:val="0"/>
                    <w:widowControl/>
                    <w:suppressLineNumbers w:val="0"/>
                    <w:jc w:val="center"/>
                    <w:textAlignment w:val="center"/>
                    <w:rPr>
                      <w:rFonts w:hint="default" w:ascii="Times New Roman" w:hAnsi="Times New Roman" w:cs="Times New Roman"/>
                      <w:color w:val="0000FF"/>
                    </w:rPr>
                  </w:pPr>
                  <w:r>
                    <w:rPr>
                      <w:rFonts w:hint="eastAsia" w:ascii="宋体" w:hAnsi="宋体" w:eastAsia="宋体" w:cs="宋体"/>
                      <w:i w:val="0"/>
                      <w:iCs w:val="0"/>
                      <w:color w:val="0000FF"/>
                      <w:kern w:val="0"/>
                      <w:sz w:val="21"/>
                      <w:szCs w:val="21"/>
                      <w:u w:val="none"/>
                      <w:lang w:val="en-US" w:eastAsia="zh-CN" w:bidi="ar"/>
                    </w:rPr>
                    <w:t>回用于生产</w:t>
                  </w:r>
                </w:p>
              </w:tc>
            </w:tr>
            <w:tr w14:paraId="5F1A6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6" w:type="dxa"/>
                  <w:vMerge w:val="continue"/>
                  <w:noWrap w:val="0"/>
                  <w:vAlign w:val="center"/>
                </w:tcPr>
                <w:p w14:paraId="3F891D38">
                  <w:pPr>
                    <w:jc w:val="center"/>
                    <w:rPr>
                      <w:rFonts w:hint="default" w:ascii="Times New Roman" w:hAnsi="Times New Roman" w:cs="Times New Roman"/>
                      <w:color w:val="0000FF"/>
                    </w:rPr>
                  </w:pPr>
                </w:p>
              </w:tc>
              <w:tc>
                <w:tcPr>
                  <w:tcW w:w="1743" w:type="dxa"/>
                  <w:noWrap w:val="0"/>
                  <w:vAlign w:val="center"/>
                </w:tcPr>
                <w:p w14:paraId="77D82518">
                  <w:pPr>
                    <w:keepNext w:val="0"/>
                    <w:keepLines w:val="0"/>
                    <w:widowControl/>
                    <w:suppressLineNumbers w:val="0"/>
                    <w:jc w:val="center"/>
                    <w:textAlignment w:val="center"/>
                    <w:rPr>
                      <w:rFonts w:hint="default" w:ascii="Times New Roman" w:hAnsi="Times New Roman" w:cs="Times New Roman"/>
                      <w:color w:val="0000FF"/>
                      <w:kern w:val="0"/>
                      <w:szCs w:val="21"/>
                    </w:rPr>
                  </w:pPr>
                  <w:r>
                    <w:rPr>
                      <w:rFonts w:hint="eastAsia" w:ascii="宋体" w:hAnsi="宋体" w:eastAsia="宋体" w:cs="宋体"/>
                      <w:i w:val="0"/>
                      <w:iCs w:val="0"/>
                      <w:color w:val="0000FF"/>
                      <w:kern w:val="0"/>
                      <w:sz w:val="21"/>
                      <w:szCs w:val="21"/>
                      <w:u w:val="none"/>
                      <w:lang w:val="en-US" w:eastAsia="zh-CN" w:bidi="ar"/>
                    </w:rPr>
                    <w:t>金属边角料</w:t>
                  </w:r>
                </w:p>
              </w:tc>
              <w:tc>
                <w:tcPr>
                  <w:tcW w:w="2115" w:type="dxa"/>
                  <w:noWrap w:val="0"/>
                  <w:vAlign w:val="center"/>
                </w:tcPr>
                <w:p w14:paraId="1F808CB6">
                  <w:pPr>
                    <w:keepNext w:val="0"/>
                    <w:keepLines w:val="0"/>
                    <w:widowControl/>
                    <w:suppressLineNumbers w:val="0"/>
                    <w:jc w:val="center"/>
                    <w:textAlignment w:val="center"/>
                    <w:rPr>
                      <w:rFonts w:hint="default" w:ascii="Times New Roman" w:hAnsi="Times New Roman" w:cs="Times New Roman"/>
                      <w:color w:val="0000FF"/>
                      <w:kern w:val="0"/>
                      <w:szCs w:val="21"/>
                    </w:rPr>
                  </w:pPr>
                  <w:r>
                    <w:rPr>
                      <w:rFonts w:hint="default" w:ascii="Times New Roman" w:hAnsi="Times New Roman" w:eastAsia="宋体" w:cs="Times New Roman"/>
                      <w:i w:val="0"/>
                      <w:iCs w:val="0"/>
                      <w:color w:val="0000FF"/>
                      <w:kern w:val="0"/>
                      <w:sz w:val="21"/>
                      <w:szCs w:val="21"/>
                      <w:u w:val="none"/>
                      <w:lang w:val="en-US" w:eastAsia="zh-CN" w:bidi="ar"/>
                    </w:rPr>
                    <w:t>SW17</w:t>
                  </w:r>
                  <w:r>
                    <w:rPr>
                      <w:rFonts w:hint="eastAsia" w:ascii="宋体" w:hAnsi="宋体" w:eastAsia="宋体" w:cs="宋体"/>
                      <w:i w:val="0"/>
                      <w:iCs w:val="0"/>
                      <w:color w:val="0000FF"/>
                      <w:kern w:val="0"/>
                      <w:sz w:val="21"/>
                      <w:szCs w:val="21"/>
                      <w:u w:val="none"/>
                      <w:lang w:val="en-US" w:eastAsia="zh-CN" w:bidi="ar"/>
                    </w:rPr>
                    <w:t>，</w:t>
                  </w:r>
                  <w:r>
                    <w:rPr>
                      <w:rFonts w:hint="default" w:ascii="Times New Roman" w:hAnsi="Times New Roman" w:eastAsia="宋体" w:cs="Times New Roman"/>
                      <w:i w:val="0"/>
                      <w:iCs w:val="0"/>
                      <w:color w:val="0000FF"/>
                      <w:kern w:val="0"/>
                      <w:sz w:val="21"/>
                      <w:szCs w:val="21"/>
                      <w:u w:val="none"/>
                      <w:lang w:val="en-US" w:eastAsia="zh-CN" w:bidi="ar"/>
                    </w:rPr>
                    <w:t>900-002-S17</w:t>
                  </w:r>
                </w:p>
              </w:tc>
              <w:tc>
                <w:tcPr>
                  <w:tcW w:w="1351" w:type="dxa"/>
                  <w:noWrap w:val="0"/>
                  <w:vAlign w:val="center"/>
                </w:tcPr>
                <w:p w14:paraId="00931396">
                  <w:pPr>
                    <w:keepNext w:val="0"/>
                    <w:keepLines w:val="0"/>
                    <w:widowControl/>
                    <w:suppressLineNumbers w:val="0"/>
                    <w:jc w:val="center"/>
                    <w:textAlignment w:val="center"/>
                    <w:rPr>
                      <w:rFonts w:hint="default" w:ascii="Times New Roman" w:hAnsi="Times New Roman" w:cs="Times New Roman"/>
                      <w:color w:val="0000FF"/>
                      <w:kern w:val="0"/>
                      <w:szCs w:val="21"/>
                      <w:lang w:val="en-US"/>
                    </w:rPr>
                  </w:pPr>
                  <w:r>
                    <w:rPr>
                      <w:rFonts w:hint="default" w:ascii="Times New Roman" w:hAnsi="Times New Roman" w:eastAsia="宋体" w:cs="Times New Roman"/>
                      <w:i w:val="0"/>
                      <w:iCs w:val="0"/>
                      <w:color w:val="0000FF"/>
                      <w:kern w:val="0"/>
                      <w:sz w:val="21"/>
                      <w:szCs w:val="21"/>
                      <w:u w:val="none"/>
                      <w:lang w:val="en-US" w:eastAsia="zh-CN" w:bidi="ar"/>
                    </w:rPr>
                    <w:t>0.001</w:t>
                  </w:r>
                </w:p>
              </w:tc>
              <w:tc>
                <w:tcPr>
                  <w:tcW w:w="2443" w:type="dxa"/>
                  <w:noWrap w:val="0"/>
                  <w:vAlign w:val="center"/>
                </w:tcPr>
                <w:p w14:paraId="61452456">
                  <w:pPr>
                    <w:keepNext w:val="0"/>
                    <w:keepLines w:val="0"/>
                    <w:widowControl/>
                    <w:suppressLineNumbers w:val="0"/>
                    <w:jc w:val="both"/>
                    <w:textAlignment w:val="center"/>
                    <w:rPr>
                      <w:rFonts w:hint="default" w:ascii="Times New Roman" w:hAnsi="Times New Roman" w:cs="Times New Roman"/>
                      <w:color w:val="0000FF"/>
                    </w:rPr>
                  </w:pPr>
                  <w:r>
                    <w:rPr>
                      <w:rFonts w:hint="eastAsia" w:ascii="宋体" w:hAnsi="宋体" w:eastAsia="宋体" w:cs="宋体"/>
                      <w:i w:val="0"/>
                      <w:iCs w:val="0"/>
                      <w:color w:val="0000FF"/>
                      <w:kern w:val="0"/>
                      <w:sz w:val="21"/>
                      <w:szCs w:val="21"/>
                      <w:u w:val="none"/>
                      <w:lang w:val="en-US" w:eastAsia="zh-CN" w:bidi="ar"/>
                    </w:rPr>
                    <w:t>交给相关单位回收利用</w:t>
                  </w:r>
                </w:p>
              </w:tc>
            </w:tr>
            <w:tr w14:paraId="0608C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6" w:type="dxa"/>
                  <w:vMerge w:val="restart"/>
                  <w:noWrap w:val="0"/>
                  <w:vAlign w:val="center"/>
                </w:tcPr>
                <w:p w14:paraId="6574D441">
                  <w:pPr>
                    <w:keepNext w:val="0"/>
                    <w:keepLines w:val="0"/>
                    <w:widowControl/>
                    <w:suppressLineNumbers w:val="0"/>
                    <w:jc w:val="center"/>
                    <w:textAlignment w:val="center"/>
                    <w:rPr>
                      <w:rFonts w:hint="default" w:ascii="Times New Roman" w:hAnsi="Times New Roman" w:cs="Times New Roman"/>
                      <w:color w:val="0000FF"/>
                    </w:rPr>
                  </w:pPr>
                  <w:r>
                    <w:rPr>
                      <w:rFonts w:hint="eastAsia" w:ascii="宋体" w:hAnsi="宋体" w:eastAsia="宋体" w:cs="宋体"/>
                      <w:i w:val="0"/>
                      <w:iCs w:val="0"/>
                      <w:color w:val="0000FF"/>
                      <w:kern w:val="0"/>
                      <w:sz w:val="21"/>
                      <w:szCs w:val="21"/>
                      <w:u w:val="none"/>
                      <w:lang w:val="en-US" w:eastAsia="zh-CN" w:bidi="ar"/>
                    </w:rPr>
                    <w:t>危险废物</w:t>
                  </w:r>
                </w:p>
              </w:tc>
              <w:tc>
                <w:tcPr>
                  <w:tcW w:w="1743" w:type="dxa"/>
                  <w:noWrap w:val="0"/>
                  <w:vAlign w:val="center"/>
                </w:tcPr>
                <w:p w14:paraId="57D82BDE">
                  <w:pPr>
                    <w:keepNext w:val="0"/>
                    <w:keepLines w:val="0"/>
                    <w:widowControl/>
                    <w:suppressLineNumbers w:val="0"/>
                    <w:jc w:val="center"/>
                    <w:textAlignment w:val="center"/>
                    <w:rPr>
                      <w:rFonts w:hint="default" w:ascii="Times New Roman" w:hAnsi="Times New Roman" w:cs="Times New Roman"/>
                      <w:color w:val="0000FF"/>
                      <w:kern w:val="0"/>
                      <w:szCs w:val="21"/>
                    </w:rPr>
                  </w:pPr>
                  <w:r>
                    <w:rPr>
                      <w:rFonts w:hint="eastAsia" w:ascii="宋体" w:hAnsi="宋体" w:eastAsia="宋体" w:cs="宋体"/>
                      <w:i w:val="0"/>
                      <w:iCs w:val="0"/>
                      <w:color w:val="0000FF"/>
                      <w:kern w:val="0"/>
                      <w:sz w:val="21"/>
                      <w:szCs w:val="21"/>
                      <w:u w:val="none"/>
                      <w:lang w:val="en-US" w:eastAsia="zh-CN" w:bidi="ar"/>
                    </w:rPr>
                    <w:t>废油墨桶</w:t>
                  </w:r>
                </w:p>
              </w:tc>
              <w:tc>
                <w:tcPr>
                  <w:tcW w:w="2115" w:type="dxa"/>
                  <w:noWrap w:val="0"/>
                  <w:vAlign w:val="center"/>
                </w:tcPr>
                <w:p w14:paraId="64C2E319">
                  <w:pPr>
                    <w:keepNext w:val="0"/>
                    <w:keepLines w:val="0"/>
                    <w:widowControl/>
                    <w:suppressLineNumbers w:val="0"/>
                    <w:jc w:val="center"/>
                    <w:textAlignment w:val="center"/>
                    <w:rPr>
                      <w:rFonts w:hint="default" w:ascii="Times New Roman" w:hAnsi="Times New Roman" w:cs="Times New Roman"/>
                      <w:color w:val="0000FF"/>
                      <w:kern w:val="0"/>
                      <w:szCs w:val="21"/>
                    </w:rPr>
                  </w:pPr>
                  <w:r>
                    <w:rPr>
                      <w:rFonts w:hint="default" w:ascii="Times New Roman" w:hAnsi="Times New Roman" w:eastAsia="宋体" w:cs="Times New Roman"/>
                      <w:i w:val="0"/>
                      <w:iCs w:val="0"/>
                      <w:color w:val="0000FF"/>
                      <w:kern w:val="0"/>
                      <w:sz w:val="21"/>
                      <w:szCs w:val="21"/>
                      <w:u w:val="none"/>
                      <w:lang w:val="en-US" w:eastAsia="zh-CN" w:bidi="ar"/>
                    </w:rPr>
                    <w:t>HW12</w:t>
                  </w:r>
                  <w:r>
                    <w:rPr>
                      <w:rFonts w:hint="eastAsia" w:ascii="宋体" w:hAnsi="宋体" w:eastAsia="宋体" w:cs="宋体"/>
                      <w:i w:val="0"/>
                      <w:iCs w:val="0"/>
                      <w:color w:val="0000FF"/>
                      <w:kern w:val="0"/>
                      <w:sz w:val="21"/>
                      <w:szCs w:val="21"/>
                      <w:u w:val="none"/>
                      <w:lang w:val="en-US" w:eastAsia="zh-CN" w:bidi="ar"/>
                    </w:rPr>
                    <w:t>，</w:t>
                  </w:r>
                  <w:r>
                    <w:rPr>
                      <w:rFonts w:hint="default" w:ascii="Times New Roman" w:hAnsi="Times New Roman" w:eastAsia="宋体" w:cs="Times New Roman"/>
                      <w:i w:val="0"/>
                      <w:iCs w:val="0"/>
                      <w:color w:val="0000FF"/>
                      <w:kern w:val="0"/>
                      <w:sz w:val="21"/>
                      <w:szCs w:val="21"/>
                      <w:u w:val="none"/>
                      <w:lang w:val="en-US" w:eastAsia="zh-CN" w:bidi="ar"/>
                    </w:rPr>
                    <w:t>900-253-12</w:t>
                  </w:r>
                </w:p>
              </w:tc>
              <w:tc>
                <w:tcPr>
                  <w:tcW w:w="1351" w:type="dxa"/>
                  <w:noWrap w:val="0"/>
                  <w:vAlign w:val="center"/>
                </w:tcPr>
                <w:p w14:paraId="736A54EC">
                  <w:pPr>
                    <w:keepNext w:val="0"/>
                    <w:keepLines w:val="0"/>
                    <w:widowControl/>
                    <w:suppressLineNumbers w:val="0"/>
                    <w:jc w:val="center"/>
                    <w:textAlignment w:val="center"/>
                    <w:rPr>
                      <w:rFonts w:hint="default" w:ascii="Times New Roman" w:hAnsi="Times New Roman" w:cs="Times New Roman"/>
                      <w:color w:val="0000FF"/>
                      <w:kern w:val="0"/>
                      <w:szCs w:val="21"/>
                    </w:rPr>
                  </w:pPr>
                  <w:r>
                    <w:rPr>
                      <w:rFonts w:hint="default" w:ascii="Times New Roman" w:hAnsi="Times New Roman" w:eastAsia="宋体" w:cs="Times New Roman"/>
                      <w:i w:val="0"/>
                      <w:iCs w:val="0"/>
                      <w:color w:val="0000FF"/>
                      <w:kern w:val="0"/>
                      <w:sz w:val="21"/>
                      <w:szCs w:val="21"/>
                      <w:u w:val="none"/>
                      <w:lang w:val="en-US" w:eastAsia="zh-CN" w:bidi="ar"/>
                    </w:rPr>
                    <w:t>0.01</w:t>
                  </w:r>
                </w:p>
              </w:tc>
              <w:tc>
                <w:tcPr>
                  <w:tcW w:w="2443" w:type="dxa"/>
                  <w:vMerge w:val="restart"/>
                  <w:noWrap w:val="0"/>
                  <w:vAlign w:val="center"/>
                </w:tcPr>
                <w:p w14:paraId="2C8A9F07">
                  <w:pPr>
                    <w:keepNext w:val="0"/>
                    <w:keepLines w:val="0"/>
                    <w:widowControl/>
                    <w:suppressLineNumbers w:val="0"/>
                    <w:jc w:val="both"/>
                    <w:textAlignment w:val="center"/>
                    <w:rPr>
                      <w:rFonts w:hint="default" w:ascii="Times New Roman" w:hAnsi="Times New Roman" w:cs="Times New Roman"/>
                      <w:color w:val="0000FF"/>
                    </w:rPr>
                  </w:pPr>
                  <w:r>
                    <w:rPr>
                      <w:rFonts w:hint="eastAsia" w:ascii="宋体" w:hAnsi="宋体" w:eastAsia="宋体" w:cs="宋体"/>
                      <w:i w:val="0"/>
                      <w:iCs w:val="0"/>
                      <w:color w:val="0000FF"/>
                      <w:kern w:val="0"/>
                      <w:sz w:val="21"/>
                      <w:szCs w:val="21"/>
                      <w:u w:val="none"/>
                      <w:lang w:val="en-US" w:eastAsia="zh-CN" w:bidi="ar"/>
                    </w:rPr>
                    <w:t>定期委托有危险废物经营资质的单位处置</w:t>
                  </w:r>
                </w:p>
              </w:tc>
            </w:tr>
            <w:tr w14:paraId="5BA9A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6" w:type="dxa"/>
                  <w:vMerge w:val="continue"/>
                  <w:noWrap w:val="0"/>
                  <w:vAlign w:val="center"/>
                </w:tcPr>
                <w:p w14:paraId="4E3F495D">
                  <w:pPr>
                    <w:jc w:val="center"/>
                    <w:rPr>
                      <w:rFonts w:hint="default" w:ascii="Times New Roman" w:hAnsi="Times New Roman" w:cs="Times New Roman"/>
                      <w:color w:val="0000FF"/>
                    </w:rPr>
                  </w:pPr>
                </w:p>
              </w:tc>
              <w:tc>
                <w:tcPr>
                  <w:tcW w:w="1743" w:type="dxa"/>
                  <w:noWrap w:val="0"/>
                  <w:vAlign w:val="center"/>
                </w:tcPr>
                <w:p w14:paraId="3C74FF13">
                  <w:pPr>
                    <w:keepNext w:val="0"/>
                    <w:keepLines w:val="0"/>
                    <w:widowControl/>
                    <w:suppressLineNumbers w:val="0"/>
                    <w:jc w:val="center"/>
                    <w:textAlignment w:val="center"/>
                    <w:rPr>
                      <w:rFonts w:hint="default" w:ascii="Times New Roman" w:hAnsi="Times New Roman" w:cs="Times New Roman"/>
                      <w:color w:val="0000FF"/>
                      <w:kern w:val="0"/>
                      <w:szCs w:val="21"/>
                    </w:rPr>
                  </w:pPr>
                  <w:r>
                    <w:rPr>
                      <w:rFonts w:hint="eastAsia" w:ascii="宋体" w:hAnsi="宋体" w:eastAsia="宋体" w:cs="宋体"/>
                      <w:i w:val="0"/>
                      <w:iCs w:val="0"/>
                      <w:color w:val="0000FF"/>
                      <w:kern w:val="0"/>
                      <w:sz w:val="21"/>
                      <w:szCs w:val="21"/>
                      <w:u w:val="none"/>
                      <w:lang w:val="en-US" w:eastAsia="zh-CN" w:bidi="ar"/>
                    </w:rPr>
                    <w:t>废包装桶</w:t>
                  </w:r>
                </w:p>
              </w:tc>
              <w:tc>
                <w:tcPr>
                  <w:tcW w:w="2115" w:type="dxa"/>
                  <w:noWrap w:val="0"/>
                  <w:vAlign w:val="center"/>
                </w:tcPr>
                <w:p w14:paraId="22A154D9">
                  <w:pPr>
                    <w:keepNext w:val="0"/>
                    <w:keepLines w:val="0"/>
                    <w:widowControl/>
                    <w:suppressLineNumbers w:val="0"/>
                    <w:jc w:val="center"/>
                    <w:textAlignment w:val="center"/>
                    <w:rPr>
                      <w:rFonts w:hint="default" w:ascii="Times New Roman" w:hAnsi="Times New Roman" w:cs="Times New Roman"/>
                      <w:color w:val="0000FF"/>
                      <w:kern w:val="0"/>
                      <w:szCs w:val="21"/>
                    </w:rPr>
                  </w:pPr>
                  <w:r>
                    <w:rPr>
                      <w:rFonts w:hint="default" w:ascii="Times New Roman" w:hAnsi="Times New Roman" w:eastAsia="宋体" w:cs="Times New Roman"/>
                      <w:i w:val="0"/>
                      <w:iCs w:val="0"/>
                      <w:color w:val="0000FF"/>
                      <w:kern w:val="0"/>
                      <w:sz w:val="21"/>
                      <w:szCs w:val="21"/>
                      <w:u w:val="none"/>
                      <w:lang w:val="en-US" w:eastAsia="zh-CN" w:bidi="ar"/>
                    </w:rPr>
                    <w:t>HW08，900-249-08</w:t>
                  </w:r>
                </w:p>
              </w:tc>
              <w:tc>
                <w:tcPr>
                  <w:tcW w:w="1351" w:type="dxa"/>
                  <w:noWrap w:val="0"/>
                  <w:vAlign w:val="center"/>
                </w:tcPr>
                <w:p w14:paraId="2B7F1B2F">
                  <w:pPr>
                    <w:keepNext w:val="0"/>
                    <w:keepLines w:val="0"/>
                    <w:widowControl/>
                    <w:suppressLineNumbers w:val="0"/>
                    <w:jc w:val="center"/>
                    <w:textAlignment w:val="center"/>
                    <w:rPr>
                      <w:rFonts w:hint="default" w:ascii="Times New Roman" w:hAnsi="Times New Roman" w:eastAsia="宋体" w:cs="Times New Roman"/>
                      <w:color w:val="0000FF"/>
                      <w:kern w:val="0"/>
                      <w:lang w:val="en-US" w:eastAsia="zh-CN"/>
                    </w:rPr>
                  </w:pPr>
                  <w:r>
                    <w:rPr>
                      <w:rFonts w:hint="default" w:ascii="Times New Roman" w:hAnsi="Times New Roman" w:eastAsia="宋体" w:cs="Times New Roman"/>
                      <w:i w:val="0"/>
                      <w:iCs w:val="0"/>
                      <w:color w:val="0000FF"/>
                      <w:kern w:val="0"/>
                      <w:sz w:val="21"/>
                      <w:szCs w:val="21"/>
                      <w:u w:val="none"/>
                      <w:lang w:val="en-US" w:eastAsia="zh-CN" w:bidi="ar"/>
                    </w:rPr>
                    <w:t>0.0156</w:t>
                  </w:r>
                </w:p>
              </w:tc>
              <w:tc>
                <w:tcPr>
                  <w:tcW w:w="2443" w:type="dxa"/>
                  <w:vMerge w:val="continue"/>
                  <w:noWrap w:val="0"/>
                  <w:vAlign w:val="center"/>
                </w:tcPr>
                <w:p w14:paraId="39695509">
                  <w:pPr>
                    <w:jc w:val="both"/>
                    <w:rPr>
                      <w:rFonts w:hint="default" w:ascii="Times New Roman" w:hAnsi="Times New Roman" w:cs="Times New Roman"/>
                      <w:color w:val="0000FF"/>
                    </w:rPr>
                  </w:pPr>
                </w:p>
              </w:tc>
            </w:tr>
            <w:tr w14:paraId="7C5BC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6" w:type="dxa"/>
                  <w:vMerge w:val="continue"/>
                  <w:noWrap w:val="0"/>
                  <w:vAlign w:val="center"/>
                </w:tcPr>
                <w:p w14:paraId="36E6A66E">
                  <w:pPr>
                    <w:jc w:val="center"/>
                    <w:rPr>
                      <w:rFonts w:hint="default" w:ascii="Times New Roman" w:hAnsi="Times New Roman" w:cs="Times New Roman"/>
                      <w:color w:val="0000FF"/>
                    </w:rPr>
                  </w:pPr>
                </w:p>
              </w:tc>
              <w:tc>
                <w:tcPr>
                  <w:tcW w:w="1743" w:type="dxa"/>
                  <w:noWrap w:val="0"/>
                  <w:vAlign w:val="center"/>
                </w:tcPr>
                <w:p w14:paraId="0FE784E9">
                  <w:pPr>
                    <w:keepNext w:val="0"/>
                    <w:keepLines w:val="0"/>
                    <w:widowControl/>
                    <w:suppressLineNumbers w:val="0"/>
                    <w:jc w:val="center"/>
                    <w:textAlignment w:val="center"/>
                    <w:rPr>
                      <w:rFonts w:hint="default" w:ascii="Times New Roman" w:hAnsi="Times New Roman" w:cs="Times New Roman"/>
                      <w:color w:val="0000FF"/>
                    </w:rPr>
                  </w:pPr>
                  <w:r>
                    <w:rPr>
                      <w:rFonts w:hint="eastAsia" w:ascii="宋体" w:hAnsi="宋体" w:eastAsia="宋体" w:cs="宋体"/>
                      <w:i w:val="0"/>
                      <w:iCs w:val="0"/>
                      <w:color w:val="0000FF"/>
                      <w:kern w:val="0"/>
                      <w:sz w:val="21"/>
                      <w:szCs w:val="21"/>
                      <w:u w:val="none"/>
                      <w:lang w:val="en-US" w:eastAsia="zh-CN" w:bidi="ar"/>
                    </w:rPr>
                    <w:t>废含油棉纱手套</w:t>
                  </w:r>
                </w:p>
              </w:tc>
              <w:tc>
                <w:tcPr>
                  <w:tcW w:w="2115" w:type="dxa"/>
                  <w:noWrap w:val="0"/>
                  <w:vAlign w:val="center"/>
                </w:tcPr>
                <w:p w14:paraId="6CA1EB42">
                  <w:pPr>
                    <w:keepNext w:val="0"/>
                    <w:keepLines w:val="0"/>
                    <w:widowControl/>
                    <w:suppressLineNumbers w:val="0"/>
                    <w:jc w:val="center"/>
                    <w:textAlignment w:val="center"/>
                    <w:rPr>
                      <w:rFonts w:hint="default" w:ascii="Times New Roman" w:hAnsi="Times New Roman" w:cs="Times New Roman"/>
                      <w:color w:val="0000FF"/>
                    </w:rPr>
                  </w:pPr>
                  <w:r>
                    <w:rPr>
                      <w:rFonts w:hint="default" w:ascii="Times New Roman" w:hAnsi="Times New Roman" w:eastAsia="宋体" w:cs="Times New Roman"/>
                      <w:i w:val="0"/>
                      <w:iCs w:val="0"/>
                      <w:color w:val="0000FF"/>
                      <w:kern w:val="0"/>
                      <w:sz w:val="21"/>
                      <w:szCs w:val="21"/>
                      <w:u w:val="none"/>
                      <w:lang w:val="en-US" w:eastAsia="zh-CN" w:bidi="ar"/>
                    </w:rPr>
                    <w:t>HW49</w:t>
                  </w:r>
                  <w:r>
                    <w:rPr>
                      <w:rFonts w:hint="eastAsia" w:ascii="宋体" w:hAnsi="宋体" w:eastAsia="宋体" w:cs="宋体"/>
                      <w:i w:val="0"/>
                      <w:iCs w:val="0"/>
                      <w:color w:val="0000FF"/>
                      <w:kern w:val="0"/>
                      <w:sz w:val="21"/>
                      <w:szCs w:val="21"/>
                      <w:u w:val="none"/>
                      <w:lang w:val="en-US" w:eastAsia="zh-CN" w:bidi="ar"/>
                    </w:rPr>
                    <w:t>，</w:t>
                  </w:r>
                  <w:r>
                    <w:rPr>
                      <w:rFonts w:hint="default" w:ascii="Times New Roman" w:hAnsi="Times New Roman" w:eastAsia="宋体" w:cs="Times New Roman"/>
                      <w:i w:val="0"/>
                      <w:iCs w:val="0"/>
                      <w:color w:val="0000FF"/>
                      <w:kern w:val="0"/>
                      <w:sz w:val="21"/>
                      <w:szCs w:val="21"/>
                      <w:u w:val="none"/>
                      <w:lang w:val="en-US" w:eastAsia="zh-CN" w:bidi="ar"/>
                    </w:rPr>
                    <w:t>900-041-49</w:t>
                  </w:r>
                </w:p>
              </w:tc>
              <w:tc>
                <w:tcPr>
                  <w:tcW w:w="1351" w:type="dxa"/>
                  <w:noWrap w:val="0"/>
                  <w:vAlign w:val="center"/>
                </w:tcPr>
                <w:p w14:paraId="77AE38BF">
                  <w:pPr>
                    <w:keepNext w:val="0"/>
                    <w:keepLines w:val="0"/>
                    <w:widowControl/>
                    <w:suppressLineNumbers w:val="0"/>
                    <w:jc w:val="center"/>
                    <w:textAlignment w:val="center"/>
                    <w:rPr>
                      <w:rFonts w:hint="default" w:ascii="Times New Roman" w:hAnsi="Times New Roman" w:cs="Times New Roman"/>
                      <w:color w:val="0000FF"/>
                      <w:kern w:val="0"/>
                      <w:lang w:val="en-US"/>
                    </w:rPr>
                  </w:pPr>
                  <w:r>
                    <w:rPr>
                      <w:rFonts w:hint="default" w:ascii="Times New Roman" w:hAnsi="Times New Roman" w:eastAsia="宋体" w:cs="Times New Roman"/>
                      <w:i w:val="0"/>
                      <w:iCs w:val="0"/>
                      <w:color w:val="0000FF"/>
                      <w:kern w:val="0"/>
                      <w:sz w:val="21"/>
                      <w:szCs w:val="21"/>
                      <w:u w:val="none"/>
                      <w:lang w:val="en-US" w:eastAsia="zh-CN" w:bidi="ar"/>
                    </w:rPr>
                    <w:t>0.03</w:t>
                  </w:r>
                </w:p>
              </w:tc>
              <w:tc>
                <w:tcPr>
                  <w:tcW w:w="2443" w:type="dxa"/>
                  <w:vMerge w:val="continue"/>
                  <w:noWrap w:val="0"/>
                  <w:vAlign w:val="center"/>
                </w:tcPr>
                <w:p w14:paraId="4CDAE146">
                  <w:pPr>
                    <w:jc w:val="both"/>
                    <w:rPr>
                      <w:rFonts w:hint="default" w:ascii="Times New Roman" w:hAnsi="Times New Roman" w:cs="Times New Roman"/>
                      <w:color w:val="0000FF"/>
                    </w:rPr>
                  </w:pPr>
                </w:p>
              </w:tc>
            </w:tr>
            <w:tr w14:paraId="7E728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6" w:type="dxa"/>
                  <w:vMerge w:val="continue"/>
                  <w:noWrap w:val="0"/>
                  <w:vAlign w:val="center"/>
                </w:tcPr>
                <w:p w14:paraId="3C7FD92B">
                  <w:pPr>
                    <w:jc w:val="center"/>
                    <w:rPr>
                      <w:rFonts w:hint="default" w:ascii="Times New Roman" w:hAnsi="Times New Roman" w:cs="Times New Roman"/>
                      <w:color w:val="0000FF"/>
                    </w:rPr>
                  </w:pPr>
                </w:p>
              </w:tc>
              <w:tc>
                <w:tcPr>
                  <w:tcW w:w="1743" w:type="dxa"/>
                  <w:noWrap w:val="0"/>
                  <w:vAlign w:val="center"/>
                </w:tcPr>
                <w:p w14:paraId="4F8CF2CD">
                  <w:pPr>
                    <w:keepNext w:val="0"/>
                    <w:keepLines w:val="0"/>
                    <w:widowControl/>
                    <w:suppressLineNumbers w:val="0"/>
                    <w:jc w:val="center"/>
                    <w:textAlignment w:val="center"/>
                    <w:rPr>
                      <w:rFonts w:hint="default" w:ascii="Times New Roman" w:hAnsi="Times New Roman" w:cs="Times New Roman"/>
                      <w:color w:val="00B050"/>
                      <w:kern w:val="0"/>
                      <w:szCs w:val="21"/>
                    </w:rPr>
                  </w:pPr>
                  <w:r>
                    <w:rPr>
                      <w:rFonts w:hint="eastAsia" w:ascii="宋体" w:hAnsi="宋体" w:eastAsia="宋体" w:cs="宋体"/>
                      <w:i w:val="0"/>
                      <w:iCs w:val="0"/>
                      <w:color w:val="00B050"/>
                      <w:kern w:val="0"/>
                      <w:sz w:val="21"/>
                      <w:szCs w:val="21"/>
                      <w:u w:val="none"/>
                      <w:lang w:val="en-US" w:eastAsia="zh-CN" w:bidi="ar"/>
                    </w:rPr>
                    <w:t>废活性炭</w:t>
                  </w:r>
                </w:p>
              </w:tc>
              <w:tc>
                <w:tcPr>
                  <w:tcW w:w="2115" w:type="dxa"/>
                  <w:noWrap w:val="0"/>
                  <w:vAlign w:val="center"/>
                </w:tcPr>
                <w:p w14:paraId="5B48CDB1">
                  <w:pPr>
                    <w:keepNext w:val="0"/>
                    <w:keepLines w:val="0"/>
                    <w:widowControl/>
                    <w:suppressLineNumbers w:val="0"/>
                    <w:jc w:val="center"/>
                    <w:textAlignment w:val="center"/>
                    <w:rPr>
                      <w:rFonts w:hint="default" w:ascii="Times New Roman" w:hAnsi="Times New Roman" w:cs="Times New Roman"/>
                      <w:color w:val="00B050"/>
                      <w:szCs w:val="21"/>
                    </w:rPr>
                  </w:pPr>
                  <w:r>
                    <w:rPr>
                      <w:rFonts w:hint="default" w:ascii="Times New Roman" w:hAnsi="Times New Roman" w:eastAsia="宋体" w:cs="Times New Roman"/>
                      <w:i w:val="0"/>
                      <w:iCs w:val="0"/>
                      <w:color w:val="00B050"/>
                      <w:kern w:val="0"/>
                      <w:sz w:val="21"/>
                      <w:szCs w:val="21"/>
                      <w:u w:val="none"/>
                      <w:lang w:val="en-US" w:eastAsia="zh-CN" w:bidi="ar"/>
                    </w:rPr>
                    <w:t>HW49</w:t>
                  </w:r>
                  <w:r>
                    <w:rPr>
                      <w:rFonts w:hint="eastAsia" w:ascii="宋体" w:hAnsi="宋体" w:eastAsia="宋体" w:cs="宋体"/>
                      <w:i w:val="0"/>
                      <w:iCs w:val="0"/>
                      <w:color w:val="00B050"/>
                      <w:kern w:val="0"/>
                      <w:sz w:val="21"/>
                      <w:szCs w:val="21"/>
                      <w:u w:val="none"/>
                      <w:lang w:val="en-US" w:eastAsia="zh-CN" w:bidi="ar"/>
                    </w:rPr>
                    <w:t>，</w:t>
                  </w:r>
                  <w:r>
                    <w:rPr>
                      <w:rFonts w:hint="default" w:ascii="Times New Roman" w:hAnsi="Times New Roman" w:eastAsia="宋体" w:cs="Times New Roman"/>
                      <w:i w:val="0"/>
                      <w:iCs w:val="0"/>
                      <w:color w:val="00B050"/>
                      <w:kern w:val="0"/>
                      <w:sz w:val="21"/>
                      <w:szCs w:val="21"/>
                      <w:u w:val="none"/>
                      <w:lang w:val="en-US" w:eastAsia="zh-CN" w:bidi="ar"/>
                    </w:rPr>
                    <w:t>900-039-49</w:t>
                  </w:r>
                </w:p>
              </w:tc>
              <w:tc>
                <w:tcPr>
                  <w:tcW w:w="1351" w:type="dxa"/>
                  <w:noWrap w:val="0"/>
                  <w:vAlign w:val="center"/>
                </w:tcPr>
                <w:p w14:paraId="356BD169">
                  <w:pPr>
                    <w:keepNext w:val="0"/>
                    <w:keepLines w:val="0"/>
                    <w:widowControl/>
                    <w:suppressLineNumbers w:val="0"/>
                    <w:jc w:val="center"/>
                    <w:textAlignment w:val="center"/>
                    <w:rPr>
                      <w:rFonts w:hint="default" w:ascii="Times New Roman" w:hAnsi="Times New Roman" w:eastAsia="宋体" w:cs="Times New Roman"/>
                      <w:color w:val="00B050"/>
                      <w:szCs w:val="21"/>
                      <w:lang w:val="en-US" w:eastAsia="zh-CN"/>
                    </w:rPr>
                  </w:pPr>
                  <w:r>
                    <w:rPr>
                      <w:rFonts w:hint="eastAsia" w:cs="Times New Roman"/>
                      <w:i w:val="0"/>
                      <w:iCs w:val="0"/>
                      <w:color w:val="00B050"/>
                      <w:kern w:val="0"/>
                      <w:sz w:val="21"/>
                      <w:szCs w:val="21"/>
                      <w:u w:val="none"/>
                      <w:lang w:val="en-US" w:eastAsia="zh-CN" w:bidi="ar"/>
                    </w:rPr>
                    <w:t>5.3168</w:t>
                  </w:r>
                </w:p>
              </w:tc>
              <w:tc>
                <w:tcPr>
                  <w:tcW w:w="2443" w:type="dxa"/>
                  <w:vMerge w:val="continue"/>
                  <w:noWrap w:val="0"/>
                  <w:vAlign w:val="center"/>
                </w:tcPr>
                <w:p w14:paraId="69D5891D">
                  <w:pPr>
                    <w:jc w:val="both"/>
                    <w:rPr>
                      <w:rFonts w:hint="default" w:ascii="Times New Roman" w:hAnsi="Times New Roman" w:cs="Times New Roman"/>
                      <w:color w:val="0000FF"/>
                    </w:rPr>
                  </w:pPr>
                </w:p>
              </w:tc>
            </w:tr>
            <w:tr w14:paraId="19AFD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6" w:type="dxa"/>
                  <w:vMerge w:val="continue"/>
                  <w:noWrap w:val="0"/>
                  <w:vAlign w:val="center"/>
                </w:tcPr>
                <w:p w14:paraId="12522D35">
                  <w:pPr>
                    <w:jc w:val="center"/>
                    <w:rPr>
                      <w:rFonts w:hint="default" w:ascii="Times New Roman" w:hAnsi="Times New Roman" w:cs="Times New Roman"/>
                      <w:color w:val="0000FF"/>
                    </w:rPr>
                  </w:pPr>
                </w:p>
              </w:tc>
              <w:tc>
                <w:tcPr>
                  <w:tcW w:w="1743" w:type="dxa"/>
                  <w:noWrap w:val="0"/>
                  <w:vAlign w:val="center"/>
                </w:tcPr>
                <w:p w14:paraId="0B5F651C">
                  <w:pPr>
                    <w:keepNext w:val="0"/>
                    <w:keepLines w:val="0"/>
                    <w:widowControl/>
                    <w:suppressLineNumbers w:val="0"/>
                    <w:jc w:val="center"/>
                    <w:textAlignment w:val="center"/>
                    <w:rPr>
                      <w:rFonts w:hint="eastAsia" w:ascii="宋体" w:hAnsi="宋体" w:eastAsia="宋体" w:cs="宋体"/>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废润滑油</w:t>
                  </w:r>
                </w:p>
              </w:tc>
              <w:tc>
                <w:tcPr>
                  <w:tcW w:w="2115" w:type="dxa"/>
                  <w:noWrap w:val="0"/>
                  <w:vAlign w:val="center"/>
                </w:tcPr>
                <w:p w14:paraId="663131DC">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HW08</w:t>
                  </w:r>
                  <w:r>
                    <w:rPr>
                      <w:rFonts w:hint="eastAsia" w:ascii="宋体" w:hAnsi="宋体" w:eastAsia="宋体" w:cs="宋体"/>
                      <w:i w:val="0"/>
                      <w:iCs w:val="0"/>
                      <w:color w:val="0000FF"/>
                      <w:kern w:val="0"/>
                      <w:sz w:val="21"/>
                      <w:szCs w:val="21"/>
                      <w:u w:val="none"/>
                      <w:lang w:val="en-US" w:eastAsia="zh-CN" w:bidi="ar"/>
                    </w:rPr>
                    <w:t>，</w:t>
                  </w:r>
                  <w:r>
                    <w:rPr>
                      <w:rFonts w:hint="default" w:ascii="Times New Roman" w:hAnsi="Times New Roman" w:eastAsia="宋体" w:cs="Times New Roman"/>
                      <w:i w:val="0"/>
                      <w:iCs w:val="0"/>
                      <w:color w:val="0000FF"/>
                      <w:kern w:val="0"/>
                      <w:sz w:val="21"/>
                      <w:szCs w:val="21"/>
                      <w:u w:val="none"/>
                      <w:lang w:val="en-US" w:eastAsia="zh-CN" w:bidi="ar"/>
                    </w:rPr>
                    <w:t>900-217-08</w:t>
                  </w:r>
                </w:p>
              </w:tc>
              <w:tc>
                <w:tcPr>
                  <w:tcW w:w="1351" w:type="dxa"/>
                  <w:noWrap w:val="0"/>
                  <w:vAlign w:val="center"/>
                </w:tcPr>
                <w:p w14:paraId="4C596971">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0.08</w:t>
                  </w:r>
                </w:p>
              </w:tc>
              <w:tc>
                <w:tcPr>
                  <w:tcW w:w="2443" w:type="dxa"/>
                  <w:vMerge w:val="continue"/>
                  <w:noWrap w:val="0"/>
                  <w:vAlign w:val="center"/>
                </w:tcPr>
                <w:p w14:paraId="4B218062">
                  <w:pPr>
                    <w:jc w:val="both"/>
                    <w:rPr>
                      <w:rFonts w:hint="default" w:ascii="Times New Roman" w:hAnsi="Times New Roman" w:cs="Times New Roman"/>
                      <w:color w:val="0000FF"/>
                    </w:rPr>
                  </w:pPr>
                </w:p>
              </w:tc>
            </w:tr>
            <w:tr w14:paraId="19AF0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6" w:type="dxa"/>
                  <w:vMerge w:val="continue"/>
                  <w:noWrap w:val="0"/>
                  <w:vAlign w:val="center"/>
                </w:tcPr>
                <w:p w14:paraId="45704BE4">
                  <w:pPr>
                    <w:jc w:val="center"/>
                    <w:rPr>
                      <w:rFonts w:hint="default" w:ascii="Times New Roman" w:hAnsi="Times New Roman" w:cs="Times New Roman"/>
                      <w:color w:val="0000FF"/>
                    </w:rPr>
                  </w:pPr>
                </w:p>
              </w:tc>
              <w:tc>
                <w:tcPr>
                  <w:tcW w:w="1743" w:type="dxa"/>
                  <w:noWrap w:val="0"/>
                  <w:vAlign w:val="center"/>
                </w:tcPr>
                <w:p w14:paraId="19EE9F30">
                  <w:pPr>
                    <w:keepNext w:val="0"/>
                    <w:keepLines w:val="0"/>
                    <w:widowControl/>
                    <w:suppressLineNumbers w:val="0"/>
                    <w:jc w:val="both"/>
                    <w:textAlignment w:val="center"/>
                    <w:rPr>
                      <w:rFonts w:hint="eastAsia" w:ascii="宋体" w:hAnsi="宋体" w:eastAsia="宋体" w:cs="宋体"/>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空压机产生的油</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水混合物</w:t>
                  </w:r>
                </w:p>
              </w:tc>
              <w:tc>
                <w:tcPr>
                  <w:tcW w:w="2115" w:type="dxa"/>
                  <w:noWrap w:val="0"/>
                  <w:vAlign w:val="center"/>
                </w:tcPr>
                <w:p w14:paraId="54E0AAE4">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HW09</w:t>
                  </w:r>
                  <w:r>
                    <w:rPr>
                      <w:rFonts w:hint="eastAsia" w:ascii="宋体" w:hAnsi="宋体" w:eastAsia="宋体" w:cs="宋体"/>
                      <w:i w:val="0"/>
                      <w:iCs w:val="0"/>
                      <w:color w:val="0000FF"/>
                      <w:kern w:val="0"/>
                      <w:sz w:val="21"/>
                      <w:szCs w:val="21"/>
                      <w:u w:val="none"/>
                      <w:lang w:val="en-US" w:eastAsia="zh-CN" w:bidi="ar"/>
                    </w:rPr>
                    <w:t>，</w:t>
                  </w:r>
                  <w:r>
                    <w:rPr>
                      <w:rFonts w:hint="default" w:ascii="Times New Roman" w:hAnsi="Times New Roman" w:eastAsia="宋体" w:cs="Times New Roman"/>
                      <w:i w:val="0"/>
                      <w:iCs w:val="0"/>
                      <w:color w:val="0000FF"/>
                      <w:kern w:val="0"/>
                      <w:sz w:val="21"/>
                      <w:szCs w:val="21"/>
                      <w:u w:val="none"/>
                      <w:lang w:val="en-US" w:eastAsia="zh-CN" w:bidi="ar"/>
                    </w:rPr>
                    <w:t>900-007-09</w:t>
                  </w:r>
                </w:p>
              </w:tc>
              <w:tc>
                <w:tcPr>
                  <w:tcW w:w="1351" w:type="dxa"/>
                  <w:noWrap w:val="0"/>
                  <w:vAlign w:val="center"/>
                </w:tcPr>
                <w:p w14:paraId="449679C3">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0.01</w:t>
                  </w:r>
                </w:p>
              </w:tc>
              <w:tc>
                <w:tcPr>
                  <w:tcW w:w="2443" w:type="dxa"/>
                  <w:vMerge w:val="continue"/>
                  <w:noWrap w:val="0"/>
                  <w:vAlign w:val="center"/>
                </w:tcPr>
                <w:p w14:paraId="387D5FB7">
                  <w:pPr>
                    <w:jc w:val="both"/>
                    <w:rPr>
                      <w:rFonts w:hint="default" w:ascii="Times New Roman" w:hAnsi="Times New Roman" w:cs="Times New Roman"/>
                      <w:color w:val="0000FF"/>
                    </w:rPr>
                  </w:pPr>
                </w:p>
              </w:tc>
            </w:tr>
            <w:tr w14:paraId="7E8EB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16" w:type="dxa"/>
                  <w:vMerge w:val="continue"/>
                  <w:noWrap w:val="0"/>
                  <w:vAlign w:val="center"/>
                </w:tcPr>
                <w:p w14:paraId="77660D72">
                  <w:pPr>
                    <w:jc w:val="center"/>
                    <w:rPr>
                      <w:rFonts w:hint="default" w:ascii="Times New Roman" w:hAnsi="Times New Roman" w:cs="Times New Roman"/>
                      <w:color w:val="0000FF"/>
                    </w:rPr>
                  </w:pPr>
                </w:p>
              </w:tc>
              <w:tc>
                <w:tcPr>
                  <w:tcW w:w="1743" w:type="dxa"/>
                  <w:noWrap w:val="0"/>
                  <w:vAlign w:val="center"/>
                </w:tcPr>
                <w:p w14:paraId="4ACCB89E">
                  <w:pPr>
                    <w:keepNext w:val="0"/>
                    <w:keepLines w:val="0"/>
                    <w:widowControl/>
                    <w:suppressLineNumbers w:val="0"/>
                    <w:jc w:val="both"/>
                    <w:textAlignment w:val="center"/>
                    <w:rPr>
                      <w:rFonts w:hint="eastAsia" w:ascii="宋体" w:hAnsi="宋体" w:eastAsia="宋体" w:cs="宋体"/>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废空压机油</w:t>
                  </w:r>
                </w:p>
              </w:tc>
              <w:tc>
                <w:tcPr>
                  <w:tcW w:w="2115" w:type="dxa"/>
                  <w:noWrap w:val="0"/>
                  <w:vAlign w:val="center"/>
                </w:tcPr>
                <w:p w14:paraId="45C131A2">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HW08，900-214-08</w:t>
                  </w:r>
                </w:p>
              </w:tc>
              <w:tc>
                <w:tcPr>
                  <w:tcW w:w="1351" w:type="dxa"/>
                  <w:noWrap w:val="0"/>
                  <w:vAlign w:val="center"/>
                </w:tcPr>
                <w:p w14:paraId="0CE4F9B8">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0.002</w:t>
                  </w:r>
                </w:p>
              </w:tc>
              <w:tc>
                <w:tcPr>
                  <w:tcW w:w="2443" w:type="dxa"/>
                  <w:noWrap w:val="0"/>
                  <w:vAlign w:val="center"/>
                </w:tcPr>
                <w:p w14:paraId="6662147A">
                  <w:pPr>
                    <w:rPr>
                      <w:rFonts w:hint="default" w:ascii="Times New Roman" w:hAnsi="Times New Roman" w:cs="Times New Roman"/>
                      <w:color w:val="0000FF"/>
                    </w:rPr>
                  </w:pPr>
                </w:p>
              </w:tc>
            </w:tr>
          </w:tbl>
          <w:p w14:paraId="33532CD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根据关于“发布《建设项目危险废物环境影响评价指南》的公告”（环境保护部公告[2017]年第43号），对本项目产生的危险废物进行了统计。本项目产生的危险废物统计如下：</w:t>
            </w:r>
          </w:p>
          <w:p w14:paraId="7A5430AE">
            <w:pPr>
              <w:pStyle w:val="50"/>
              <w:keepNext w:val="0"/>
              <w:keepLines w:val="0"/>
              <w:pageBreakBefore w:val="0"/>
              <w:widowControl w:val="0"/>
              <w:kinsoku/>
              <w:wordWrap/>
              <w:overflowPunct/>
              <w:topLinePunct w:val="0"/>
              <w:autoSpaceDE w:val="0"/>
              <w:autoSpaceDN w:val="0"/>
              <w:bidi w:val="0"/>
              <w:adjustRightInd w:val="0"/>
              <w:snapToGrid/>
              <w:spacing w:line="240" w:lineRule="auto"/>
              <w:ind w:firstLine="0" w:firstLineChars="0"/>
              <w:jc w:val="center"/>
              <w:textAlignment w:val="baseline"/>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表4.2-2</w:t>
            </w:r>
            <w:r>
              <w:rPr>
                <w:rFonts w:hint="eastAsia"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rPr>
              <w:t xml:space="preserve">  本项目生产过程中产生的危险废物汇总表</w:t>
            </w:r>
          </w:p>
          <w:tbl>
            <w:tblPr>
              <w:tblStyle w:val="35"/>
              <w:tblW w:w="8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0"/>
              <w:gridCol w:w="1242"/>
              <w:gridCol w:w="984"/>
              <w:gridCol w:w="1451"/>
              <w:gridCol w:w="661"/>
              <w:gridCol w:w="855"/>
              <w:gridCol w:w="662"/>
              <w:gridCol w:w="645"/>
              <w:gridCol w:w="650"/>
            </w:tblGrid>
            <w:tr w14:paraId="63DA7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530" w:type="dxa"/>
                  <w:noWrap w:val="0"/>
                  <w:vAlign w:val="center"/>
                </w:tcPr>
                <w:p w14:paraId="701DD59A">
                  <w:pPr>
                    <w:keepNext w:val="0"/>
                    <w:keepLines w:val="0"/>
                    <w:widowControl/>
                    <w:suppressLineNumbers w:val="0"/>
                    <w:jc w:val="center"/>
                    <w:textAlignment w:val="center"/>
                    <w:rPr>
                      <w:rFonts w:hint="default" w:ascii="Times New Roman" w:hAnsi="Times New Roman" w:cs="Times New Roman"/>
                      <w:color w:val="0000FF"/>
                      <w:kern w:val="0"/>
                      <w:sz w:val="21"/>
                      <w:szCs w:val="21"/>
                    </w:rPr>
                  </w:pPr>
                  <w:r>
                    <w:rPr>
                      <w:rFonts w:hint="eastAsia" w:ascii="宋体" w:hAnsi="宋体" w:eastAsia="宋体" w:cs="宋体"/>
                      <w:i w:val="0"/>
                      <w:iCs w:val="0"/>
                      <w:color w:val="0000FF"/>
                      <w:kern w:val="0"/>
                      <w:sz w:val="21"/>
                      <w:szCs w:val="21"/>
                      <w:u w:val="none"/>
                      <w:lang w:val="en-US" w:eastAsia="zh-CN" w:bidi="ar"/>
                    </w:rPr>
                    <w:t>危险废物名称</w:t>
                  </w:r>
                </w:p>
              </w:tc>
              <w:tc>
                <w:tcPr>
                  <w:tcW w:w="1242" w:type="dxa"/>
                  <w:noWrap w:val="0"/>
                  <w:vAlign w:val="center"/>
                </w:tcPr>
                <w:p w14:paraId="56432275">
                  <w:pPr>
                    <w:keepNext w:val="0"/>
                    <w:keepLines w:val="0"/>
                    <w:widowControl/>
                    <w:suppressLineNumbers w:val="0"/>
                    <w:jc w:val="center"/>
                    <w:textAlignment w:val="center"/>
                    <w:rPr>
                      <w:rFonts w:hint="default" w:ascii="Times New Roman" w:hAnsi="Times New Roman" w:cs="Times New Roman"/>
                      <w:color w:val="0000FF"/>
                      <w:kern w:val="0"/>
                      <w:sz w:val="21"/>
                      <w:szCs w:val="21"/>
                    </w:rPr>
                  </w:pPr>
                  <w:r>
                    <w:rPr>
                      <w:rFonts w:hint="eastAsia" w:ascii="宋体" w:hAnsi="宋体" w:eastAsia="宋体" w:cs="宋体"/>
                      <w:i w:val="0"/>
                      <w:iCs w:val="0"/>
                      <w:color w:val="0000FF"/>
                      <w:kern w:val="0"/>
                      <w:sz w:val="21"/>
                      <w:szCs w:val="21"/>
                      <w:u w:val="none"/>
                      <w:lang w:val="en-US" w:eastAsia="zh-CN" w:bidi="ar"/>
                    </w:rPr>
                    <w:t>危废编号</w:t>
                  </w:r>
                </w:p>
              </w:tc>
              <w:tc>
                <w:tcPr>
                  <w:tcW w:w="984" w:type="dxa"/>
                  <w:noWrap w:val="0"/>
                  <w:vAlign w:val="center"/>
                </w:tcPr>
                <w:p w14:paraId="5DCA4AA9">
                  <w:pPr>
                    <w:keepNext w:val="0"/>
                    <w:keepLines w:val="0"/>
                    <w:widowControl/>
                    <w:suppressLineNumbers w:val="0"/>
                    <w:jc w:val="center"/>
                    <w:textAlignment w:val="center"/>
                    <w:rPr>
                      <w:rFonts w:hint="default" w:ascii="Times New Roman" w:hAnsi="Times New Roman" w:cs="Times New Roman"/>
                      <w:color w:val="0000FF"/>
                      <w:kern w:val="0"/>
                      <w:sz w:val="21"/>
                      <w:szCs w:val="21"/>
                    </w:rPr>
                  </w:pPr>
                  <w:r>
                    <w:rPr>
                      <w:rFonts w:hint="eastAsia" w:ascii="宋体" w:hAnsi="宋体" w:eastAsia="宋体" w:cs="宋体"/>
                      <w:i w:val="0"/>
                      <w:iCs w:val="0"/>
                      <w:color w:val="0000FF"/>
                      <w:kern w:val="0"/>
                      <w:sz w:val="21"/>
                      <w:szCs w:val="21"/>
                      <w:u w:val="none"/>
                      <w:lang w:val="en-US" w:eastAsia="zh-CN" w:bidi="ar"/>
                    </w:rPr>
                    <w:t>产生量（</w:t>
                  </w:r>
                  <w:r>
                    <w:rPr>
                      <w:rFonts w:hint="default" w:ascii="Times New Roman" w:hAnsi="Times New Roman" w:eastAsia="宋体" w:cs="Times New Roman"/>
                      <w:i w:val="0"/>
                      <w:iCs w:val="0"/>
                      <w:color w:val="0000FF"/>
                      <w:kern w:val="0"/>
                      <w:sz w:val="21"/>
                      <w:szCs w:val="21"/>
                      <w:u w:val="none"/>
                      <w:lang w:val="en-US" w:eastAsia="zh-CN" w:bidi="ar"/>
                    </w:rPr>
                    <w:t>t/a</w:t>
                  </w:r>
                  <w:r>
                    <w:rPr>
                      <w:rFonts w:hint="eastAsia" w:ascii="宋体" w:hAnsi="宋体" w:eastAsia="宋体" w:cs="宋体"/>
                      <w:i w:val="0"/>
                      <w:iCs w:val="0"/>
                      <w:color w:val="0000FF"/>
                      <w:kern w:val="0"/>
                      <w:sz w:val="21"/>
                      <w:szCs w:val="21"/>
                      <w:u w:val="none"/>
                      <w:lang w:val="en-US" w:eastAsia="zh-CN" w:bidi="ar"/>
                    </w:rPr>
                    <w:t>）</w:t>
                  </w:r>
                </w:p>
              </w:tc>
              <w:tc>
                <w:tcPr>
                  <w:tcW w:w="1451" w:type="dxa"/>
                  <w:noWrap w:val="0"/>
                  <w:vAlign w:val="center"/>
                </w:tcPr>
                <w:p w14:paraId="3F159D8E">
                  <w:pPr>
                    <w:keepNext w:val="0"/>
                    <w:keepLines w:val="0"/>
                    <w:widowControl/>
                    <w:suppressLineNumbers w:val="0"/>
                    <w:jc w:val="both"/>
                    <w:textAlignment w:val="center"/>
                    <w:rPr>
                      <w:rFonts w:hint="default" w:ascii="Times New Roman" w:hAnsi="Times New Roman" w:cs="Times New Roman"/>
                      <w:color w:val="0000FF"/>
                      <w:kern w:val="0"/>
                      <w:sz w:val="21"/>
                      <w:szCs w:val="21"/>
                    </w:rPr>
                  </w:pPr>
                  <w:r>
                    <w:rPr>
                      <w:rFonts w:hint="eastAsia" w:ascii="宋体" w:hAnsi="宋体" w:eastAsia="宋体" w:cs="宋体"/>
                      <w:i w:val="0"/>
                      <w:iCs w:val="0"/>
                      <w:color w:val="0000FF"/>
                      <w:kern w:val="0"/>
                      <w:sz w:val="21"/>
                      <w:szCs w:val="21"/>
                      <w:u w:val="none"/>
                      <w:lang w:val="en-US" w:eastAsia="zh-CN" w:bidi="ar"/>
                    </w:rPr>
                    <w:t>产生工序及装置</w:t>
                  </w:r>
                </w:p>
              </w:tc>
              <w:tc>
                <w:tcPr>
                  <w:tcW w:w="661" w:type="dxa"/>
                  <w:noWrap w:val="0"/>
                  <w:vAlign w:val="center"/>
                </w:tcPr>
                <w:p w14:paraId="7F2B0680">
                  <w:pPr>
                    <w:keepNext w:val="0"/>
                    <w:keepLines w:val="0"/>
                    <w:widowControl/>
                    <w:suppressLineNumbers w:val="0"/>
                    <w:jc w:val="center"/>
                    <w:textAlignment w:val="center"/>
                    <w:rPr>
                      <w:rFonts w:hint="default" w:ascii="Times New Roman" w:hAnsi="Times New Roman" w:cs="Times New Roman"/>
                      <w:color w:val="0000FF"/>
                      <w:kern w:val="0"/>
                      <w:sz w:val="21"/>
                      <w:szCs w:val="21"/>
                    </w:rPr>
                  </w:pPr>
                  <w:r>
                    <w:rPr>
                      <w:rFonts w:hint="eastAsia" w:ascii="宋体" w:hAnsi="宋体" w:eastAsia="宋体" w:cs="宋体"/>
                      <w:i w:val="0"/>
                      <w:iCs w:val="0"/>
                      <w:color w:val="0000FF"/>
                      <w:kern w:val="0"/>
                      <w:sz w:val="21"/>
                      <w:szCs w:val="21"/>
                      <w:u w:val="none"/>
                      <w:lang w:val="en-US" w:eastAsia="zh-CN" w:bidi="ar"/>
                    </w:rPr>
                    <w:t>形态</w:t>
                  </w:r>
                </w:p>
              </w:tc>
              <w:tc>
                <w:tcPr>
                  <w:tcW w:w="855" w:type="dxa"/>
                  <w:noWrap w:val="0"/>
                  <w:vAlign w:val="center"/>
                </w:tcPr>
                <w:p w14:paraId="378BFBA1">
                  <w:pPr>
                    <w:keepNext w:val="0"/>
                    <w:keepLines w:val="0"/>
                    <w:widowControl/>
                    <w:suppressLineNumbers w:val="0"/>
                    <w:jc w:val="center"/>
                    <w:textAlignment w:val="center"/>
                    <w:rPr>
                      <w:rFonts w:hint="default" w:ascii="Times New Roman" w:hAnsi="Times New Roman" w:cs="Times New Roman"/>
                      <w:color w:val="0000FF"/>
                      <w:kern w:val="0"/>
                      <w:sz w:val="21"/>
                      <w:szCs w:val="21"/>
                    </w:rPr>
                  </w:pPr>
                  <w:r>
                    <w:rPr>
                      <w:rFonts w:hint="eastAsia" w:ascii="宋体" w:hAnsi="宋体" w:eastAsia="宋体" w:cs="宋体"/>
                      <w:i w:val="0"/>
                      <w:iCs w:val="0"/>
                      <w:color w:val="0000FF"/>
                      <w:kern w:val="0"/>
                      <w:sz w:val="21"/>
                      <w:szCs w:val="21"/>
                      <w:u w:val="none"/>
                      <w:lang w:val="en-US" w:eastAsia="zh-CN" w:bidi="ar"/>
                    </w:rPr>
                    <w:t>主要成分</w:t>
                  </w:r>
                </w:p>
              </w:tc>
              <w:tc>
                <w:tcPr>
                  <w:tcW w:w="662" w:type="dxa"/>
                  <w:noWrap w:val="0"/>
                  <w:vAlign w:val="center"/>
                </w:tcPr>
                <w:p w14:paraId="25AB1910">
                  <w:pPr>
                    <w:keepNext w:val="0"/>
                    <w:keepLines w:val="0"/>
                    <w:widowControl/>
                    <w:suppressLineNumbers w:val="0"/>
                    <w:jc w:val="center"/>
                    <w:textAlignment w:val="center"/>
                    <w:rPr>
                      <w:rFonts w:hint="default" w:ascii="Times New Roman" w:hAnsi="Times New Roman" w:cs="Times New Roman"/>
                      <w:color w:val="0000FF"/>
                      <w:kern w:val="0"/>
                      <w:sz w:val="21"/>
                      <w:szCs w:val="21"/>
                    </w:rPr>
                  </w:pPr>
                  <w:r>
                    <w:rPr>
                      <w:rFonts w:hint="eastAsia" w:ascii="宋体" w:hAnsi="宋体" w:eastAsia="宋体" w:cs="宋体"/>
                      <w:i w:val="0"/>
                      <w:iCs w:val="0"/>
                      <w:color w:val="0000FF"/>
                      <w:kern w:val="0"/>
                      <w:sz w:val="21"/>
                      <w:szCs w:val="21"/>
                      <w:u w:val="none"/>
                      <w:lang w:val="en-US" w:eastAsia="zh-CN" w:bidi="ar"/>
                    </w:rPr>
                    <w:t>产废周期</w:t>
                  </w:r>
                </w:p>
              </w:tc>
              <w:tc>
                <w:tcPr>
                  <w:tcW w:w="645" w:type="dxa"/>
                  <w:noWrap w:val="0"/>
                  <w:vAlign w:val="center"/>
                </w:tcPr>
                <w:p w14:paraId="4573CA17">
                  <w:pPr>
                    <w:keepNext w:val="0"/>
                    <w:keepLines w:val="0"/>
                    <w:widowControl/>
                    <w:suppressLineNumbers w:val="0"/>
                    <w:jc w:val="center"/>
                    <w:textAlignment w:val="center"/>
                    <w:rPr>
                      <w:rFonts w:hint="default" w:ascii="Times New Roman" w:hAnsi="Times New Roman" w:cs="Times New Roman"/>
                      <w:color w:val="0000FF"/>
                      <w:kern w:val="0"/>
                      <w:sz w:val="21"/>
                      <w:szCs w:val="21"/>
                    </w:rPr>
                  </w:pPr>
                  <w:r>
                    <w:rPr>
                      <w:rFonts w:hint="eastAsia" w:ascii="宋体" w:hAnsi="宋体" w:eastAsia="宋体" w:cs="宋体"/>
                      <w:i w:val="0"/>
                      <w:iCs w:val="0"/>
                      <w:color w:val="0000FF"/>
                      <w:kern w:val="0"/>
                      <w:sz w:val="21"/>
                      <w:szCs w:val="21"/>
                      <w:u w:val="none"/>
                      <w:lang w:val="en-US" w:eastAsia="zh-CN" w:bidi="ar"/>
                    </w:rPr>
                    <w:t>危险特性</w:t>
                  </w:r>
                </w:p>
              </w:tc>
              <w:tc>
                <w:tcPr>
                  <w:tcW w:w="650" w:type="dxa"/>
                  <w:noWrap w:val="0"/>
                  <w:vAlign w:val="center"/>
                </w:tcPr>
                <w:p w14:paraId="32895B2F">
                  <w:pPr>
                    <w:keepNext w:val="0"/>
                    <w:keepLines w:val="0"/>
                    <w:widowControl/>
                    <w:suppressLineNumbers w:val="0"/>
                    <w:jc w:val="center"/>
                    <w:textAlignment w:val="center"/>
                    <w:rPr>
                      <w:rFonts w:hint="default" w:ascii="Times New Roman" w:hAnsi="Times New Roman" w:cs="Times New Roman"/>
                      <w:color w:val="0000FF"/>
                      <w:kern w:val="0"/>
                      <w:sz w:val="21"/>
                      <w:szCs w:val="21"/>
                    </w:rPr>
                  </w:pPr>
                  <w:r>
                    <w:rPr>
                      <w:rFonts w:hint="eastAsia" w:ascii="宋体" w:hAnsi="宋体" w:eastAsia="宋体" w:cs="宋体"/>
                      <w:i w:val="0"/>
                      <w:iCs w:val="0"/>
                      <w:color w:val="0000FF"/>
                      <w:kern w:val="0"/>
                      <w:sz w:val="21"/>
                      <w:szCs w:val="21"/>
                      <w:u w:val="none"/>
                      <w:lang w:val="en-US" w:eastAsia="zh-CN" w:bidi="ar"/>
                    </w:rPr>
                    <w:t>污染防治措施</w:t>
                  </w:r>
                </w:p>
              </w:tc>
            </w:tr>
            <w:tr w14:paraId="399B7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530" w:type="dxa"/>
                  <w:noWrap w:val="0"/>
                  <w:vAlign w:val="center"/>
                </w:tcPr>
                <w:p w14:paraId="208F6317">
                  <w:pPr>
                    <w:keepNext w:val="0"/>
                    <w:keepLines w:val="0"/>
                    <w:widowControl/>
                    <w:suppressLineNumbers w:val="0"/>
                    <w:jc w:val="center"/>
                    <w:textAlignment w:val="center"/>
                    <w:rPr>
                      <w:rFonts w:hint="default" w:ascii="Times New Roman" w:hAnsi="Times New Roman" w:cs="Times New Roman"/>
                      <w:color w:val="0000FF"/>
                      <w:kern w:val="0"/>
                      <w:sz w:val="21"/>
                      <w:szCs w:val="21"/>
                    </w:rPr>
                  </w:pPr>
                  <w:r>
                    <w:rPr>
                      <w:rFonts w:hint="eastAsia" w:ascii="宋体" w:hAnsi="宋体" w:eastAsia="宋体" w:cs="宋体"/>
                      <w:i w:val="0"/>
                      <w:iCs w:val="0"/>
                      <w:color w:val="0000FF"/>
                      <w:kern w:val="0"/>
                      <w:sz w:val="21"/>
                      <w:szCs w:val="21"/>
                      <w:u w:val="none"/>
                      <w:lang w:val="en-US" w:eastAsia="zh-CN" w:bidi="ar"/>
                    </w:rPr>
                    <w:t>废油墨桶</w:t>
                  </w:r>
                </w:p>
              </w:tc>
              <w:tc>
                <w:tcPr>
                  <w:tcW w:w="1242" w:type="dxa"/>
                  <w:noWrap w:val="0"/>
                  <w:vAlign w:val="center"/>
                </w:tcPr>
                <w:p w14:paraId="35769454">
                  <w:pPr>
                    <w:keepNext w:val="0"/>
                    <w:keepLines w:val="0"/>
                    <w:widowControl/>
                    <w:suppressLineNumbers w:val="0"/>
                    <w:jc w:val="center"/>
                    <w:textAlignment w:val="center"/>
                    <w:rPr>
                      <w:rFonts w:hint="default" w:ascii="Times New Roman" w:hAnsi="Times New Roman" w:cs="Times New Roman"/>
                      <w:color w:val="0000FF"/>
                      <w:kern w:val="0"/>
                      <w:sz w:val="21"/>
                      <w:szCs w:val="21"/>
                    </w:rPr>
                  </w:pPr>
                  <w:r>
                    <w:rPr>
                      <w:rFonts w:hint="default" w:ascii="Times New Roman" w:hAnsi="Times New Roman" w:eastAsia="宋体" w:cs="Times New Roman"/>
                      <w:i w:val="0"/>
                      <w:iCs w:val="0"/>
                      <w:color w:val="0000FF"/>
                      <w:kern w:val="0"/>
                      <w:sz w:val="21"/>
                      <w:szCs w:val="21"/>
                      <w:u w:val="none"/>
                      <w:lang w:val="en-US" w:eastAsia="zh-CN" w:bidi="ar"/>
                    </w:rPr>
                    <w:t>HW12</w:t>
                  </w:r>
                  <w:r>
                    <w:rPr>
                      <w:rFonts w:hint="eastAsia" w:ascii="Times New Roman" w:hAnsi="Times New Roman" w:eastAsia="宋体" w:cs="Times New Roman"/>
                      <w:i w:val="0"/>
                      <w:iCs w:val="0"/>
                      <w:color w:val="0000FF"/>
                      <w:kern w:val="0"/>
                      <w:sz w:val="21"/>
                      <w:szCs w:val="21"/>
                      <w:u w:val="none"/>
                      <w:lang w:val="en-US" w:eastAsia="zh-CN" w:bidi="ar"/>
                    </w:rPr>
                    <w:t>，</w:t>
                  </w:r>
                  <w:r>
                    <w:rPr>
                      <w:rFonts w:hint="default" w:ascii="Times New Roman" w:hAnsi="Times New Roman" w:eastAsia="宋体" w:cs="Times New Roman"/>
                      <w:i w:val="0"/>
                      <w:iCs w:val="0"/>
                      <w:color w:val="0000FF"/>
                      <w:kern w:val="0"/>
                      <w:sz w:val="21"/>
                      <w:szCs w:val="21"/>
                      <w:u w:val="none"/>
                      <w:lang w:val="en-US" w:eastAsia="zh-CN" w:bidi="ar"/>
                    </w:rPr>
                    <w:t>900-253-12</w:t>
                  </w:r>
                </w:p>
              </w:tc>
              <w:tc>
                <w:tcPr>
                  <w:tcW w:w="984" w:type="dxa"/>
                  <w:noWrap w:val="0"/>
                  <w:vAlign w:val="center"/>
                </w:tcPr>
                <w:p w14:paraId="6A149B61">
                  <w:pPr>
                    <w:keepNext w:val="0"/>
                    <w:keepLines w:val="0"/>
                    <w:widowControl/>
                    <w:suppressLineNumbers w:val="0"/>
                    <w:jc w:val="center"/>
                    <w:textAlignment w:val="center"/>
                    <w:rPr>
                      <w:rFonts w:hint="default" w:ascii="Times New Roman" w:hAnsi="Times New Roman" w:cs="Times New Roman"/>
                      <w:color w:val="0000FF"/>
                      <w:kern w:val="0"/>
                      <w:sz w:val="21"/>
                      <w:szCs w:val="21"/>
                    </w:rPr>
                  </w:pPr>
                  <w:r>
                    <w:rPr>
                      <w:rFonts w:hint="default" w:ascii="Times New Roman" w:hAnsi="Times New Roman" w:eastAsia="宋体" w:cs="Times New Roman"/>
                      <w:i w:val="0"/>
                      <w:iCs w:val="0"/>
                      <w:color w:val="0000FF"/>
                      <w:kern w:val="0"/>
                      <w:sz w:val="21"/>
                      <w:szCs w:val="21"/>
                      <w:u w:val="none"/>
                      <w:lang w:val="en-US" w:eastAsia="zh-CN" w:bidi="ar"/>
                    </w:rPr>
                    <w:t>0.01</w:t>
                  </w:r>
                </w:p>
              </w:tc>
              <w:tc>
                <w:tcPr>
                  <w:tcW w:w="1451" w:type="dxa"/>
                  <w:noWrap w:val="0"/>
                  <w:vAlign w:val="center"/>
                </w:tcPr>
                <w:p w14:paraId="41D7D352">
                  <w:pPr>
                    <w:keepNext w:val="0"/>
                    <w:keepLines w:val="0"/>
                    <w:widowControl/>
                    <w:suppressLineNumbers w:val="0"/>
                    <w:jc w:val="center"/>
                    <w:textAlignment w:val="center"/>
                    <w:rPr>
                      <w:rFonts w:hint="default" w:ascii="Times New Roman" w:hAnsi="Times New Roman" w:cs="Times New Roman"/>
                      <w:color w:val="0000FF"/>
                      <w:kern w:val="0"/>
                      <w:sz w:val="21"/>
                      <w:szCs w:val="21"/>
                    </w:rPr>
                  </w:pPr>
                  <w:r>
                    <w:rPr>
                      <w:rFonts w:hint="eastAsia" w:ascii="宋体" w:hAnsi="宋体" w:eastAsia="宋体" w:cs="宋体"/>
                      <w:i w:val="0"/>
                      <w:iCs w:val="0"/>
                      <w:color w:val="0000FF"/>
                      <w:kern w:val="0"/>
                      <w:sz w:val="21"/>
                      <w:szCs w:val="21"/>
                      <w:u w:val="none"/>
                      <w:lang w:val="en-US" w:eastAsia="zh-CN" w:bidi="ar"/>
                    </w:rPr>
                    <w:t>调墨</w:t>
                  </w:r>
                </w:p>
              </w:tc>
              <w:tc>
                <w:tcPr>
                  <w:tcW w:w="661" w:type="dxa"/>
                  <w:noWrap w:val="0"/>
                  <w:vAlign w:val="center"/>
                </w:tcPr>
                <w:p w14:paraId="2023D060">
                  <w:pPr>
                    <w:keepNext w:val="0"/>
                    <w:keepLines w:val="0"/>
                    <w:widowControl/>
                    <w:suppressLineNumbers w:val="0"/>
                    <w:jc w:val="center"/>
                    <w:textAlignment w:val="center"/>
                    <w:rPr>
                      <w:rFonts w:hint="default" w:ascii="Times New Roman" w:hAnsi="Times New Roman" w:cs="Times New Roman"/>
                      <w:color w:val="0000FF"/>
                      <w:kern w:val="0"/>
                      <w:sz w:val="21"/>
                      <w:szCs w:val="21"/>
                    </w:rPr>
                  </w:pPr>
                  <w:r>
                    <w:rPr>
                      <w:rFonts w:hint="eastAsia" w:ascii="宋体" w:hAnsi="宋体" w:eastAsia="宋体" w:cs="宋体"/>
                      <w:i w:val="0"/>
                      <w:iCs w:val="0"/>
                      <w:color w:val="0000FF"/>
                      <w:kern w:val="0"/>
                      <w:sz w:val="21"/>
                      <w:szCs w:val="21"/>
                      <w:u w:val="none"/>
                      <w:lang w:val="en-US" w:eastAsia="zh-CN" w:bidi="ar"/>
                    </w:rPr>
                    <w:t>固态</w:t>
                  </w:r>
                </w:p>
              </w:tc>
              <w:tc>
                <w:tcPr>
                  <w:tcW w:w="855" w:type="dxa"/>
                  <w:noWrap w:val="0"/>
                  <w:vAlign w:val="center"/>
                </w:tcPr>
                <w:p w14:paraId="76F82E8D">
                  <w:pPr>
                    <w:keepNext w:val="0"/>
                    <w:keepLines w:val="0"/>
                    <w:widowControl/>
                    <w:suppressLineNumbers w:val="0"/>
                    <w:jc w:val="center"/>
                    <w:textAlignment w:val="center"/>
                    <w:rPr>
                      <w:rFonts w:hint="default" w:ascii="Times New Roman" w:hAnsi="Times New Roman" w:cs="Times New Roman"/>
                      <w:color w:val="0000FF"/>
                      <w:kern w:val="0"/>
                      <w:sz w:val="21"/>
                      <w:szCs w:val="21"/>
                    </w:rPr>
                  </w:pPr>
                  <w:r>
                    <w:rPr>
                      <w:rFonts w:hint="eastAsia" w:ascii="宋体" w:hAnsi="宋体" w:eastAsia="宋体" w:cs="宋体"/>
                      <w:i w:val="0"/>
                      <w:iCs w:val="0"/>
                      <w:color w:val="0000FF"/>
                      <w:kern w:val="0"/>
                      <w:sz w:val="21"/>
                      <w:szCs w:val="21"/>
                      <w:u w:val="none"/>
                      <w:lang w:val="en-US" w:eastAsia="zh-CN" w:bidi="ar"/>
                    </w:rPr>
                    <w:t>含油墨</w:t>
                  </w:r>
                </w:p>
              </w:tc>
              <w:tc>
                <w:tcPr>
                  <w:tcW w:w="662" w:type="dxa"/>
                  <w:noWrap w:val="0"/>
                  <w:vAlign w:val="center"/>
                </w:tcPr>
                <w:p w14:paraId="341CE73A">
                  <w:pPr>
                    <w:keepNext w:val="0"/>
                    <w:keepLines w:val="0"/>
                    <w:widowControl/>
                    <w:suppressLineNumbers w:val="0"/>
                    <w:jc w:val="center"/>
                    <w:textAlignment w:val="center"/>
                    <w:rPr>
                      <w:rFonts w:hint="default" w:ascii="Times New Roman" w:hAnsi="Times New Roman" w:cs="Times New Roman"/>
                      <w:color w:val="0000FF"/>
                      <w:kern w:val="0"/>
                      <w:sz w:val="21"/>
                      <w:szCs w:val="21"/>
                    </w:rPr>
                  </w:pPr>
                  <w:r>
                    <w:rPr>
                      <w:rFonts w:hint="eastAsia" w:ascii="宋体" w:hAnsi="宋体" w:eastAsia="宋体" w:cs="宋体"/>
                      <w:i w:val="0"/>
                      <w:iCs w:val="0"/>
                      <w:color w:val="0000FF"/>
                      <w:kern w:val="0"/>
                      <w:sz w:val="21"/>
                      <w:szCs w:val="21"/>
                      <w:u w:val="none"/>
                      <w:lang w:val="en-US" w:eastAsia="zh-CN" w:bidi="ar"/>
                    </w:rPr>
                    <w:t>间断</w:t>
                  </w:r>
                </w:p>
              </w:tc>
              <w:tc>
                <w:tcPr>
                  <w:tcW w:w="645" w:type="dxa"/>
                  <w:noWrap w:val="0"/>
                  <w:vAlign w:val="center"/>
                </w:tcPr>
                <w:p w14:paraId="1A389D6A">
                  <w:pPr>
                    <w:keepNext w:val="0"/>
                    <w:keepLines w:val="0"/>
                    <w:widowControl/>
                    <w:suppressLineNumbers w:val="0"/>
                    <w:jc w:val="center"/>
                    <w:textAlignment w:val="center"/>
                    <w:rPr>
                      <w:rFonts w:hint="default" w:ascii="Times New Roman" w:hAnsi="Times New Roman" w:cs="Times New Roman"/>
                      <w:color w:val="0000FF"/>
                      <w:kern w:val="0"/>
                      <w:sz w:val="21"/>
                      <w:szCs w:val="21"/>
                    </w:rPr>
                  </w:pPr>
                  <w:r>
                    <w:rPr>
                      <w:rFonts w:hint="default" w:ascii="Times New Roman" w:hAnsi="Times New Roman" w:eastAsia="宋体" w:cs="Times New Roman"/>
                      <w:i w:val="0"/>
                      <w:iCs w:val="0"/>
                      <w:color w:val="0000FF"/>
                      <w:kern w:val="0"/>
                      <w:sz w:val="21"/>
                      <w:szCs w:val="21"/>
                      <w:u w:val="none"/>
                      <w:lang w:val="en-US" w:eastAsia="zh-CN" w:bidi="ar"/>
                    </w:rPr>
                    <w:t>T</w:t>
                  </w:r>
                  <w:r>
                    <w:rPr>
                      <w:rFonts w:hint="eastAsia" w:ascii="宋体" w:hAnsi="宋体" w:eastAsia="宋体" w:cs="宋体"/>
                      <w:i w:val="0"/>
                      <w:iCs w:val="0"/>
                      <w:color w:val="0000FF"/>
                      <w:kern w:val="0"/>
                      <w:sz w:val="21"/>
                      <w:szCs w:val="21"/>
                      <w:u w:val="none"/>
                      <w:lang w:val="en-US" w:eastAsia="zh-CN" w:bidi="ar"/>
                    </w:rPr>
                    <w:t>，</w:t>
                  </w:r>
                  <w:r>
                    <w:rPr>
                      <w:rFonts w:hint="default" w:ascii="Times New Roman" w:hAnsi="Times New Roman" w:eastAsia="宋体" w:cs="Times New Roman"/>
                      <w:i w:val="0"/>
                      <w:iCs w:val="0"/>
                      <w:color w:val="0000FF"/>
                      <w:kern w:val="0"/>
                      <w:sz w:val="21"/>
                      <w:szCs w:val="21"/>
                      <w:u w:val="none"/>
                      <w:lang w:val="en-US" w:eastAsia="zh-CN" w:bidi="ar"/>
                    </w:rPr>
                    <w:t>I</w:t>
                  </w:r>
                </w:p>
              </w:tc>
              <w:tc>
                <w:tcPr>
                  <w:tcW w:w="650" w:type="dxa"/>
                  <w:vMerge w:val="restart"/>
                  <w:noWrap w:val="0"/>
                  <w:vAlign w:val="center"/>
                </w:tcPr>
                <w:p w14:paraId="30D533E1">
                  <w:pPr>
                    <w:keepNext w:val="0"/>
                    <w:keepLines w:val="0"/>
                    <w:widowControl/>
                    <w:suppressLineNumbers w:val="0"/>
                    <w:jc w:val="center"/>
                    <w:textAlignment w:val="center"/>
                    <w:rPr>
                      <w:rFonts w:hint="default" w:ascii="Times New Roman" w:hAnsi="Times New Roman" w:cs="Times New Roman"/>
                      <w:color w:val="0000FF"/>
                      <w:sz w:val="21"/>
                      <w:szCs w:val="21"/>
                    </w:rPr>
                  </w:pPr>
                  <w:r>
                    <w:rPr>
                      <w:rFonts w:hint="eastAsia" w:ascii="宋体" w:hAnsi="宋体" w:eastAsia="宋体" w:cs="宋体"/>
                      <w:i w:val="0"/>
                      <w:iCs w:val="0"/>
                      <w:color w:val="0000FF"/>
                      <w:kern w:val="0"/>
                      <w:sz w:val="21"/>
                      <w:szCs w:val="21"/>
                      <w:u w:val="none"/>
                      <w:lang w:val="en-US" w:eastAsia="zh-CN" w:bidi="ar"/>
                    </w:rPr>
                    <w:t>定期委托有危险废物经营资质的单位处置</w:t>
                  </w:r>
                </w:p>
              </w:tc>
            </w:tr>
            <w:tr w14:paraId="198ED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530" w:type="dxa"/>
                  <w:noWrap w:val="0"/>
                  <w:vAlign w:val="center"/>
                </w:tcPr>
                <w:p w14:paraId="526108E9">
                  <w:pPr>
                    <w:keepNext w:val="0"/>
                    <w:keepLines w:val="0"/>
                    <w:widowControl/>
                    <w:suppressLineNumbers w:val="0"/>
                    <w:jc w:val="center"/>
                    <w:textAlignment w:val="center"/>
                    <w:rPr>
                      <w:rFonts w:hint="default" w:ascii="Times New Roman" w:hAnsi="Times New Roman" w:cs="Times New Roman"/>
                      <w:color w:val="0000FF"/>
                      <w:kern w:val="0"/>
                      <w:sz w:val="21"/>
                      <w:szCs w:val="21"/>
                    </w:rPr>
                  </w:pPr>
                  <w:r>
                    <w:rPr>
                      <w:rFonts w:hint="eastAsia" w:ascii="宋体" w:hAnsi="宋体" w:eastAsia="宋体" w:cs="宋体"/>
                      <w:i w:val="0"/>
                      <w:iCs w:val="0"/>
                      <w:color w:val="0000FF"/>
                      <w:kern w:val="0"/>
                      <w:sz w:val="21"/>
                      <w:szCs w:val="21"/>
                      <w:u w:val="none"/>
                      <w:lang w:val="en-US" w:eastAsia="zh-CN" w:bidi="ar"/>
                    </w:rPr>
                    <w:t>废包装桶</w:t>
                  </w:r>
                </w:p>
              </w:tc>
              <w:tc>
                <w:tcPr>
                  <w:tcW w:w="1242" w:type="dxa"/>
                  <w:noWrap w:val="0"/>
                  <w:vAlign w:val="center"/>
                </w:tcPr>
                <w:p w14:paraId="1CB622AA">
                  <w:pPr>
                    <w:keepNext w:val="0"/>
                    <w:keepLines w:val="0"/>
                    <w:widowControl/>
                    <w:suppressLineNumbers w:val="0"/>
                    <w:jc w:val="center"/>
                    <w:textAlignment w:val="center"/>
                    <w:rPr>
                      <w:rFonts w:hint="default" w:ascii="Times New Roman" w:hAnsi="Times New Roman" w:cs="Times New Roman"/>
                      <w:color w:val="0000FF"/>
                      <w:kern w:val="0"/>
                      <w:sz w:val="21"/>
                      <w:szCs w:val="21"/>
                    </w:rPr>
                  </w:pPr>
                  <w:r>
                    <w:rPr>
                      <w:rFonts w:hint="default" w:ascii="Times New Roman" w:hAnsi="Times New Roman" w:eastAsia="宋体" w:cs="Times New Roman"/>
                      <w:i w:val="0"/>
                      <w:iCs w:val="0"/>
                      <w:color w:val="0000FF"/>
                      <w:kern w:val="0"/>
                      <w:sz w:val="21"/>
                      <w:szCs w:val="21"/>
                      <w:u w:val="none"/>
                      <w:lang w:val="en-US" w:eastAsia="zh-CN" w:bidi="ar"/>
                    </w:rPr>
                    <w:t>HW08，900-249-08</w:t>
                  </w:r>
                </w:p>
              </w:tc>
              <w:tc>
                <w:tcPr>
                  <w:tcW w:w="984" w:type="dxa"/>
                  <w:noWrap w:val="0"/>
                  <w:vAlign w:val="center"/>
                </w:tcPr>
                <w:p w14:paraId="00420F6F">
                  <w:pPr>
                    <w:keepNext w:val="0"/>
                    <w:keepLines w:val="0"/>
                    <w:widowControl/>
                    <w:suppressLineNumbers w:val="0"/>
                    <w:jc w:val="center"/>
                    <w:textAlignment w:val="center"/>
                    <w:rPr>
                      <w:rFonts w:hint="default" w:ascii="Times New Roman" w:hAnsi="Times New Roman" w:eastAsia="宋体" w:cs="Times New Roman"/>
                      <w:color w:val="0000FF"/>
                      <w:kern w:val="0"/>
                      <w:sz w:val="21"/>
                      <w:szCs w:val="21"/>
                      <w:lang w:val="en-US" w:eastAsia="zh-CN"/>
                    </w:rPr>
                  </w:pPr>
                  <w:r>
                    <w:rPr>
                      <w:rFonts w:hint="default" w:ascii="Times New Roman" w:hAnsi="Times New Roman" w:eastAsia="宋体" w:cs="Times New Roman"/>
                      <w:i w:val="0"/>
                      <w:iCs w:val="0"/>
                      <w:color w:val="0000FF"/>
                      <w:kern w:val="0"/>
                      <w:sz w:val="21"/>
                      <w:szCs w:val="21"/>
                      <w:u w:val="none"/>
                      <w:lang w:val="en-US" w:eastAsia="zh-CN" w:bidi="ar"/>
                    </w:rPr>
                    <w:t>0.0156</w:t>
                  </w:r>
                </w:p>
              </w:tc>
              <w:tc>
                <w:tcPr>
                  <w:tcW w:w="1451" w:type="dxa"/>
                  <w:noWrap w:val="0"/>
                  <w:vAlign w:val="center"/>
                </w:tcPr>
                <w:p w14:paraId="1CCAD2C9">
                  <w:pPr>
                    <w:keepNext w:val="0"/>
                    <w:keepLines w:val="0"/>
                    <w:widowControl/>
                    <w:suppressLineNumbers w:val="0"/>
                    <w:jc w:val="center"/>
                    <w:textAlignment w:val="center"/>
                    <w:rPr>
                      <w:rFonts w:hint="default" w:ascii="Times New Roman" w:hAnsi="Times New Roman" w:cs="Times New Roman"/>
                      <w:color w:val="0000FF"/>
                      <w:kern w:val="0"/>
                      <w:sz w:val="21"/>
                      <w:szCs w:val="21"/>
                    </w:rPr>
                  </w:pPr>
                  <w:r>
                    <w:rPr>
                      <w:rFonts w:hint="eastAsia" w:ascii="宋体" w:hAnsi="宋体" w:eastAsia="宋体" w:cs="宋体"/>
                      <w:i w:val="0"/>
                      <w:iCs w:val="0"/>
                      <w:color w:val="0000FF"/>
                      <w:kern w:val="0"/>
                      <w:sz w:val="21"/>
                      <w:szCs w:val="21"/>
                      <w:u w:val="none"/>
                      <w:lang w:val="en-US" w:eastAsia="zh-CN" w:bidi="ar"/>
                    </w:rPr>
                    <w:t>模具保养、设备维护保养</w:t>
                  </w:r>
                </w:p>
              </w:tc>
              <w:tc>
                <w:tcPr>
                  <w:tcW w:w="661" w:type="dxa"/>
                  <w:noWrap w:val="0"/>
                  <w:vAlign w:val="center"/>
                </w:tcPr>
                <w:p w14:paraId="1391C4D1">
                  <w:pPr>
                    <w:keepNext w:val="0"/>
                    <w:keepLines w:val="0"/>
                    <w:widowControl/>
                    <w:suppressLineNumbers w:val="0"/>
                    <w:jc w:val="center"/>
                    <w:textAlignment w:val="center"/>
                    <w:rPr>
                      <w:rFonts w:hint="default" w:ascii="Times New Roman" w:hAnsi="Times New Roman" w:cs="Times New Roman"/>
                      <w:color w:val="0000FF"/>
                      <w:kern w:val="0"/>
                      <w:sz w:val="21"/>
                      <w:szCs w:val="21"/>
                    </w:rPr>
                  </w:pPr>
                  <w:r>
                    <w:rPr>
                      <w:rFonts w:hint="eastAsia" w:ascii="宋体" w:hAnsi="宋体" w:eastAsia="宋体" w:cs="宋体"/>
                      <w:i w:val="0"/>
                      <w:iCs w:val="0"/>
                      <w:color w:val="0000FF"/>
                      <w:kern w:val="0"/>
                      <w:sz w:val="21"/>
                      <w:szCs w:val="21"/>
                      <w:u w:val="none"/>
                      <w:lang w:val="en-US" w:eastAsia="zh-CN" w:bidi="ar"/>
                    </w:rPr>
                    <w:t>固态</w:t>
                  </w:r>
                </w:p>
              </w:tc>
              <w:tc>
                <w:tcPr>
                  <w:tcW w:w="855" w:type="dxa"/>
                  <w:noWrap w:val="0"/>
                  <w:vAlign w:val="center"/>
                </w:tcPr>
                <w:p w14:paraId="2BB505B9">
                  <w:pPr>
                    <w:keepNext w:val="0"/>
                    <w:keepLines w:val="0"/>
                    <w:widowControl/>
                    <w:suppressLineNumbers w:val="0"/>
                    <w:jc w:val="center"/>
                    <w:textAlignment w:val="center"/>
                    <w:rPr>
                      <w:rFonts w:hint="default" w:ascii="Times New Roman" w:hAnsi="Times New Roman" w:cs="Times New Roman"/>
                      <w:color w:val="0000FF"/>
                      <w:kern w:val="0"/>
                      <w:sz w:val="21"/>
                      <w:szCs w:val="21"/>
                    </w:rPr>
                  </w:pPr>
                  <w:r>
                    <w:rPr>
                      <w:rFonts w:hint="eastAsia" w:ascii="宋体" w:hAnsi="宋体" w:eastAsia="宋体" w:cs="宋体"/>
                      <w:i w:val="0"/>
                      <w:iCs w:val="0"/>
                      <w:color w:val="0000FF"/>
                      <w:kern w:val="0"/>
                      <w:sz w:val="21"/>
                      <w:szCs w:val="21"/>
                      <w:u w:val="none"/>
                      <w:lang w:val="en-US" w:eastAsia="zh-CN" w:bidi="ar"/>
                    </w:rPr>
                    <w:t>含油</w:t>
                  </w:r>
                </w:p>
              </w:tc>
              <w:tc>
                <w:tcPr>
                  <w:tcW w:w="662" w:type="dxa"/>
                  <w:noWrap w:val="0"/>
                  <w:vAlign w:val="center"/>
                </w:tcPr>
                <w:p w14:paraId="1EF85337">
                  <w:pPr>
                    <w:keepNext w:val="0"/>
                    <w:keepLines w:val="0"/>
                    <w:widowControl/>
                    <w:suppressLineNumbers w:val="0"/>
                    <w:jc w:val="center"/>
                    <w:textAlignment w:val="center"/>
                    <w:rPr>
                      <w:rFonts w:hint="default" w:ascii="Times New Roman" w:hAnsi="Times New Roman" w:cs="Times New Roman"/>
                      <w:color w:val="0000FF"/>
                      <w:kern w:val="0"/>
                      <w:sz w:val="21"/>
                      <w:szCs w:val="21"/>
                    </w:rPr>
                  </w:pPr>
                  <w:r>
                    <w:rPr>
                      <w:rFonts w:hint="eastAsia" w:ascii="宋体" w:hAnsi="宋体" w:eastAsia="宋体" w:cs="宋体"/>
                      <w:i w:val="0"/>
                      <w:iCs w:val="0"/>
                      <w:color w:val="0000FF"/>
                      <w:kern w:val="0"/>
                      <w:sz w:val="21"/>
                      <w:szCs w:val="21"/>
                      <w:u w:val="none"/>
                      <w:lang w:val="en-US" w:eastAsia="zh-CN" w:bidi="ar"/>
                    </w:rPr>
                    <w:t>间断</w:t>
                  </w:r>
                </w:p>
              </w:tc>
              <w:tc>
                <w:tcPr>
                  <w:tcW w:w="645" w:type="dxa"/>
                  <w:noWrap w:val="0"/>
                  <w:vAlign w:val="center"/>
                </w:tcPr>
                <w:p w14:paraId="74D0C398">
                  <w:pPr>
                    <w:keepNext w:val="0"/>
                    <w:keepLines w:val="0"/>
                    <w:widowControl/>
                    <w:suppressLineNumbers w:val="0"/>
                    <w:jc w:val="center"/>
                    <w:textAlignment w:val="center"/>
                    <w:rPr>
                      <w:rFonts w:hint="default" w:ascii="Times New Roman" w:hAnsi="Times New Roman" w:cs="Times New Roman"/>
                      <w:color w:val="0000FF"/>
                      <w:kern w:val="0"/>
                      <w:sz w:val="21"/>
                      <w:szCs w:val="21"/>
                    </w:rPr>
                  </w:pPr>
                  <w:r>
                    <w:rPr>
                      <w:rFonts w:hint="default" w:ascii="Times New Roman" w:hAnsi="Times New Roman" w:eastAsia="宋体" w:cs="Times New Roman"/>
                      <w:i w:val="0"/>
                      <w:iCs w:val="0"/>
                      <w:color w:val="0000FF"/>
                      <w:kern w:val="0"/>
                      <w:sz w:val="21"/>
                      <w:szCs w:val="21"/>
                      <w:u w:val="none"/>
                      <w:lang w:val="en-US" w:eastAsia="zh-CN" w:bidi="ar"/>
                    </w:rPr>
                    <w:t>T</w:t>
                  </w:r>
                  <w:r>
                    <w:rPr>
                      <w:rFonts w:hint="eastAsia" w:ascii="宋体" w:hAnsi="宋体" w:eastAsia="宋体" w:cs="宋体"/>
                      <w:i w:val="0"/>
                      <w:iCs w:val="0"/>
                      <w:color w:val="0000FF"/>
                      <w:kern w:val="0"/>
                      <w:sz w:val="21"/>
                      <w:szCs w:val="21"/>
                      <w:u w:val="none"/>
                      <w:lang w:val="en-US" w:eastAsia="zh-CN" w:bidi="ar"/>
                    </w:rPr>
                    <w:t>，</w:t>
                  </w:r>
                  <w:r>
                    <w:rPr>
                      <w:rFonts w:hint="default" w:ascii="Times New Roman" w:hAnsi="Times New Roman" w:eastAsia="宋体" w:cs="Times New Roman"/>
                      <w:i w:val="0"/>
                      <w:iCs w:val="0"/>
                      <w:color w:val="0000FF"/>
                      <w:kern w:val="0"/>
                      <w:sz w:val="21"/>
                      <w:szCs w:val="21"/>
                      <w:u w:val="none"/>
                      <w:lang w:val="en-US" w:eastAsia="zh-CN" w:bidi="ar"/>
                    </w:rPr>
                    <w:t>I</w:t>
                  </w:r>
                </w:p>
              </w:tc>
              <w:tc>
                <w:tcPr>
                  <w:tcW w:w="650" w:type="dxa"/>
                  <w:vMerge w:val="continue"/>
                  <w:noWrap w:val="0"/>
                  <w:vAlign w:val="center"/>
                </w:tcPr>
                <w:p w14:paraId="681AE243">
                  <w:pPr>
                    <w:jc w:val="center"/>
                    <w:rPr>
                      <w:rFonts w:hint="default" w:ascii="Times New Roman" w:hAnsi="Times New Roman" w:cs="Times New Roman"/>
                      <w:color w:val="0000FF"/>
                      <w:sz w:val="21"/>
                      <w:szCs w:val="21"/>
                    </w:rPr>
                  </w:pPr>
                </w:p>
              </w:tc>
            </w:tr>
            <w:tr w14:paraId="66D43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30" w:type="dxa"/>
                  <w:noWrap w:val="0"/>
                  <w:vAlign w:val="center"/>
                </w:tcPr>
                <w:p w14:paraId="2BA405F1">
                  <w:pPr>
                    <w:keepNext w:val="0"/>
                    <w:keepLines w:val="0"/>
                    <w:widowControl/>
                    <w:suppressLineNumbers w:val="0"/>
                    <w:jc w:val="center"/>
                    <w:textAlignment w:val="center"/>
                    <w:rPr>
                      <w:rFonts w:hint="default" w:ascii="Times New Roman" w:hAnsi="Times New Roman" w:cs="Times New Roman"/>
                      <w:color w:val="0000FF"/>
                      <w:sz w:val="21"/>
                      <w:szCs w:val="21"/>
                    </w:rPr>
                  </w:pPr>
                  <w:r>
                    <w:rPr>
                      <w:rFonts w:hint="eastAsia" w:ascii="宋体" w:hAnsi="宋体" w:eastAsia="宋体" w:cs="宋体"/>
                      <w:i w:val="0"/>
                      <w:iCs w:val="0"/>
                      <w:color w:val="0000FF"/>
                      <w:kern w:val="0"/>
                      <w:sz w:val="21"/>
                      <w:szCs w:val="21"/>
                      <w:u w:val="none"/>
                      <w:lang w:val="en-US" w:eastAsia="zh-CN" w:bidi="ar"/>
                    </w:rPr>
                    <w:t>废含油棉纱手套</w:t>
                  </w:r>
                </w:p>
              </w:tc>
              <w:tc>
                <w:tcPr>
                  <w:tcW w:w="1242" w:type="dxa"/>
                  <w:noWrap w:val="0"/>
                  <w:vAlign w:val="center"/>
                </w:tcPr>
                <w:p w14:paraId="2CF23888">
                  <w:pPr>
                    <w:keepNext w:val="0"/>
                    <w:keepLines w:val="0"/>
                    <w:widowControl/>
                    <w:suppressLineNumbers w:val="0"/>
                    <w:jc w:val="center"/>
                    <w:textAlignment w:val="center"/>
                    <w:rPr>
                      <w:rFonts w:hint="default" w:ascii="Times New Roman" w:hAnsi="Times New Roman" w:cs="Times New Roman"/>
                      <w:color w:val="0000FF"/>
                      <w:sz w:val="21"/>
                      <w:szCs w:val="21"/>
                    </w:rPr>
                  </w:pPr>
                  <w:r>
                    <w:rPr>
                      <w:rFonts w:hint="default" w:ascii="Times New Roman" w:hAnsi="Times New Roman" w:eastAsia="宋体" w:cs="Times New Roman"/>
                      <w:i w:val="0"/>
                      <w:iCs w:val="0"/>
                      <w:color w:val="0000FF"/>
                      <w:kern w:val="0"/>
                      <w:sz w:val="21"/>
                      <w:szCs w:val="21"/>
                      <w:u w:val="none"/>
                      <w:lang w:val="en-US" w:eastAsia="zh-CN" w:bidi="ar"/>
                    </w:rPr>
                    <w:t>HW49</w:t>
                  </w:r>
                  <w:r>
                    <w:rPr>
                      <w:rFonts w:hint="eastAsia" w:ascii="宋体" w:hAnsi="宋体" w:eastAsia="宋体" w:cs="宋体"/>
                      <w:i w:val="0"/>
                      <w:iCs w:val="0"/>
                      <w:color w:val="0000FF"/>
                      <w:kern w:val="0"/>
                      <w:sz w:val="21"/>
                      <w:szCs w:val="21"/>
                      <w:u w:val="none"/>
                      <w:lang w:val="en-US" w:eastAsia="zh-CN" w:bidi="ar"/>
                    </w:rPr>
                    <w:t>，</w:t>
                  </w:r>
                  <w:r>
                    <w:rPr>
                      <w:rFonts w:hint="default" w:ascii="Times New Roman" w:hAnsi="Times New Roman" w:eastAsia="宋体" w:cs="Times New Roman"/>
                      <w:i w:val="0"/>
                      <w:iCs w:val="0"/>
                      <w:color w:val="0000FF"/>
                      <w:kern w:val="0"/>
                      <w:sz w:val="21"/>
                      <w:szCs w:val="21"/>
                      <w:u w:val="none"/>
                      <w:lang w:val="en-US" w:eastAsia="zh-CN" w:bidi="ar"/>
                    </w:rPr>
                    <w:t>900-041-49</w:t>
                  </w:r>
                </w:p>
              </w:tc>
              <w:tc>
                <w:tcPr>
                  <w:tcW w:w="984" w:type="dxa"/>
                  <w:noWrap w:val="0"/>
                  <w:vAlign w:val="center"/>
                </w:tcPr>
                <w:p w14:paraId="3F4165A8">
                  <w:pPr>
                    <w:keepNext w:val="0"/>
                    <w:keepLines w:val="0"/>
                    <w:widowControl/>
                    <w:suppressLineNumbers w:val="0"/>
                    <w:jc w:val="center"/>
                    <w:textAlignment w:val="center"/>
                    <w:rPr>
                      <w:rFonts w:hint="default" w:ascii="Times New Roman" w:hAnsi="Times New Roman" w:cs="Times New Roman"/>
                      <w:color w:val="0000FF"/>
                      <w:kern w:val="0"/>
                      <w:sz w:val="21"/>
                      <w:szCs w:val="21"/>
                      <w:lang w:val="en-US"/>
                    </w:rPr>
                  </w:pPr>
                  <w:r>
                    <w:rPr>
                      <w:rFonts w:hint="default" w:ascii="Times New Roman" w:hAnsi="Times New Roman" w:eastAsia="宋体" w:cs="Times New Roman"/>
                      <w:i w:val="0"/>
                      <w:iCs w:val="0"/>
                      <w:color w:val="0000FF"/>
                      <w:kern w:val="0"/>
                      <w:sz w:val="21"/>
                      <w:szCs w:val="21"/>
                      <w:u w:val="none"/>
                      <w:lang w:val="en-US" w:eastAsia="zh-CN" w:bidi="ar"/>
                    </w:rPr>
                    <w:t>0.03</w:t>
                  </w:r>
                </w:p>
              </w:tc>
              <w:tc>
                <w:tcPr>
                  <w:tcW w:w="1451" w:type="dxa"/>
                  <w:noWrap w:val="0"/>
                  <w:vAlign w:val="center"/>
                </w:tcPr>
                <w:p w14:paraId="53C0AD5F">
                  <w:pPr>
                    <w:keepNext w:val="0"/>
                    <w:keepLines w:val="0"/>
                    <w:widowControl/>
                    <w:suppressLineNumbers w:val="0"/>
                    <w:jc w:val="center"/>
                    <w:textAlignment w:val="center"/>
                    <w:rPr>
                      <w:rFonts w:hint="default" w:ascii="Times New Roman" w:hAnsi="Times New Roman" w:cs="Times New Roman"/>
                      <w:color w:val="0000FF"/>
                      <w:kern w:val="0"/>
                      <w:sz w:val="21"/>
                      <w:szCs w:val="21"/>
                    </w:rPr>
                  </w:pPr>
                  <w:r>
                    <w:rPr>
                      <w:rFonts w:hint="eastAsia" w:ascii="宋体" w:hAnsi="宋体" w:eastAsia="宋体" w:cs="宋体"/>
                      <w:i w:val="0"/>
                      <w:iCs w:val="0"/>
                      <w:color w:val="0000FF"/>
                      <w:kern w:val="0"/>
                      <w:sz w:val="21"/>
                      <w:szCs w:val="21"/>
                      <w:u w:val="none"/>
                      <w:lang w:val="en-US" w:eastAsia="zh-CN" w:bidi="ar"/>
                    </w:rPr>
                    <w:t>设备维护、模具保养、擦版、擦油墨</w:t>
                  </w:r>
                </w:p>
              </w:tc>
              <w:tc>
                <w:tcPr>
                  <w:tcW w:w="661" w:type="dxa"/>
                  <w:noWrap w:val="0"/>
                  <w:vAlign w:val="center"/>
                </w:tcPr>
                <w:p w14:paraId="528AE938">
                  <w:pPr>
                    <w:keepNext w:val="0"/>
                    <w:keepLines w:val="0"/>
                    <w:widowControl/>
                    <w:suppressLineNumbers w:val="0"/>
                    <w:jc w:val="center"/>
                    <w:textAlignment w:val="center"/>
                    <w:rPr>
                      <w:rFonts w:hint="default" w:ascii="Times New Roman" w:hAnsi="Times New Roman" w:cs="Times New Roman"/>
                      <w:color w:val="0000FF"/>
                      <w:kern w:val="0"/>
                      <w:sz w:val="21"/>
                      <w:szCs w:val="21"/>
                    </w:rPr>
                  </w:pPr>
                  <w:r>
                    <w:rPr>
                      <w:rFonts w:hint="eastAsia" w:ascii="宋体" w:hAnsi="宋体" w:eastAsia="宋体" w:cs="宋体"/>
                      <w:i w:val="0"/>
                      <w:iCs w:val="0"/>
                      <w:color w:val="0000FF"/>
                      <w:kern w:val="0"/>
                      <w:sz w:val="21"/>
                      <w:szCs w:val="21"/>
                      <w:u w:val="none"/>
                      <w:lang w:val="en-US" w:eastAsia="zh-CN" w:bidi="ar"/>
                    </w:rPr>
                    <w:t>固态</w:t>
                  </w:r>
                </w:p>
              </w:tc>
              <w:tc>
                <w:tcPr>
                  <w:tcW w:w="855" w:type="dxa"/>
                  <w:noWrap w:val="0"/>
                  <w:vAlign w:val="center"/>
                </w:tcPr>
                <w:p w14:paraId="63D8A178">
                  <w:pPr>
                    <w:keepNext w:val="0"/>
                    <w:keepLines w:val="0"/>
                    <w:widowControl/>
                    <w:suppressLineNumbers w:val="0"/>
                    <w:jc w:val="center"/>
                    <w:textAlignment w:val="center"/>
                    <w:rPr>
                      <w:rFonts w:hint="default" w:ascii="Times New Roman" w:hAnsi="Times New Roman" w:cs="Times New Roman"/>
                      <w:color w:val="0000FF"/>
                      <w:kern w:val="0"/>
                      <w:sz w:val="21"/>
                      <w:szCs w:val="21"/>
                    </w:rPr>
                  </w:pPr>
                  <w:r>
                    <w:rPr>
                      <w:rFonts w:hint="eastAsia" w:ascii="宋体" w:hAnsi="宋体" w:eastAsia="宋体" w:cs="宋体"/>
                      <w:i w:val="0"/>
                      <w:iCs w:val="0"/>
                      <w:color w:val="0000FF"/>
                      <w:kern w:val="0"/>
                      <w:sz w:val="21"/>
                      <w:szCs w:val="21"/>
                      <w:u w:val="none"/>
                      <w:lang w:val="en-US" w:eastAsia="zh-CN" w:bidi="ar"/>
                    </w:rPr>
                    <w:t>含油</w:t>
                  </w:r>
                </w:p>
              </w:tc>
              <w:tc>
                <w:tcPr>
                  <w:tcW w:w="662" w:type="dxa"/>
                  <w:noWrap w:val="0"/>
                  <w:vAlign w:val="center"/>
                </w:tcPr>
                <w:p w14:paraId="73ED6D66">
                  <w:pPr>
                    <w:keepNext w:val="0"/>
                    <w:keepLines w:val="0"/>
                    <w:widowControl/>
                    <w:suppressLineNumbers w:val="0"/>
                    <w:jc w:val="center"/>
                    <w:textAlignment w:val="center"/>
                    <w:rPr>
                      <w:rFonts w:hint="default" w:ascii="Times New Roman" w:hAnsi="Times New Roman" w:cs="Times New Roman"/>
                      <w:color w:val="0000FF"/>
                      <w:kern w:val="0"/>
                      <w:sz w:val="21"/>
                      <w:szCs w:val="21"/>
                    </w:rPr>
                  </w:pPr>
                  <w:r>
                    <w:rPr>
                      <w:rFonts w:hint="eastAsia" w:ascii="宋体" w:hAnsi="宋体" w:eastAsia="宋体" w:cs="宋体"/>
                      <w:i w:val="0"/>
                      <w:iCs w:val="0"/>
                      <w:color w:val="0000FF"/>
                      <w:kern w:val="0"/>
                      <w:sz w:val="21"/>
                      <w:szCs w:val="21"/>
                      <w:u w:val="none"/>
                      <w:lang w:val="en-US" w:eastAsia="zh-CN" w:bidi="ar"/>
                    </w:rPr>
                    <w:t>间断</w:t>
                  </w:r>
                </w:p>
              </w:tc>
              <w:tc>
                <w:tcPr>
                  <w:tcW w:w="645" w:type="dxa"/>
                  <w:noWrap w:val="0"/>
                  <w:vAlign w:val="center"/>
                </w:tcPr>
                <w:p w14:paraId="03BE31F2">
                  <w:pPr>
                    <w:keepNext w:val="0"/>
                    <w:keepLines w:val="0"/>
                    <w:widowControl/>
                    <w:suppressLineNumbers w:val="0"/>
                    <w:jc w:val="center"/>
                    <w:textAlignment w:val="center"/>
                    <w:rPr>
                      <w:rFonts w:hint="default" w:ascii="Times New Roman" w:hAnsi="Times New Roman" w:cs="Times New Roman"/>
                      <w:color w:val="0000FF"/>
                      <w:kern w:val="0"/>
                      <w:sz w:val="21"/>
                      <w:szCs w:val="21"/>
                    </w:rPr>
                  </w:pPr>
                  <w:r>
                    <w:rPr>
                      <w:rFonts w:hint="default" w:ascii="Times New Roman" w:hAnsi="Times New Roman" w:eastAsia="宋体" w:cs="Times New Roman"/>
                      <w:i w:val="0"/>
                      <w:iCs w:val="0"/>
                      <w:color w:val="0000FF"/>
                      <w:kern w:val="0"/>
                      <w:sz w:val="21"/>
                      <w:szCs w:val="21"/>
                      <w:u w:val="none"/>
                      <w:lang w:val="en-US" w:eastAsia="zh-CN" w:bidi="ar"/>
                    </w:rPr>
                    <w:t>T</w:t>
                  </w:r>
                  <w:r>
                    <w:rPr>
                      <w:rFonts w:hint="eastAsia" w:ascii="宋体" w:hAnsi="宋体" w:eastAsia="宋体" w:cs="宋体"/>
                      <w:i w:val="0"/>
                      <w:iCs w:val="0"/>
                      <w:color w:val="0000FF"/>
                      <w:kern w:val="0"/>
                      <w:sz w:val="21"/>
                      <w:szCs w:val="21"/>
                      <w:u w:val="none"/>
                      <w:lang w:val="en-US" w:eastAsia="zh-CN" w:bidi="ar"/>
                    </w:rPr>
                    <w:t>，</w:t>
                  </w:r>
                  <w:r>
                    <w:rPr>
                      <w:rFonts w:hint="default" w:ascii="Times New Roman" w:hAnsi="Times New Roman" w:eastAsia="宋体" w:cs="Times New Roman"/>
                      <w:i w:val="0"/>
                      <w:iCs w:val="0"/>
                      <w:color w:val="0000FF"/>
                      <w:kern w:val="0"/>
                      <w:sz w:val="21"/>
                      <w:szCs w:val="21"/>
                      <w:u w:val="none"/>
                      <w:lang w:val="en-US" w:eastAsia="zh-CN" w:bidi="ar"/>
                    </w:rPr>
                    <w:t>I</w:t>
                  </w:r>
                </w:p>
              </w:tc>
              <w:tc>
                <w:tcPr>
                  <w:tcW w:w="650" w:type="dxa"/>
                  <w:vMerge w:val="continue"/>
                  <w:noWrap w:val="0"/>
                  <w:vAlign w:val="center"/>
                </w:tcPr>
                <w:p w14:paraId="334FAB6D">
                  <w:pPr>
                    <w:jc w:val="center"/>
                    <w:rPr>
                      <w:rFonts w:hint="default" w:ascii="Times New Roman" w:hAnsi="Times New Roman" w:cs="Times New Roman"/>
                      <w:color w:val="0000FF"/>
                      <w:sz w:val="21"/>
                      <w:szCs w:val="21"/>
                    </w:rPr>
                  </w:pPr>
                </w:p>
              </w:tc>
            </w:tr>
            <w:tr w14:paraId="78118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30" w:type="dxa"/>
                  <w:noWrap w:val="0"/>
                  <w:vAlign w:val="center"/>
                </w:tcPr>
                <w:p w14:paraId="275EC225">
                  <w:pPr>
                    <w:keepNext w:val="0"/>
                    <w:keepLines w:val="0"/>
                    <w:widowControl/>
                    <w:suppressLineNumbers w:val="0"/>
                    <w:jc w:val="center"/>
                    <w:textAlignment w:val="center"/>
                    <w:rPr>
                      <w:rFonts w:hint="default" w:ascii="Times New Roman" w:hAnsi="Times New Roman" w:cs="Times New Roman"/>
                      <w:color w:val="00B050"/>
                      <w:kern w:val="0"/>
                      <w:sz w:val="21"/>
                      <w:szCs w:val="21"/>
                    </w:rPr>
                  </w:pPr>
                  <w:r>
                    <w:rPr>
                      <w:rFonts w:hint="eastAsia" w:ascii="宋体" w:hAnsi="宋体" w:eastAsia="宋体" w:cs="宋体"/>
                      <w:i w:val="0"/>
                      <w:iCs w:val="0"/>
                      <w:color w:val="00B050"/>
                      <w:kern w:val="0"/>
                      <w:sz w:val="21"/>
                      <w:szCs w:val="21"/>
                      <w:u w:val="none"/>
                      <w:lang w:val="en-US" w:eastAsia="zh-CN" w:bidi="ar"/>
                    </w:rPr>
                    <w:t>废活性炭</w:t>
                  </w:r>
                </w:p>
              </w:tc>
              <w:tc>
                <w:tcPr>
                  <w:tcW w:w="1242" w:type="dxa"/>
                  <w:noWrap w:val="0"/>
                  <w:vAlign w:val="center"/>
                </w:tcPr>
                <w:p w14:paraId="2A0D466E">
                  <w:pPr>
                    <w:keepNext w:val="0"/>
                    <w:keepLines w:val="0"/>
                    <w:widowControl/>
                    <w:suppressLineNumbers w:val="0"/>
                    <w:jc w:val="center"/>
                    <w:textAlignment w:val="center"/>
                    <w:rPr>
                      <w:rFonts w:hint="default" w:ascii="Times New Roman" w:hAnsi="Times New Roman" w:cs="Times New Roman"/>
                      <w:color w:val="00B050"/>
                      <w:sz w:val="21"/>
                      <w:szCs w:val="21"/>
                    </w:rPr>
                  </w:pPr>
                  <w:r>
                    <w:rPr>
                      <w:rFonts w:hint="default" w:ascii="Times New Roman" w:hAnsi="Times New Roman" w:eastAsia="宋体" w:cs="Times New Roman"/>
                      <w:i w:val="0"/>
                      <w:iCs w:val="0"/>
                      <w:color w:val="00B050"/>
                      <w:kern w:val="0"/>
                      <w:sz w:val="21"/>
                      <w:szCs w:val="21"/>
                      <w:u w:val="none"/>
                      <w:lang w:val="en-US" w:eastAsia="zh-CN" w:bidi="ar"/>
                    </w:rPr>
                    <w:t>HW49</w:t>
                  </w:r>
                  <w:r>
                    <w:rPr>
                      <w:rFonts w:hint="eastAsia" w:ascii="宋体" w:hAnsi="宋体" w:eastAsia="宋体" w:cs="宋体"/>
                      <w:i w:val="0"/>
                      <w:iCs w:val="0"/>
                      <w:color w:val="00B050"/>
                      <w:kern w:val="0"/>
                      <w:sz w:val="21"/>
                      <w:szCs w:val="21"/>
                      <w:u w:val="none"/>
                      <w:lang w:val="en-US" w:eastAsia="zh-CN" w:bidi="ar"/>
                    </w:rPr>
                    <w:t>，</w:t>
                  </w:r>
                  <w:r>
                    <w:rPr>
                      <w:rFonts w:hint="default" w:ascii="Times New Roman" w:hAnsi="Times New Roman" w:eastAsia="宋体" w:cs="Times New Roman"/>
                      <w:i w:val="0"/>
                      <w:iCs w:val="0"/>
                      <w:color w:val="00B050"/>
                      <w:kern w:val="0"/>
                      <w:sz w:val="21"/>
                      <w:szCs w:val="21"/>
                      <w:u w:val="none"/>
                      <w:lang w:val="en-US" w:eastAsia="zh-CN" w:bidi="ar"/>
                    </w:rPr>
                    <w:t>900-039-49</w:t>
                  </w:r>
                </w:p>
              </w:tc>
              <w:tc>
                <w:tcPr>
                  <w:tcW w:w="984" w:type="dxa"/>
                  <w:noWrap w:val="0"/>
                  <w:vAlign w:val="center"/>
                </w:tcPr>
                <w:p w14:paraId="78E2510A">
                  <w:pPr>
                    <w:keepNext w:val="0"/>
                    <w:keepLines w:val="0"/>
                    <w:widowControl/>
                    <w:suppressLineNumbers w:val="0"/>
                    <w:jc w:val="center"/>
                    <w:textAlignment w:val="center"/>
                    <w:rPr>
                      <w:rFonts w:hint="default" w:ascii="Times New Roman" w:hAnsi="Times New Roman" w:cs="Times New Roman"/>
                      <w:color w:val="00B050"/>
                      <w:sz w:val="21"/>
                      <w:szCs w:val="21"/>
                    </w:rPr>
                  </w:pPr>
                  <w:r>
                    <w:rPr>
                      <w:rFonts w:hint="eastAsia" w:cs="Times New Roman"/>
                      <w:i w:val="0"/>
                      <w:iCs w:val="0"/>
                      <w:color w:val="00B050"/>
                      <w:kern w:val="0"/>
                      <w:sz w:val="21"/>
                      <w:szCs w:val="21"/>
                      <w:u w:val="none"/>
                      <w:lang w:val="en-US" w:eastAsia="zh-CN" w:bidi="ar"/>
                    </w:rPr>
                    <w:t>5.3168</w:t>
                  </w:r>
                </w:p>
              </w:tc>
              <w:tc>
                <w:tcPr>
                  <w:tcW w:w="1451" w:type="dxa"/>
                  <w:noWrap w:val="0"/>
                  <w:vAlign w:val="center"/>
                </w:tcPr>
                <w:p w14:paraId="54C388B6">
                  <w:pPr>
                    <w:keepNext w:val="0"/>
                    <w:keepLines w:val="0"/>
                    <w:widowControl/>
                    <w:suppressLineNumbers w:val="0"/>
                    <w:jc w:val="center"/>
                    <w:textAlignment w:val="center"/>
                    <w:rPr>
                      <w:rFonts w:hint="default" w:ascii="Times New Roman" w:hAnsi="Times New Roman" w:cs="Times New Roman"/>
                      <w:color w:val="00B050"/>
                      <w:kern w:val="0"/>
                      <w:sz w:val="21"/>
                      <w:szCs w:val="21"/>
                    </w:rPr>
                  </w:pPr>
                  <w:r>
                    <w:rPr>
                      <w:rFonts w:hint="eastAsia" w:ascii="宋体" w:hAnsi="宋体" w:eastAsia="宋体" w:cs="宋体"/>
                      <w:i w:val="0"/>
                      <w:iCs w:val="0"/>
                      <w:color w:val="00B050"/>
                      <w:kern w:val="0"/>
                      <w:sz w:val="21"/>
                      <w:szCs w:val="21"/>
                      <w:u w:val="none"/>
                      <w:lang w:val="en-US" w:eastAsia="zh-CN" w:bidi="ar"/>
                    </w:rPr>
                    <w:t>废气治理</w:t>
                  </w:r>
                </w:p>
              </w:tc>
              <w:tc>
                <w:tcPr>
                  <w:tcW w:w="661" w:type="dxa"/>
                  <w:noWrap w:val="0"/>
                  <w:vAlign w:val="center"/>
                </w:tcPr>
                <w:p w14:paraId="66EF732C">
                  <w:pPr>
                    <w:keepNext w:val="0"/>
                    <w:keepLines w:val="0"/>
                    <w:widowControl/>
                    <w:suppressLineNumbers w:val="0"/>
                    <w:jc w:val="center"/>
                    <w:textAlignment w:val="center"/>
                    <w:rPr>
                      <w:rFonts w:hint="default" w:ascii="Times New Roman" w:hAnsi="Times New Roman" w:cs="Times New Roman"/>
                      <w:color w:val="00B050"/>
                      <w:kern w:val="0"/>
                      <w:sz w:val="21"/>
                      <w:szCs w:val="21"/>
                    </w:rPr>
                  </w:pPr>
                  <w:r>
                    <w:rPr>
                      <w:rFonts w:hint="eastAsia" w:ascii="宋体" w:hAnsi="宋体" w:eastAsia="宋体" w:cs="宋体"/>
                      <w:i w:val="0"/>
                      <w:iCs w:val="0"/>
                      <w:color w:val="00B050"/>
                      <w:kern w:val="0"/>
                      <w:sz w:val="21"/>
                      <w:szCs w:val="21"/>
                      <w:u w:val="none"/>
                      <w:lang w:val="en-US" w:eastAsia="zh-CN" w:bidi="ar"/>
                    </w:rPr>
                    <w:t>固态</w:t>
                  </w:r>
                </w:p>
              </w:tc>
              <w:tc>
                <w:tcPr>
                  <w:tcW w:w="855" w:type="dxa"/>
                  <w:noWrap w:val="0"/>
                  <w:vAlign w:val="center"/>
                </w:tcPr>
                <w:p w14:paraId="0FCBAD82">
                  <w:pPr>
                    <w:keepNext w:val="0"/>
                    <w:keepLines w:val="0"/>
                    <w:widowControl/>
                    <w:suppressLineNumbers w:val="0"/>
                    <w:jc w:val="center"/>
                    <w:textAlignment w:val="center"/>
                    <w:rPr>
                      <w:rFonts w:hint="default" w:ascii="Times New Roman" w:hAnsi="Times New Roman" w:cs="Times New Roman"/>
                      <w:color w:val="00B050"/>
                      <w:kern w:val="0"/>
                      <w:sz w:val="21"/>
                      <w:szCs w:val="21"/>
                    </w:rPr>
                  </w:pPr>
                  <w:r>
                    <w:rPr>
                      <w:rFonts w:hint="eastAsia" w:ascii="宋体" w:hAnsi="宋体" w:eastAsia="宋体" w:cs="宋体"/>
                      <w:i w:val="0"/>
                      <w:iCs w:val="0"/>
                      <w:color w:val="00B050"/>
                      <w:kern w:val="0"/>
                      <w:sz w:val="21"/>
                      <w:szCs w:val="21"/>
                      <w:u w:val="none"/>
                      <w:lang w:val="en-US" w:eastAsia="zh-CN" w:bidi="ar"/>
                    </w:rPr>
                    <w:t>有机物</w:t>
                  </w:r>
                </w:p>
              </w:tc>
              <w:tc>
                <w:tcPr>
                  <w:tcW w:w="662" w:type="dxa"/>
                  <w:noWrap w:val="0"/>
                  <w:vAlign w:val="center"/>
                </w:tcPr>
                <w:p w14:paraId="5A776DD5">
                  <w:pPr>
                    <w:keepNext w:val="0"/>
                    <w:keepLines w:val="0"/>
                    <w:widowControl/>
                    <w:suppressLineNumbers w:val="0"/>
                    <w:jc w:val="center"/>
                    <w:textAlignment w:val="center"/>
                    <w:rPr>
                      <w:rFonts w:hint="default" w:ascii="Times New Roman" w:hAnsi="Times New Roman" w:cs="Times New Roman"/>
                      <w:color w:val="00B050"/>
                      <w:kern w:val="0"/>
                      <w:sz w:val="21"/>
                      <w:szCs w:val="21"/>
                    </w:rPr>
                  </w:pPr>
                  <w:r>
                    <w:rPr>
                      <w:rFonts w:hint="eastAsia" w:ascii="宋体" w:hAnsi="宋体" w:eastAsia="宋体" w:cs="宋体"/>
                      <w:i w:val="0"/>
                      <w:iCs w:val="0"/>
                      <w:color w:val="00B050"/>
                      <w:kern w:val="0"/>
                      <w:sz w:val="21"/>
                      <w:szCs w:val="21"/>
                      <w:u w:val="none"/>
                      <w:lang w:val="en-US" w:eastAsia="zh-CN" w:bidi="ar"/>
                    </w:rPr>
                    <w:t>间断</w:t>
                  </w:r>
                </w:p>
              </w:tc>
              <w:tc>
                <w:tcPr>
                  <w:tcW w:w="645" w:type="dxa"/>
                  <w:noWrap w:val="0"/>
                  <w:vAlign w:val="center"/>
                </w:tcPr>
                <w:p w14:paraId="748A8C83">
                  <w:pPr>
                    <w:keepNext w:val="0"/>
                    <w:keepLines w:val="0"/>
                    <w:widowControl/>
                    <w:suppressLineNumbers w:val="0"/>
                    <w:jc w:val="center"/>
                    <w:textAlignment w:val="center"/>
                    <w:rPr>
                      <w:rFonts w:hint="default" w:ascii="Times New Roman" w:hAnsi="Times New Roman" w:cs="Times New Roman"/>
                      <w:color w:val="00B050"/>
                      <w:kern w:val="0"/>
                      <w:sz w:val="21"/>
                      <w:szCs w:val="21"/>
                    </w:rPr>
                  </w:pPr>
                  <w:r>
                    <w:rPr>
                      <w:rFonts w:hint="default" w:ascii="Times New Roman" w:hAnsi="Times New Roman" w:eastAsia="宋体" w:cs="Times New Roman"/>
                      <w:i w:val="0"/>
                      <w:iCs w:val="0"/>
                      <w:color w:val="00B050"/>
                      <w:kern w:val="0"/>
                      <w:sz w:val="21"/>
                      <w:szCs w:val="21"/>
                      <w:u w:val="none"/>
                      <w:lang w:val="en-US" w:eastAsia="zh-CN" w:bidi="ar"/>
                    </w:rPr>
                    <w:t>T</w:t>
                  </w:r>
                </w:p>
              </w:tc>
              <w:tc>
                <w:tcPr>
                  <w:tcW w:w="650" w:type="dxa"/>
                  <w:vMerge w:val="continue"/>
                  <w:noWrap w:val="0"/>
                  <w:vAlign w:val="center"/>
                </w:tcPr>
                <w:p w14:paraId="4397B868">
                  <w:pPr>
                    <w:jc w:val="center"/>
                    <w:rPr>
                      <w:rFonts w:hint="default" w:ascii="Times New Roman" w:hAnsi="Times New Roman" w:cs="Times New Roman"/>
                      <w:color w:val="0000FF"/>
                      <w:sz w:val="21"/>
                      <w:szCs w:val="21"/>
                    </w:rPr>
                  </w:pPr>
                </w:p>
              </w:tc>
            </w:tr>
            <w:tr w14:paraId="18831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30" w:type="dxa"/>
                  <w:noWrap w:val="0"/>
                  <w:vAlign w:val="center"/>
                </w:tcPr>
                <w:p w14:paraId="69995418">
                  <w:pPr>
                    <w:keepNext w:val="0"/>
                    <w:keepLines w:val="0"/>
                    <w:widowControl/>
                    <w:suppressLineNumbers w:val="0"/>
                    <w:jc w:val="center"/>
                    <w:textAlignment w:val="center"/>
                    <w:rPr>
                      <w:rFonts w:hint="default" w:ascii="Times New Roman" w:hAnsi="Times New Roman" w:cs="Times New Roman"/>
                      <w:color w:val="0000FF"/>
                      <w:sz w:val="21"/>
                      <w:szCs w:val="21"/>
                    </w:rPr>
                  </w:pPr>
                  <w:r>
                    <w:rPr>
                      <w:rFonts w:hint="eastAsia" w:ascii="宋体" w:hAnsi="宋体" w:eastAsia="宋体" w:cs="宋体"/>
                      <w:i w:val="0"/>
                      <w:iCs w:val="0"/>
                      <w:color w:val="0000FF"/>
                      <w:kern w:val="0"/>
                      <w:sz w:val="21"/>
                      <w:szCs w:val="21"/>
                      <w:u w:val="none"/>
                      <w:lang w:val="en-US" w:eastAsia="zh-CN" w:bidi="ar"/>
                    </w:rPr>
                    <w:t>废润滑油</w:t>
                  </w:r>
                </w:p>
              </w:tc>
              <w:tc>
                <w:tcPr>
                  <w:tcW w:w="1242" w:type="dxa"/>
                  <w:noWrap w:val="0"/>
                  <w:vAlign w:val="center"/>
                </w:tcPr>
                <w:p w14:paraId="1C1DD927">
                  <w:pPr>
                    <w:keepNext w:val="0"/>
                    <w:keepLines w:val="0"/>
                    <w:widowControl/>
                    <w:suppressLineNumbers w:val="0"/>
                    <w:jc w:val="center"/>
                    <w:textAlignment w:val="center"/>
                    <w:rPr>
                      <w:color w:val="0000FF"/>
                    </w:rPr>
                  </w:pPr>
                  <w:r>
                    <w:rPr>
                      <w:rFonts w:hint="default" w:ascii="Times New Roman" w:hAnsi="Times New Roman" w:eastAsia="宋体" w:cs="Times New Roman"/>
                      <w:i w:val="0"/>
                      <w:iCs w:val="0"/>
                      <w:color w:val="0000FF"/>
                      <w:kern w:val="0"/>
                      <w:sz w:val="21"/>
                      <w:szCs w:val="21"/>
                      <w:u w:val="none"/>
                      <w:lang w:val="en-US" w:eastAsia="zh-CN" w:bidi="ar"/>
                    </w:rPr>
                    <w:t>HW08</w:t>
                  </w:r>
                  <w:r>
                    <w:rPr>
                      <w:rFonts w:hint="eastAsia" w:ascii="宋体" w:hAnsi="宋体" w:eastAsia="宋体" w:cs="宋体"/>
                      <w:i w:val="0"/>
                      <w:iCs w:val="0"/>
                      <w:color w:val="0000FF"/>
                      <w:kern w:val="0"/>
                      <w:sz w:val="21"/>
                      <w:szCs w:val="21"/>
                      <w:u w:val="none"/>
                      <w:lang w:val="en-US" w:eastAsia="zh-CN" w:bidi="ar"/>
                    </w:rPr>
                    <w:t>，</w:t>
                  </w:r>
                  <w:r>
                    <w:rPr>
                      <w:rFonts w:hint="default" w:ascii="Times New Roman" w:hAnsi="Times New Roman" w:eastAsia="宋体" w:cs="Times New Roman"/>
                      <w:i w:val="0"/>
                      <w:iCs w:val="0"/>
                      <w:color w:val="0000FF"/>
                      <w:kern w:val="0"/>
                      <w:sz w:val="21"/>
                      <w:szCs w:val="21"/>
                      <w:u w:val="none"/>
                      <w:lang w:val="en-US" w:eastAsia="zh-CN" w:bidi="ar"/>
                    </w:rPr>
                    <w:t>900-217-08</w:t>
                  </w:r>
                </w:p>
              </w:tc>
              <w:tc>
                <w:tcPr>
                  <w:tcW w:w="984" w:type="dxa"/>
                  <w:noWrap w:val="0"/>
                  <w:vAlign w:val="center"/>
                </w:tcPr>
                <w:p w14:paraId="7FF17308">
                  <w:pPr>
                    <w:keepNext w:val="0"/>
                    <w:keepLines w:val="0"/>
                    <w:widowControl/>
                    <w:suppressLineNumbers w:val="0"/>
                    <w:jc w:val="center"/>
                    <w:textAlignment w:val="center"/>
                    <w:rPr>
                      <w:color w:val="0000FF"/>
                    </w:rPr>
                  </w:pPr>
                  <w:r>
                    <w:rPr>
                      <w:rFonts w:hint="default" w:ascii="Times New Roman" w:hAnsi="Times New Roman" w:eastAsia="宋体" w:cs="Times New Roman"/>
                      <w:i w:val="0"/>
                      <w:iCs w:val="0"/>
                      <w:color w:val="0000FF"/>
                      <w:kern w:val="0"/>
                      <w:sz w:val="21"/>
                      <w:szCs w:val="21"/>
                      <w:u w:val="none"/>
                      <w:lang w:val="en-US" w:eastAsia="zh-CN" w:bidi="ar"/>
                    </w:rPr>
                    <w:t>0.08</w:t>
                  </w:r>
                </w:p>
              </w:tc>
              <w:tc>
                <w:tcPr>
                  <w:tcW w:w="1451" w:type="dxa"/>
                  <w:noWrap w:val="0"/>
                  <w:vAlign w:val="center"/>
                </w:tcPr>
                <w:p w14:paraId="53829765">
                  <w:pPr>
                    <w:keepNext w:val="0"/>
                    <w:keepLines w:val="0"/>
                    <w:widowControl/>
                    <w:suppressLineNumbers w:val="0"/>
                    <w:jc w:val="both"/>
                    <w:textAlignment w:val="center"/>
                    <w:rPr>
                      <w:color w:val="0000FF"/>
                    </w:rPr>
                  </w:pPr>
                  <w:r>
                    <w:rPr>
                      <w:rFonts w:hint="eastAsia" w:ascii="宋体" w:hAnsi="宋体" w:eastAsia="宋体" w:cs="宋体"/>
                      <w:i w:val="0"/>
                      <w:iCs w:val="0"/>
                      <w:color w:val="0000FF"/>
                      <w:kern w:val="0"/>
                      <w:sz w:val="21"/>
                      <w:szCs w:val="21"/>
                      <w:u w:val="none"/>
                      <w:lang w:val="en-US" w:eastAsia="zh-CN" w:bidi="ar"/>
                    </w:rPr>
                    <w:t>设备维护、模具保养</w:t>
                  </w:r>
                </w:p>
              </w:tc>
              <w:tc>
                <w:tcPr>
                  <w:tcW w:w="661" w:type="dxa"/>
                  <w:noWrap w:val="0"/>
                  <w:vAlign w:val="center"/>
                </w:tcPr>
                <w:p w14:paraId="37F17792">
                  <w:pPr>
                    <w:keepNext w:val="0"/>
                    <w:keepLines w:val="0"/>
                    <w:widowControl/>
                    <w:suppressLineNumbers w:val="0"/>
                    <w:jc w:val="center"/>
                    <w:textAlignment w:val="center"/>
                    <w:rPr>
                      <w:color w:val="0000FF"/>
                    </w:rPr>
                  </w:pPr>
                  <w:r>
                    <w:rPr>
                      <w:rFonts w:hint="eastAsia" w:ascii="宋体" w:hAnsi="宋体" w:eastAsia="宋体" w:cs="宋体"/>
                      <w:i w:val="0"/>
                      <w:iCs w:val="0"/>
                      <w:color w:val="0000FF"/>
                      <w:kern w:val="0"/>
                      <w:sz w:val="21"/>
                      <w:szCs w:val="21"/>
                      <w:u w:val="none"/>
                      <w:lang w:val="en-US" w:eastAsia="zh-CN" w:bidi="ar"/>
                    </w:rPr>
                    <w:t>液态</w:t>
                  </w:r>
                </w:p>
              </w:tc>
              <w:tc>
                <w:tcPr>
                  <w:tcW w:w="855" w:type="dxa"/>
                  <w:noWrap w:val="0"/>
                  <w:vAlign w:val="center"/>
                </w:tcPr>
                <w:p w14:paraId="1E8A1EC8">
                  <w:pPr>
                    <w:keepNext w:val="0"/>
                    <w:keepLines w:val="0"/>
                    <w:widowControl/>
                    <w:suppressLineNumbers w:val="0"/>
                    <w:jc w:val="center"/>
                    <w:textAlignment w:val="center"/>
                    <w:rPr>
                      <w:color w:val="0000FF"/>
                    </w:rPr>
                  </w:pPr>
                  <w:r>
                    <w:rPr>
                      <w:rFonts w:hint="eastAsia" w:ascii="宋体" w:hAnsi="宋体" w:eastAsia="宋体" w:cs="宋体"/>
                      <w:i w:val="0"/>
                      <w:iCs w:val="0"/>
                      <w:color w:val="0000FF"/>
                      <w:kern w:val="0"/>
                      <w:sz w:val="21"/>
                      <w:szCs w:val="21"/>
                      <w:u w:val="none"/>
                      <w:lang w:val="en-US" w:eastAsia="zh-CN" w:bidi="ar"/>
                    </w:rPr>
                    <w:t>矿物油</w:t>
                  </w:r>
                </w:p>
              </w:tc>
              <w:tc>
                <w:tcPr>
                  <w:tcW w:w="662" w:type="dxa"/>
                  <w:noWrap w:val="0"/>
                  <w:vAlign w:val="center"/>
                </w:tcPr>
                <w:p w14:paraId="7CB0778D">
                  <w:pPr>
                    <w:keepNext w:val="0"/>
                    <w:keepLines w:val="0"/>
                    <w:widowControl/>
                    <w:suppressLineNumbers w:val="0"/>
                    <w:jc w:val="center"/>
                    <w:textAlignment w:val="center"/>
                    <w:rPr>
                      <w:color w:val="0000FF"/>
                    </w:rPr>
                  </w:pPr>
                  <w:r>
                    <w:rPr>
                      <w:rFonts w:hint="eastAsia" w:ascii="宋体" w:hAnsi="宋体" w:eastAsia="宋体" w:cs="宋体"/>
                      <w:i w:val="0"/>
                      <w:iCs w:val="0"/>
                      <w:color w:val="0000FF"/>
                      <w:kern w:val="0"/>
                      <w:sz w:val="21"/>
                      <w:szCs w:val="21"/>
                      <w:u w:val="none"/>
                      <w:lang w:val="en-US" w:eastAsia="zh-CN" w:bidi="ar"/>
                    </w:rPr>
                    <w:t>间断</w:t>
                  </w:r>
                </w:p>
              </w:tc>
              <w:tc>
                <w:tcPr>
                  <w:tcW w:w="645" w:type="dxa"/>
                  <w:noWrap w:val="0"/>
                  <w:vAlign w:val="center"/>
                </w:tcPr>
                <w:p w14:paraId="04607496">
                  <w:pPr>
                    <w:keepNext w:val="0"/>
                    <w:keepLines w:val="0"/>
                    <w:widowControl/>
                    <w:suppressLineNumbers w:val="0"/>
                    <w:jc w:val="center"/>
                    <w:textAlignment w:val="center"/>
                    <w:rPr>
                      <w:color w:val="0000FF"/>
                    </w:rPr>
                  </w:pPr>
                  <w:r>
                    <w:rPr>
                      <w:rFonts w:hint="default" w:ascii="Times New Roman" w:hAnsi="Times New Roman" w:eastAsia="宋体" w:cs="Times New Roman"/>
                      <w:i w:val="0"/>
                      <w:iCs w:val="0"/>
                      <w:color w:val="0000FF"/>
                      <w:kern w:val="0"/>
                      <w:sz w:val="21"/>
                      <w:szCs w:val="21"/>
                      <w:u w:val="none"/>
                      <w:lang w:val="en-US" w:eastAsia="zh-CN" w:bidi="ar"/>
                    </w:rPr>
                    <w:t>T</w:t>
                  </w:r>
                  <w:r>
                    <w:rPr>
                      <w:rFonts w:hint="eastAsia" w:ascii="宋体" w:hAnsi="宋体" w:eastAsia="宋体" w:cs="宋体"/>
                      <w:i w:val="0"/>
                      <w:iCs w:val="0"/>
                      <w:color w:val="0000FF"/>
                      <w:kern w:val="0"/>
                      <w:sz w:val="21"/>
                      <w:szCs w:val="21"/>
                      <w:u w:val="none"/>
                      <w:lang w:val="en-US" w:eastAsia="zh-CN" w:bidi="ar"/>
                    </w:rPr>
                    <w:t>，</w:t>
                  </w:r>
                  <w:r>
                    <w:rPr>
                      <w:rFonts w:hint="default" w:ascii="Times New Roman" w:hAnsi="Times New Roman" w:eastAsia="宋体" w:cs="Times New Roman"/>
                      <w:i w:val="0"/>
                      <w:iCs w:val="0"/>
                      <w:color w:val="0000FF"/>
                      <w:kern w:val="0"/>
                      <w:sz w:val="21"/>
                      <w:szCs w:val="21"/>
                      <w:u w:val="none"/>
                      <w:lang w:val="en-US" w:eastAsia="zh-CN" w:bidi="ar"/>
                    </w:rPr>
                    <w:t>I</w:t>
                  </w:r>
                </w:p>
              </w:tc>
              <w:tc>
                <w:tcPr>
                  <w:tcW w:w="650" w:type="dxa"/>
                  <w:vMerge w:val="continue"/>
                  <w:noWrap w:val="0"/>
                  <w:vAlign w:val="center"/>
                </w:tcPr>
                <w:p w14:paraId="4DE4689A">
                  <w:pPr>
                    <w:jc w:val="center"/>
                    <w:rPr>
                      <w:color w:val="0000FF"/>
                    </w:rPr>
                  </w:pPr>
                </w:p>
              </w:tc>
            </w:tr>
            <w:tr w14:paraId="190AF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30" w:type="dxa"/>
                  <w:noWrap w:val="0"/>
                  <w:vAlign w:val="center"/>
                </w:tcPr>
                <w:p w14:paraId="22F2EDBC">
                  <w:pPr>
                    <w:keepNext w:val="0"/>
                    <w:keepLines w:val="0"/>
                    <w:widowControl/>
                    <w:suppressLineNumbers w:val="0"/>
                    <w:jc w:val="both"/>
                    <w:textAlignment w:val="center"/>
                    <w:rPr>
                      <w:rFonts w:hint="eastAsia" w:ascii="宋体" w:hAnsi="宋体" w:eastAsia="宋体" w:cs="宋体"/>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空压机产生的油</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水混合物</w:t>
                  </w:r>
                </w:p>
              </w:tc>
              <w:tc>
                <w:tcPr>
                  <w:tcW w:w="1242" w:type="dxa"/>
                  <w:noWrap w:val="0"/>
                  <w:vAlign w:val="center"/>
                </w:tcPr>
                <w:p w14:paraId="1E2FCB34">
                  <w:pPr>
                    <w:keepNext w:val="0"/>
                    <w:keepLines w:val="0"/>
                    <w:widowControl/>
                    <w:suppressLineNumbers w:val="0"/>
                    <w:jc w:val="center"/>
                    <w:textAlignment w:val="center"/>
                    <w:rPr>
                      <w:color w:val="0000FF"/>
                    </w:rPr>
                  </w:pPr>
                  <w:r>
                    <w:rPr>
                      <w:rFonts w:hint="default" w:ascii="Times New Roman" w:hAnsi="Times New Roman" w:eastAsia="宋体" w:cs="Times New Roman"/>
                      <w:i w:val="0"/>
                      <w:iCs w:val="0"/>
                      <w:color w:val="0000FF"/>
                      <w:kern w:val="0"/>
                      <w:sz w:val="21"/>
                      <w:szCs w:val="21"/>
                      <w:u w:val="none"/>
                      <w:lang w:val="en-US" w:eastAsia="zh-CN" w:bidi="ar"/>
                    </w:rPr>
                    <w:t>HW09</w:t>
                  </w:r>
                  <w:r>
                    <w:rPr>
                      <w:rFonts w:hint="eastAsia" w:ascii="宋体" w:hAnsi="宋体" w:eastAsia="宋体" w:cs="宋体"/>
                      <w:i w:val="0"/>
                      <w:iCs w:val="0"/>
                      <w:color w:val="0000FF"/>
                      <w:kern w:val="0"/>
                      <w:sz w:val="21"/>
                      <w:szCs w:val="21"/>
                      <w:u w:val="none"/>
                      <w:lang w:val="en-US" w:eastAsia="zh-CN" w:bidi="ar"/>
                    </w:rPr>
                    <w:t>，</w:t>
                  </w:r>
                  <w:r>
                    <w:rPr>
                      <w:rFonts w:hint="default" w:ascii="Times New Roman" w:hAnsi="Times New Roman" w:eastAsia="宋体" w:cs="Times New Roman"/>
                      <w:i w:val="0"/>
                      <w:iCs w:val="0"/>
                      <w:color w:val="0000FF"/>
                      <w:kern w:val="0"/>
                      <w:sz w:val="21"/>
                      <w:szCs w:val="21"/>
                      <w:u w:val="none"/>
                      <w:lang w:val="en-US" w:eastAsia="zh-CN" w:bidi="ar"/>
                    </w:rPr>
                    <w:t>900-007-09</w:t>
                  </w:r>
                </w:p>
              </w:tc>
              <w:tc>
                <w:tcPr>
                  <w:tcW w:w="984" w:type="dxa"/>
                  <w:noWrap w:val="0"/>
                  <w:vAlign w:val="center"/>
                </w:tcPr>
                <w:p w14:paraId="1A242EC7">
                  <w:pPr>
                    <w:keepNext w:val="0"/>
                    <w:keepLines w:val="0"/>
                    <w:widowControl/>
                    <w:suppressLineNumbers w:val="0"/>
                    <w:jc w:val="center"/>
                    <w:textAlignment w:val="center"/>
                    <w:rPr>
                      <w:color w:val="0000FF"/>
                    </w:rPr>
                  </w:pPr>
                  <w:r>
                    <w:rPr>
                      <w:rFonts w:hint="default" w:ascii="Times New Roman" w:hAnsi="Times New Roman" w:eastAsia="宋体" w:cs="Times New Roman"/>
                      <w:i w:val="0"/>
                      <w:iCs w:val="0"/>
                      <w:color w:val="0000FF"/>
                      <w:kern w:val="0"/>
                      <w:sz w:val="21"/>
                      <w:szCs w:val="21"/>
                      <w:u w:val="none"/>
                      <w:lang w:val="en-US" w:eastAsia="zh-CN" w:bidi="ar"/>
                    </w:rPr>
                    <w:t>0.01</w:t>
                  </w:r>
                </w:p>
              </w:tc>
              <w:tc>
                <w:tcPr>
                  <w:tcW w:w="1451" w:type="dxa"/>
                  <w:noWrap w:val="0"/>
                  <w:vAlign w:val="center"/>
                </w:tcPr>
                <w:p w14:paraId="15367B57">
                  <w:pPr>
                    <w:keepNext w:val="0"/>
                    <w:keepLines w:val="0"/>
                    <w:widowControl/>
                    <w:suppressLineNumbers w:val="0"/>
                    <w:jc w:val="center"/>
                    <w:textAlignment w:val="center"/>
                    <w:rPr>
                      <w:color w:val="0000FF"/>
                    </w:rPr>
                  </w:pPr>
                  <w:r>
                    <w:rPr>
                      <w:rFonts w:hint="eastAsia" w:ascii="宋体" w:hAnsi="宋体" w:eastAsia="宋体" w:cs="宋体"/>
                      <w:i w:val="0"/>
                      <w:iCs w:val="0"/>
                      <w:color w:val="0000FF"/>
                      <w:kern w:val="0"/>
                      <w:sz w:val="21"/>
                      <w:szCs w:val="21"/>
                      <w:u w:val="none"/>
                      <w:lang w:val="en-US" w:eastAsia="zh-CN" w:bidi="ar"/>
                    </w:rPr>
                    <w:t>空压机</w:t>
                  </w:r>
                </w:p>
              </w:tc>
              <w:tc>
                <w:tcPr>
                  <w:tcW w:w="661" w:type="dxa"/>
                  <w:noWrap w:val="0"/>
                  <w:vAlign w:val="center"/>
                </w:tcPr>
                <w:p w14:paraId="16EAD1D7">
                  <w:pPr>
                    <w:keepNext w:val="0"/>
                    <w:keepLines w:val="0"/>
                    <w:widowControl/>
                    <w:suppressLineNumbers w:val="0"/>
                    <w:jc w:val="center"/>
                    <w:textAlignment w:val="center"/>
                    <w:rPr>
                      <w:color w:val="0000FF"/>
                    </w:rPr>
                  </w:pPr>
                  <w:r>
                    <w:rPr>
                      <w:rFonts w:hint="eastAsia" w:ascii="宋体" w:hAnsi="宋体" w:eastAsia="宋体" w:cs="宋体"/>
                      <w:i w:val="0"/>
                      <w:iCs w:val="0"/>
                      <w:color w:val="0000FF"/>
                      <w:kern w:val="0"/>
                      <w:sz w:val="21"/>
                      <w:szCs w:val="21"/>
                      <w:u w:val="none"/>
                      <w:lang w:val="en-US" w:eastAsia="zh-CN" w:bidi="ar"/>
                    </w:rPr>
                    <w:t>液态</w:t>
                  </w:r>
                </w:p>
              </w:tc>
              <w:tc>
                <w:tcPr>
                  <w:tcW w:w="855" w:type="dxa"/>
                  <w:noWrap w:val="0"/>
                  <w:vAlign w:val="center"/>
                </w:tcPr>
                <w:p w14:paraId="6AF3ACC8">
                  <w:pPr>
                    <w:keepNext w:val="0"/>
                    <w:keepLines w:val="0"/>
                    <w:widowControl/>
                    <w:suppressLineNumbers w:val="0"/>
                    <w:jc w:val="center"/>
                    <w:textAlignment w:val="center"/>
                    <w:rPr>
                      <w:color w:val="0000FF"/>
                    </w:rPr>
                  </w:pPr>
                  <w:r>
                    <w:rPr>
                      <w:rFonts w:hint="eastAsia" w:ascii="宋体" w:hAnsi="宋体" w:eastAsia="宋体" w:cs="宋体"/>
                      <w:i w:val="0"/>
                      <w:iCs w:val="0"/>
                      <w:color w:val="0000FF"/>
                      <w:kern w:val="0"/>
                      <w:sz w:val="21"/>
                      <w:szCs w:val="21"/>
                      <w:u w:val="none"/>
                      <w:lang w:val="en-US" w:eastAsia="zh-CN" w:bidi="ar"/>
                    </w:rPr>
                    <w:t>矿物油</w:t>
                  </w:r>
                </w:p>
              </w:tc>
              <w:tc>
                <w:tcPr>
                  <w:tcW w:w="662" w:type="dxa"/>
                  <w:noWrap w:val="0"/>
                  <w:vAlign w:val="center"/>
                </w:tcPr>
                <w:p w14:paraId="32C9888D">
                  <w:pPr>
                    <w:keepNext w:val="0"/>
                    <w:keepLines w:val="0"/>
                    <w:widowControl/>
                    <w:suppressLineNumbers w:val="0"/>
                    <w:jc w:val="center"/>
                    <w:textAlignment w:val="center"/>
                    <w:rPr>
                      <w:color w:val="0000FF"/>
                    </w:rPr>
                  </w:pPr>
                  <w:r>
                    <w:rPr>
                      <w:rFonts w:hint="eastAsia" w:ascii="宋体" w:hAnsi="宋体" w:eastAsia="宋体" w:cs="宋体"/>
                      <w:i w:val="0"/>
                      <w:iCs w:val="0"/>
                      <w:color w:val="0000FF"/>
                      <w:kern w:val="0"/>
                      <w:sz w:val="21"/>
                      <w:szCs w:val="21"/>
                      <w:u w:val="none"/>
                      <w:lang w:val="en-US" w:eastAsia="zh-CN" w:bidi="ar"/>
                    </w:rPr>
                    <w:t>间断</w:t>
                  </w:r>
                </w:p>
              </w:tc>
              <w:tc>
                <w:tcPr>
                  <w:tcW w:w="645" w:type="dxa"/>
                  <w:noWrap w:val="0"/>
                  <w:vAlign w:val="center"/>
                </w:tcPr>
                <w:p w14:paraId="023D3A4D">
                  <w:pPr>
                    <w:keepNext w:val="0"/>
                    <w:keepLines w:val="0"/>
                    <w:widowControl/>
                    <w:suppressLineNumbers w:val="0"/>
                    <w:jc w:val="center"/>
                    <w:textAlignment w:val="center"/>
                    <w:rPr>
                      <w:color w:val="0000FF"/>
                    </w:rPr>
                  </w:pPr>
                  <w:r>
                    <w:rPr>
                      <w:rFonts w:hint="default" w:ascii="Times New Roman" w:hAnsi="Times New Roman" w:eastAsia="宋体" w:cs="Times New Roman"/>
                      <w:i w:val="0"/>
                      <w:iCs w:val="0"/>
                      <w:color w:val="0000FF"/>
                      <w:kern w:val="0"/>
                      <w:sz w:val="21"/>
                      <w:szCs w:val="21"/>
                      <w:u w:val="none"/>
                      <w:lang w:val="en-US" w:eastAsia="zh-CN" w:bidi="ar"/>
                    </w:rPr>
                    <w:t>T</w:t>
                  </w:r>
                </w:p>
              </w:tc>
              <w:tc>
                <w:tcPr>
                  <w:tcW w:w="650" w:type="dxa"/>
                  <w:vMerge w:val="continue"/>
                  <w:noWrap w:val="0"/>
                  <w:vAlign w:val="center"/>
                </w:tcPr>
                <w:p w14:paraId="142A5668">
                  <w:pPr>
                    <w:jc w:val="center"/>
                    <w:rPr>
                      <w:color w:val="0000FF"/>
                    </w:rPr>
                  </w:pPr>
                </w:p>
              </w:tc>
            </w:tr>
            <w:tr w14:paraId="40761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30" w:type="dxa"/>
                  <w:noWrap w:val="0"/>
                  <w:vAlign w:val="center"/>
                </w:tcPr>
                <w:p w14:paraId="1517E246">
                  <w:pPr>
                    <w:keepNext w:val="0"/>
                    <w:keepLines w:val="0"/>
                    <w:widowControl/>
                    <w:suppressLineNumbers w:val="0"/>
                    <w:jc w:val="both"/>
                    <w:textAlignment w:val="center"/>
                    <w:rPr>
                      <w:rFonts w:hint="eastAsia" w:ascii="宋体" w:hAnsi="宋体" w:eastAsia="宋体" w:cs="宋体"/>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废空压机油</w:t>
                  </w:r>
                </w:p>
              </w:tc>
              <w:tc>
                <w:tcPr>
                  <w:tcW w:w="1242" w:type="dxa"/>
                  <w:noWrap w:val="0"/>
                  <w:vAlign w:val="center"/>
                </w:tcPr>
                <w:p w14:paraId="2F4B4712">
                  <w:pPr>
                    <w:keepNext w:val="0"/>
                    <w:keepLines w:val="0"/>
                    <w:widowControl/>
                    <w:suppressLineNumbers w:val="0"/>
                    <w:jc w:val="center"/>
                    <w:textAlignment w:val="center"/>
                    <w:rPr>
                      <w:color w:val="0000FF"/>
                    </w:rPr>
                  </w:pPr>
                  <w:r>
                    <w:rPr>
                      <w:rFonts w:hint="default" w:ascii="Times New Roman" w:hAnsi="Times New Roman" w:eastAsia="宋体" w:cs="Times New Roman"/>
                      <w:i w:val="0"/>
                      <w:iCs w:val="0"/>
                      <w:color w:val="0000FF"/>
                      <w:kern w:val="0"/>
                      <w:sz w:val="21"/>
                      <w:szCs w:val="21"/>
                      <w:u w:val="none"/>
                      <w:lang w:val="en-US" w:eastAsia="zh-CN" w:bidi="ar"/>
                    </w:rPr>
                    <w:t>HW08，900-214-08</w:t>
                  </w:r>
                </w:p>
              </w:tc>
              <w:tc>
                <w:tcPr>
                  <w:tcW w:w="984" w:type="dxa"/>
                  <w:noWrap w:val="0"/>
                  <w:vAlign w:val="center"/>
                </w:tcPr>
                <w:p w14:paraId="02916190">
                  <w:pPr>
                    <w:keepNext w:val="0"/>
                    <w:keepLines w:val="0"/>
                    <w:widowControl/>
                    <w:suppressLineNumbers w:val="0"/>
                    <w:jc w:val="center"/>
                    <w:textAlignment w:val="center"/>
                    <w:rPr>
                      <w:color w:val="0000FF"/>
                    </w:rPr>
                  </w:pPr>
                  <w:r>
                    <w:rPr>
                      <w:rFonts w:hint="default" w:ascii="Times New Roman" w:hAnsi="Times New Roman" w:eastAsia="宋体" w:cs="Times New Roman"/>
                      <w:i w:val="0"/>
                      <w:iCs w:val="0"/>
                      <w:color w:val="0000FF"/>
                      <w:kern w:val="0"/>
                      <w:sz w:val="21"/>
                      <w:szCs w:val="21"/>
                      <w:u w:val="none"/>
                      <w:lang w:val="en-US" w:eastAsia="zh-CN" w:bidi="ar"/>
                    </w:rPr>
                    <w:t>0.002</w:t>
                  </w:r>
                </w:p>
              </w:tc>
              <w:tc>
                <w:tcPr>
                  <w:tcW w:w="1451" w:type="dxa"/>
                  <w:noWrap w:val="0"/>
                  <w:vAlign w:val="center"/>
                </w:tcPr>
                <w:p w14:paraId="3DC6B075">
                  <w:pPr>
                    <w:keepNext w:val="0"/>
                    <w:keepLines w:val="0"/>
                    <w:widowControl/>
                    <w:suppressLineNumbers w:val="0"/>
                    <w:jc w:val="center"/>
                    <w:textAlignment w:val="center"/>
                    <w:rPr>
                      <w:color w:val="0000FF"/>
                    </w:rPr>
                  </w:pPr>
                  <w:r>
                    <w:rPr>
                      <w:rFonts w:hint="eastAsia" w:ascii="宋体" w:hAnsi="宋体" w:eastAsia="宋体" w:cs="宋体"/>
                      <w:i w:val="0"/>
                      <w:iCs w:val="0"/>
                      <w:color w:val="0000FF"/>
                      <w:kern w:val="0"/>
                      <w:sz w:val="21"/>
                      <w:szCs w:val="21"/>
                      <w:u w:val="none"/>
                      <w:lang w:val="en-US" w:eastAsia="zh-CN" w:bidi="ar"/>
                    </w:rPr>
                    <w:t>空压机</w:t>
                  </w:r>
                </w:p>
              </w:tc>
              <w:tc>
                <w:tcPr>
                  <w:tcW w:w="661" w:type="dxa"/>
                  <w:noWrap w:val="0"/>
                  <w:vAlign w:val="center"/>
                </w:tcPr>
                <w:p w14:paraId="67376728">
                  <w:pPr>
                    <w:keepNext w:val="0"/>
                    <w:keepLines w:val="0"/>
                    <w:widowControl/>
                    <w:suppressLineNumbers w:val="0"/>
                    <w:jc w:val="center"/>
                    <w:textAlignment w:val="center"/>
                    <w:rPr>
                      <w:color w:val="0000FF"/>
                    </w:rPr>
                  </w:pPr>
                  <w:r>
                    <w:rPr>
                      <w:rFonts w:hint="eastAsia" w:ascii="宋体" w:hAnsi="宋体" w:eastAsia="宋体" w:cs="宋体"/>
                      <w:i w:val="0"/>
                      <w:iCs w:val="0"/>
                      <w:color w:val="0000FF"/>
                      <w:kern w:val="0"/>
                      <w:sz w:val="21"/>
                      <w:szCs w:val="21"/>
                      <w:u w:val="none"/>
                      <w:lang w:val="en-US" w:eastAsia="zh-CN" w:bidi="ar"/>
                    </w:rPr>
                    <w:t>液态</w:t>
                  </w:r>
                </w:p>
              </w:tc>
              <w:tc>
                <w:tcPr>
                  <w:tcW w:w="855" w:type="dxa"/>
                  <w:noWrap w:val="0"/>
                  <w:vAlign w:val="center"/>
                </w:tcPr>
                <w:p w14:paraId="3FEE963B">
                  <w:pPr>
                    <w:keepNext w:val="0"/>
                    <w:keepLines w:val="0"/>
                    <w:widowControl/>
                    <w:suppressLineNumbers w:val="0"/>
                    <w:jc w:val="center"/>
                    <w:textAlignment w:val="center"/>
                    <w:rPr>
                      <w:color w:val="0000FF"/>
                    </w:rPr>
                  </w:pPr>
                  <w:r>
                    <w:rPr>
                      <w:rFonts w:hint="eastAsia" w:ascii="宋体" w:hAnsi="宋体" w:eastAsia="宋体" w:cs="宋体"/>
                      <w:i w:val="0"/>
                      <w:iCs w:val="0"/>
                      <w:color w:val="0000FF"/>
                      <w:kern w:val="0"/>
                      <w:sz w:val="21"/>
                      <w:szCs w:val="21"/>
                      <w:u w:val="none"/>
                      <w:lang w:val="en-US" w:eastAsia="zh-CN" w:bidi="ar"/>
                    </w:rPr>
                    <w:t>矿物油</w:t>
                  </w:r>
                </w:p>
              </w:tc>
              <w:tc>
                <w:tcPr>
                  <w:tcW w:w="662" w:type="dxa"/>
                  <w:noWrap w:val="0"/>
                  <w:vAlign w:val="center"/>
                </w:tcPr>
                <w:p w14:paraId="4B1075A1">
                  <w:pPr>
                    <w:keepNext w:val="0"/>
                    <w:keepLines w:val="0"/>
                    <w:widowControl/>
                    <w:suppressLineNumbers w:val="0"/>
                    <w:jc w:val="center"/>
                    <w:textAlignment w:val="center"/>
                    <w:rPr>
                      <w:color w:val="0000FF"/>
                    </w:rPr>
                  </w:pPr>
                  <w:r>
                    <w:rPr>
                      <w:rFonts w:hint="eastAsia" w:ascii="宋体" w:hAnsi="宋体" w:eastAsia="宋体" w:cs="宋体"/>
                      <w:i w:val="0"/>
                      <w:iCs w:val="0"/>
                      <w:color w:val="0000FF"/>
                      <w:kern w:val="0"/>
                      <w:sz w:val="21"/>
                      <w:szCs w:val="21"/>
                      <w:u w:val="none"/>
                      <w:lang w:val="en-US" w:eastAsia="zh-CN" w:bidi="ar"/>
                    </w:rPr>
                    <w:t>间断</w:t>
                  </w:r>
                </w:p>
              </w:tc>
              <w:tc>
                <w:tcPr>
                  <w:tcW w:w="645" w:type="dxa"/>
                  <w:noWrap w:val="0"/>
                  <w:vAlign w:val="center"/>
                </w:tcPr>
                <w:p w14:paraId="44F103F1">
                  <w:pPr>
                    <w:keepNext w:val="0"/>
                    <w:keepLines w:val="0"/>
                    <w:widowControl/>
                    <w:suppressLineNumbers w:val="0"/>
                    <w:jc w:val="center"/>
                    <w:textAlignment w:val="center"/>
                    <w:rPr>
                      <w:color w:val="0000FF"/>
                    </w:rPr>
                  </w:pPr>
                  <w:r>
                    <w:rPr>
                      <w:rFonts w:hint="default" w:ascii="Times New Roman" w:hAnsi="Times New Roman" w:eastAsia="宋体" w:cs="Times New Roman"/>
                      <w:i w:val="0"/>
                      <w:iCs w:val="0"/>
                      <w:color w:val="0000FF"/>
                      <w:kern w:val="0"/>
                      <w:sz w:val="21"/>
                      <w:szCs w:val="21"/>
                      <w:u w:val="none"/>
                      <w:lang w:val="en-US" w:eastAsia="zh-CN" w:bidi="ar"/>
                    </w:rPr>
                    <w:t>T</w:t>
                  </w:r>
                </w:p>
              </w:tc>
              <w:tc>
                <w:tcPr>
                  <w:tcW w:w="650" w:type="dxa"/>
                  <w:vMerge w:val="continue"/>
                  <w:noWrap w:val="0"/>
                  <w:vAlign w:val="center"/>
                </w:tcPr>
                <w:p w14:paraId="09BEC761">
                  <w:pPr>
                    <w:jc w:val="center"/>
                    <w:rPr>
                      <w:color w:val="0000FF"/>
                    </w:rPr>
                  </w:pPr>
                </w:p>
              </w:tc>
            </w:tr>
            <w:tr w14:paraId="1A9C2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80" w:type="dxa"/>
                  <w:gridSpan w:val="9"/>
                  <w:noWrap w:val="0"/>
                  <w:vAlign w:val="center"/>
                </w:tcPr>
                <w:p w14:paraId="79450312">
                  <w:pPr>
                    <w:keepNext w:val="0"/>
                    <w:keepLines w:val="0"/>
                    <w:widowControl/>
                    <w:suppressLineNumbers w:val="0"/>
                    <w:jc w:val="both"/>
                    <w:textAlignment w:val="center"/>
                    <w:rPr>
                      <w:rFonts w:hint="eastAsia" w:ascii="宋体" w:hAnsi="宋体" w:eastAsia="宋体" w:cs="宋体"/>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注：</w:t>
                  </w:r>
                  <w:r>
                    <w:rPr>
                      <w:rFonts w:hint="default" w:ascii="Times New Roman" w:hAnsi="Times New Roman" w:eastAsia="宋体" w:cs="Times New Roman"/>
                      <w:i w:val="0"/>
                      <w:iCs w:val="0"/>
                      <w:color w:val="0000FF"/>
                      <w:kern w:val="0"/>
                      <w:sz w:val="21"/>
                      <w:szCs w:val="21"/>
                      <w:u w:val="none"/>
                      <w:lang w:val="en-US" w:eastAsia="zh-CN" w:bidi="ar"/>
                    </w:rPr>
                    <w:t>*T</w:t>
                  </w:r>
                  <w:r>
                    <w:rPr>
                      <w:rFonts w:hint="eastAsia" w:ascii="宋体" w:hAnsi="宋体" w:eastAsia="宋体" w:cs="宋体"/>
                      <w:i w:val="0"/>
                      <w:iCs w:val="0"/>
                      <w:color w:val="0000FF"/>
                      <w:kern w:val="0"/>
                      <w:sz w:val="21"/>
                      <w:szCs w:val="21"/>
                      <w:u w:val="none"/>
                      <w:lang w:val="en-US" w:eastAsia="zh-CN" w:bidi="ar"/>
                    </w:rPr>
                    <w:t>为毒性，</w:t>
                  </w:r>
                  <w:r>
                    <w:rPr>
                      <w:rFonts w:hint="default" w:ascii="Times New Roman" w:hAnsi="Times New Roman" w:eastAsia="宋体" w:cs="Times New Roman"/>
                      <w:i w:val="0"/>
                      <w:iCs w:val="0"/>
                      <w:color w:val="0000FF"/>
                      <w:kern w:val="0"/>
                      <w:sz w:val="21"/>
                      <w:szCs w:val="21"/>
                      <w:u w:val="none"/>
                      <w:lang w:val="en-US" w:eastAsia="zh-CN" w:bidi="ar"/>
                    </w:rPr>
                    <w:t>I</w:t>
                  </w:r>
                  <w:r>
                    <w:rPr>
                      <w:rFonts w:hint="eastAsia" w:ascii="宋体" w:hAnsi="宋体" w:eastAsia="宋体" w:cs="宋体"/>
                      <w:i w:val="0"/>
                      <w:iCs w:val="0"/>
                      <w:color w:val="0000FF"/>
                      <w:kern w:val="0"/>
                      <w:sz w:val="21"/>
                      <w:szCs w:val="21"/>
                      <w:u w:val="none"/>
                      <w:lang w:val="en-US" w:eastAsia="zh-CN" w:bidi="ar"/>
                    </w:rPr>
                    <w:t>为易燃性。</w:t>
                  </w:r>
                </w:p>
              </w:tc>
            </w:tr>
          </w:tbl>
          <w:p w14:paraId="48273AAE">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4.</w:t>
            </w:r>
            <w:r>
              <w:rPr>
                <w:rFonts w:hint="default" w:ascii="Times New Roman" w:hAnsi="Times New Roman" w:cs="Times New Roman"/>
                <w:b/>
                <w:bCs/>
                <w:color w:val="auto"/>
                <w:sz w:val="24"/>
                <w:lang w:val="en-US" w:eastAsia="zh-CN"/>
              </w:rPr>
              <w:t>2.4</w:t>
            </w:r>
            <w:r>
              <w:rPr>
                <w:rFonts w:hint="default" w:ascii="Times New Roman" w:hAnsi="Times New Roman" w:cs="Times New Roman"/>
                <w:b/>
                <w:bCs/>
                <w:color w:val="auto"/>
                <w:sz w:val="24"/>
              </w:rPr>
              <w:t>.2固体废物环境影响分析</w:t>
            </w:r>
          </w:p>
          <w:p w14:paraId="66C1523C">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cs="Times New Roman"/>
                <w:color w:val="auto"/>
                <w:sz w:val="24"/>
              </w:rPr>
            </w:pPr>
            <w:r>
              <w:rPr>
                <w:rFonts w:hint="default" w:ascii="Times New Roman" w:hAnsi="Times New Roman" w:cs="Times New Roman"/>
                <w:color w:val="auto"/>
                <w:sz w:val="24"/>
              </w:rPr>
              <w:t>项目营运期固体废物分为一般工业固体废物、危险废物。</w:t>
            </w:r>
          </w:p>
          <w:p w14:paraId="33B7DA92">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cs="Times New Roman"/>
                <w:color w:val="0000FF"/>
                <w:sz w:val="24"/>
              </w:rPr>
            </w:pPr>
            <w:r>
              <w:rPr>
                <w:rFonts w:hint="default" w:ascii="Times New Roman" w:hAnsi="Times New Roman" w:cs="Times New Roman"/>
                <w:color w:val="0000FF"/>
                <w:sz w:val="24"/>
              </w:rPr>
              <w:t>一般工业固废包括</w:t>
            </w:r>
            <w:r>
              <w:rPr>
                <w:rFonts w:hint="default" w:ascii="Times New Roman" w:hAnsi="Times New Roman" w:cs="Times New Roman"/>
                <w:color w:val="0000FF"/>
                <w:sz w:val="24"/>
                <w:lang w:val="en-US" w:eastAsia="zh-CN"/>
              </w:rPr>
              <w:t>废包装材料、边角料、不合格品、印刷不合格品，废包装材料、</w:t>
            </w:r>
            <w:r>
              <w:rPr>
                <w:rFonts w:hint="eastAsia" w:cs="Times New Roman"/>
                <w:color w:val="0000FF"/>
                <w:sz w:val="24"/>
                <w:lang w:val="en-US" w:eastAsia="zh-CN"/>
              </w:rPr>
              <w:t>金属边角料</w:t>
            </w:r>
            <w:r>
              <w:rPr>
                <w:rFonts w:hint="default" w:ascii="Times New Roman" w:hAnsi="Times New Roman" w:cs="Times New Roman"/>
                <w:color w:val="0000FF"/>
                <w:sz w:val="24"/>
                <w:lang w:val="en-US" w:eastAsia="zh-CN"/>
              </w:rPr>
              <w:t>等定期外售给废旧物资回收公司</w:t>
            </w:r>
            <w:r>
              <w:rPr>
                <w:rFonts w:hint="default" w:ascii="Times New Roman" w:hAnsi="Times New Roman" w:cs="Times New Roman"/>
                <w:color w:val="0000FF"/>
                <w:sz w:val="24"/>
              </w:rPr>
              <w:t>。危险废物主要是废含油棉纱手套、废包装桶、</w:t>
            </w:r>
            <w:r>
              <w:rPr>
                <w:rFonts w:hint="default" w:ascii="Times New Roman" w:hAnsi="Times New Roman" w:cs="Times New Roman"/>
                <w:color w:val="0000FF"/>
                <w:sz w:val="24"/>
                <w:lang w:eastAsia="zh-CN"/>
              </w:rPr>
              <w:t>废活性炭</w:t>
            </w:r>
            <w:r>
              <w:rPr>
                <w:rFonts w:hint="default" w:ascii="Times New Roman" w:hAnsi="Times New Roman" w:cs="Times New Roman"/>
                <w:color w:val="0000FF"/>
                <w:sz w:val="24"/>
              </w:rPr>
              <w:t>、</w:t>
            </w:r>
            <w:r>
              <w:rPr>
                <w:rFonts w:hint="default" w:ascii="Times New Roman" w:hAnsi="Times New Roman" w:cs="Times New Roman"/>
                <w:color w:val="0000FF"/>
                <w:sz w:val="24"/>
                <w:lang w:eastAsia="zh-CN"/>
              </w:rPr>
              <w:t>废润滑油</w:t>
            </w:r>
            <w:r>
              <w:rPr>
                <w:rFonts w:hint="default" w:ascii="Times New Roman" w:hAnsi="Times New Roman" w:cs="Times New Roman"/>
                <w:color w:val="0000FF"/>
                <w:sz w:val="24"/>
                <w:lang w:val="en-US" w:eastAsia="zh-CN"/>
              </w:rPr>
              <w:t>等</w:t>
            </w:r>
            <w:r>
              <w:rPr>
                <w:rFonts w:hint="default" w:ascii="Times New Roman" w:hAnsi="Times New Roman" w:cs="Times New Roman"/>
                <w:color w:val="0000FF"/>
                <w:sz w:val="24"/>
              </w:rPr>
              <w:t>，统一收集在</w:t>
            </w:r>
            <w:r>
              <w:rPr>
                <w:rFonts w:hint="default" w:ascii="Times New Roman" w:hAnsi="Times New Roman" w:cs="Times New Roman"/>
                <w:color w:val="0000FF"/>
                <w:sz w:val="24"/>
                <w:lang w:eastAsia="zh-CN"/>
              </w:rPr>
              <w:t>危险废物贮存库</w:t>
            </w:r>
            <w:r>
              <w:rPr>
                <w:rFonts w:hint="default" w:ascii="Times New Roman" w:hAnsi="Times New Roman" w:cs="Times New Roman"/>
                <w:color w:val="0000FF"/>
                <w:sz w:val="24"/>
              </w:rPr>
              <w:t>，分类收集，</w:t>
            </w:r>
            <w:r>
              <w:rPr>
                <w:rFonts w:hint="default" w:ascii="Times New Roman" w:hAnsi="Times New Roman" w:cs="Times New Roman"/>
                <w:color w:val="0000FF"/>
                <w:sz w:val="24"/>
                <w:lang w:eastAsia="zh-CN"/>
              </w:rPr>
              <w:t>定期委托有危险废物经营资质的单位处置</w:t>
            </w:r>
            <w:r>
              <w:rPr>
                <w:rFonts w:hint="default" w:ascii="Times New Roman" w:hAnsi="Times New Roman" w:cs="Times New Roman"/>
                <w:color w:val="0000FF"/>
                <w:sz w:val="24"/>
              </w:rPr>
              <w:t>。</w:t>
            </w:r>
          </w:p>
          <w:p w14:paraId="1D64A40B">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cs="Times New Roman"/>
                <w:color w:val="auto"/>
                <w:sz w:val="24"/>
              </w:rPr>
            </w:pPr>
            <w:r>
              <w:rPr>
                <w:rFonts w:hint="default" w:ascii="Times New Roman" w:hAnsi="Times New Roman" w:cs="Times New Roman"/>
                <w:color w:val="auto"/>
                <w:sz w:val="24"/>
              </w:rPr>
              <w:t>（1）环境影响分析</w:t>
            </w:r>
          </w:p>
          <w:p w14:paraId="31D53695">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cs="Times New Roman"/>
                <w:color w:val="auto"/>
                <w:sz w:val="24"/>
              </w:rPr>
            </w:pPr>
            <w:r>
              <w:rPr>
                <w:rFonts w:hint="default" w:ascii="Times New Roman" w:hAnsi="Times New Roman" w:cs="Times New Roman"/>
                <w:color w:val="auto"/>
                <w:sz w:val="24"/>
              </w:rPr>
              <w:t>①危险废物</w:t>
            </w:r>
          </w:p>
          <w:p w14:paraId="40FA2F2F">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cs="Times New Roman"/>
                <w:color w:val="auto"/>
                <w:sz w:val="24"/>
              </w:rPr>
            </w:pPr>
            <w:r>
              <w:rPr>
                <w:rFonts w:hint="default" w:ascii="Times New Roman" w:hAnsi="Times New Roman" w:cs="Times New Roman"/>
                <w:color w:val="auto"/>
                <w:sz w:val="24"/>
              </w:rPr>
              <w:t>根据《国家危险废物名录》（202</w:t>
            </w:r>
            <w:r>
              <w:rPr>
                <w:rFonts w:hint="default" w:ascii="Times New Roman" w:hAnsi="Times New Roman" w:cs="Times New Roman"/>
                <w:color w:val="auto"/>
                <w:sz w:val="24"/>
                <w:lang w:val="en-US" w:eastAsia="zh-CN"/>
              </w:rPr>
              <w:t>5</w:t>
            </w:r>
            <w:r>
              <w:rPr>
                <w:rFonts w:hint="default" w:ascii="Times New Roman" w:hAnsi="Times New Roman" w:cs="Times New Roman"/>
                <w:color w:val="auto"/>
                <w:sz w:val="24"/>
              </w:rPr>
              <w:t>年版），项目营运期产生的危险废物，均暂存在</w:t>
            </w:r>
            <w:r>
              <w:rPr>
                <w:rFonts w:hint="default" w:ascii="Times New Roman" w:hAnsi="Times New Roman" w:cs="Times New Roman"/>
                <w:color w:val="auto"/>
                <w:sz w:val="24"/>
                <w:lang w:eastAsia="zh-CN"/>
              </w:rPr>
              <w:t>危险废物贮存库</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定期委托有危险废物经营资质的单位处置</w:t>
            </w:r>
            <w:r>
              <w:rPr>
                <w:rFonts w:hint="default" w:ascii="Times New Roman" w:hAnsi="Times New Roman" w:cs="Times New Roman"/>
                <w:color w:val="auto"/>
                <w:sz w:val="24"/>
              </w:rPr>
              <w:t>。</w:t>
            </w:r>
          </w:p>
          <w:p w14:paraId="25B79663">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cs="Times New Roman"/>
                <w:color w:val="auto"/>
                <w:sz w:val="24"/>
              </w:rPr>
            </w:pPr>
            <w:r>
              <w:rPr>
                <w:rFonts w:hint="default" w:ascii="Times New Roman" w:hAnsi="Times New Roman" w:cs="Times New Roman"/>
                <w:color w:val="auto"/>
                <w:sz w:val="24"/>
              </w:rPr>
              <w:t>企业在1F</w:t>
            </w:r>
            <w:r>
              <w:rPr>
                <w:rFonts w:hint="default" w:ascii="Times New Roman" w:hAnsi="Times New Roman" w:cs="Times New Roman"/>
                <w:color w:val="auto"/>
                <w:sz w:val="24"/>
                <w:lang w:val="en-US" w:eastAsia="zh-CN"/>
              </w:rPr>
              <w:t>西</w:t>
            </w:r>
            <w:r>
              <w:rPr>
                <w:rFonts w:hint="default" w:ascii="Times New Roman" w:hAnsi="Times New Roman" w:cs="Times New Roman"/>
                <w:color w:val="auto"/>
                <w:sz w:val="24"/>
              </w:rPr>
              <w:t>侧设置一间</w:t>
            </w:r>
            <w:r>
              <w:rPr>
                <w:rFonts w:hint="default" w:ascii="Times New Roman" w:hAnsi="Times New Roman" w:cs="Times New Roman"/>
                <w:color w:val="auto"/>
                <w:sz w:val="24"/>
                <w:lang w:eastAsia="zh-CN"/>
              </w:rPr>
              <w:t>危险废物贮存库</w:t>
            </w:r>
            <w:r>
              <w:rPr>
                <w:rFonts w:hint="default" w:ascii="Times New Roman" w:hAnsi="Times New Roman" w:cs="Times New Roman"/>
                <w:color w:val="auto"/>
                <w:sz w:val="24"/>
              </w:rPr>
              <w:t>，面积约</w:t>
            </w:r>
            <w:r>
              <w:rPr>
                <w:rFonts w:hint="default" w:ascii="Times New Roman" w:hAnsi="Times New Roman" w:cs="Times New Roman"/>
                <w:color w:val="auto"/>
                <w:sz w:val="24"/>
                <w:lang w:val="en-US" w:eastAsia="zh-CN"/>
              </w:rPr>
              <w:t>30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。项目产生的危险废物分类收集，</w:t>
            </w:r>
            <w:r>
              <w:rPr>
                <w:rFonts w:hint="default" w:ascii="Times New Roman" w:hAnsi="Times New Roman" w:cs="Times New Roman"/>
                <w:color w:val="auto"/>
                <w:sz w:val="24"/>
                <w:lang w:eastAsia="zh-CN"/>
              </w:rPr>
              <w:t>定期委托有危险废物经营资质的单位处置</w:t>
            </w:r>
            <w:r>
              <w:rPr>
                <w:rFonts w:hint="default" w:ascii="Times New Roman" w:hAnsi="Times New Roman" w:cs="Times New Roman"/>
                <w:color w:val="auto"/>
                <w:sz w:val="24"/>
              </w:rPr>
              <w:t>。</w:t>
            </w:r>
          </w:p>
          <w:p w14:paraId="1E143882">
            <w:pPr>
              <w:keepNext w:val="0"/>
              <w:keepLines w:val="0"/>
              <w:pageBreakBefore w:val="0"/>
              <w:widowControl w:val="0"/>
              <w:kinsoku/>
              <w:wordWrap/>
              <w:overflowPunct/>
              <w:topLinePunct w:val="0"/>
              <w:autoSpaceDE/>
              <w:autoSpaceDN/>
              <w:bidi w:val="0"/>
              <w:adjustRightInd/>
              <w:snapToGrid/>
              <w:contextualSpacing/>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表4.2-</w:t>
            </w:r>
            <w:r>
              <w:rPr>
                <w:rFonts w:hint="default" w:ascii="Times New Roman" w:hAnsi="Times New Roman" w:eastAsia="宋体" w:cs="Times New Roman"/>
                <w:b/>
                <w:bCs/>
                <w:color w:val="auto"/>
                <w:sz w:val="24"/>
                <w:lang w:val="en-US" w:eastAsia="zh-CN"/>
              </w:rPr>
              <w:t>2</w:t>
            </w:r>
            <w:r>
              <w:rPr>
                <w:rFonts w:hint="eastAsia" w:ascii="Times New Roman" w:hAnsi="Times New Roman" w:eastAsia="宋体" w:cs="Times New Roman"/>
                <w:b/>
                <w:bCs/>
                <w:color w:val="auto"/>
                <w:sz w:val="24"/>
                <w:lang w:val="en-US" w:eastAsia="zh-CN"/>
              </w:rPr>
              <w:t>5</w:t>
            </w:r>
            <w:r>
              <w:rPr>
                <w:rFonts w:hint="default" w:ascii="Times New Roman" w:hAnsi="Times New Roman" w:eastAsia="宋体" w:cs="Times New Roman"/>
                <w:b/>
                <w:bCs/>
                <w:color w:val="auto"/>
                <w:sz w:val="24"/>
              </w:rPr>
              <w:t xml:space="preserve">  危险废物贮存场所（设施）基本情况表</w:t>
            </w:r>
          </w:p>
          <w:tbl>
            <w:tblPr>
              <w:tblStyle w:val="35"/>
              <w:tblW w:w="8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1742"/>
              <w:gridCol w:w="935"/>
              <w:gridCol w:w="1371"/>
              <w:gridCol w:w="484"/>
              <w:gridCol w:w="756"/>
              <w:gridCol w:w="678"/>
              <w:gridCol w:w="645"/>
              <w:gridCol w:w="675"/>
            </w:tblGrid>
            <w:tr w14:paraId="2ECCF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47" w:type="dxa"/>
                  <w:noWrap w:val="0"/>
                  <w:vAlign w:val="center"/>
                </w:tcPr>
                <w:p w14:paraId="7D2062F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FF"/>
                      <w:sz w:val="21"/>
                      <w:szCs w:val="21"/>
                      <w:u w:val="none"/>
                    </w:rPr>
                  </w:pPr>
                  <w:r>
                    <w:rPr>
                      <w:rFonts w:hint="default" w:ascii="Times New Roman" w:hAnsi="Times New Roman" w:eastAsia="宋体" w:cs="Times New Roman"/>
                      <w:b/>
                      <w:bCs/>
                      <w:i w:val="0"/>
                      <w:iCs w:val="0"/>
                      <w:color w:val="0000FF"/>
                      <w:kern w:val="0"/>
                      <w:sz w:val="21"/>
                      <w:szCs w:val="21"/>
                      <w:u w:val="none"/>
                      <w:lang w:val="en-US" w:eastAsia="zh-CN" w:bidi="ar"/>
                    </w:rPr>
                    <w:t>贮存场所（设施）名称</w:t>
                  </w:r>
                </w:p>
              </w:tc>
              <w:tc>
                <w:tcPr>
                  <w:tcW w:w="1742" w:type="dxa"/>
                  <w:noWrap w:val="0"/>
                  <w:vAlign w:val="center"/>
                </w:tcPr>
                <w:p w14:paraId="446AD6A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FF"/>
                      <w:sz w:val="21"/>
                      <w:szCs w:val="21"/>
                      <w:u w:val="none"/>
                    </w:rPr>
                  </w:pPr>
                  <w:r>
                    <w:rPr>
                      <w:rFonts w:hint="default" w:ascii="Times New Roman" w:hAnsi="Times New Roman" w:eastAsia="宋体" w:cs="Times New Roman"/>
                      <w:b/>
                      <w:bCs/>
                      <w:i w:val="0"/>
                      <w:iCs w:val="0"/>
                      <w:color w:val="0000FF"/>
                      <w:kern w:val="0"/>
                      <w:sz w:val="21"/>
                      <w:szCs w:val="21"/>
                      <w:u w:val="none"/>
                      <w:lang w:val="en-US" w:eastAsia="zh-CN" w:bidi="ar"/>
                    </w:rPr>
                    <w:t>危险废物名称</w:t>
                  </w:r>
                </w:p>
              </w:tc>
              <w:tc>
                <w:tcPr>
                  <w:tcW w:w="935" w:type="dxa"/>
                  <w:noWrap w:val="0"/>
                  <w:vAlign w:val="center"/>
                </w:tcPr>
                <w:p w14:paraId="6785103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FF"/>
                      <w:sz w:val="21"/>
                      <w:szCs w:val="21"/>
                      <w:u w:val="none"/>
                    </w:rPr>
                  </w:pPr>
                  <w:r>
                    <w:rPr>
                      <w:rFonts w:hint="default" w:ascii="Times New Roman" w:hAnsi="Times New Roman" w:eastAsia="宋体" w:cs="Times New Roman"/>
                      <w:b/>
                      <w:bCs/>
                      <w:i w:val="0"/>
                      <w:iCs w:val="0"/>
                      <w:color w:val="0000FF"/>
                      <w:kern w:val="0"/>
                      <w:sz w:val="21"/>
                      <w:szCs w:val="21"/>
                      <w:u w:val="none"/>
                      <w:lang w:val="en-US" w:eastAsia="zh-CN" w:bidi="ar"/>
                    </w:rPr>
                    <w:t>危险废物类别</w:t>
                  </w:r>
                </w:p>
              </w:tc>
              <w:tc>
                <w:tcPr>
                  <w:tcW w:w="1371" w:type="dxa"/>
                  <w:noWrap w:val="0"/>
                  <w:vAlign w:val="center"/>
                </w:tcPr>
                <w:p w14:paraId="17BA4B4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FF"/>
                      <w:sz w:val="21"/>
                      <w:szCs w:val="21"/>
                      <w:u w:val="none"/>
                    </w:rPr>
                  </w:pPr>
                  <w:r>
                    <w:rPr>
                      <w:rFonts w:hint="default" w:ascii="Times New Roman" w:hAnsi="Times New Roman" w:eastAsia="宋体" w:cs="Times New Roman"/>
                      <w:b/>
                      <w:bCs/>
                      <w:i w:val="0"/>
                      <w:iCs w:val="0"/>
                      <w:color w:val="0000FF"/>
                      <w:kern w:val="0"/>
                      <w:sz w:val="21"/>
                      <w:szCs w:val="21"/>
                      <w:u w:val="none"/>
                      <w:lang w:val="en-US" w:eastAsia="zh-CN" w:bidi="ar"/>
                    </w:rPr>
                    <w:t>危险废物代码</w:t>
                  </w:r>
                </w:p>
              </w:tc>
              <w:tc>
                <w:tcPr>
                  <w:tcW w:w="484" w:type="dxa"/>
                  <w:noWrap w:val="0"/>
                  <w:vAlign w:val="center"/>
                </w:tcPr>
                <w:p w14:paraId="66224BD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FF"/>
                      <w:sz w:val="21"/>
                      <w:szCs w:val="21"/>
                      <w:u w:val="none"/>
                    </w:rPr>
                  </w:pPr>
                  <w:r>
                    <w:rPr>
                      <w:rFonts w:hint="default" w:ascii="Times New Roman" w:hAnsi="Times New Roman" w:eastAsia="宋体" w:cs="Times New Roman"/>
                      <w:b/>
                      <w:bCs/>
                      <w:i w:val="0"/>
                      <w:iCs w:val="0"/>
                      <w:color w:val="0000FF"/>
                      <w:kern w:val="0"/>
                      <w:sz w:val="21"/>
                      <w:szCs w:val="21"/>
                      <w:u w:val="none"/>
                      <w:lang w:val="en-US" w:eastAsia="zh-CN" w:bidi="ar"/>
                    </w:rPr>
                    <w:t>位置</w:t>
                  </w:r>
                </w:p>
              </w:tc>
              <w:tc>
                <w:tcPr>
                  <w:tcW w:w="756" w:type="dxa"/>
                  <w:noWrap w:val="0"/>
                  <w:vAlign w:val="center"/>
                </w:tcPr>
                <w:p w14:paraId="18F18B5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FF"/>
                      <w:sz w:val="21"/>
                      <w:szCs w:val="21"/>
                      <w:u w:val="none"/>
                    </w:rPr>
                  </w:pPr>
                  <w:r>
                    <w:rPr>
                      <w:rFonts w:hint="default" w:ascii="Times New Roman" w:hAnsi="Times New Roman" w:eastAsia="宋体" w:cs="Times New Roman"/>
                      <w:b/>
                      <w:bCs/>
                      <w:i w:val="0"/>
                      <w:iCs w:val="0"/>
                      <w:color w:val="0000FF"/>
                      <w:kern w:val="0"/>
                      <w:sz w:val="21"/>
                      <w:szCs w:val="21"/>
                      <w:u w:val="none"/>
                      <w:lang w:val="en-US" w:eastAsia="zh-CN" w:bidi="ar"/>
                    </w:rPr>
                    <w:t>占地面积</w:t>
                  </w:r>
                </w:p>
              </w:tc>
              <w:tc>
                <w:tcPr>
                  <w:tcW w:w="678" w:type="dxa"/>
                  <w:noWrap w:val="0"/>
                  <w:vAlign w:val="center"/>
                </w:tcPr>
                <w:p w14:paraId="466171A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FF"/>
                      <w:sz w:val="21"/>
                      <w:szCs w:val="21"/>
                      <w:u w:val="none"/>
                    </w:rPr>
                  </w:pPr>
                  <w:r>
                    <w:rPr>
                      <w:rFonts w:hint="default" w:ascii="Times New Roman" w:hAnsi="Times New Roman" w:eastAsia="宋体" w:cs="Times New Roman"/>
                      <w:b/>
                      <w:bCs/>
                      <w:i w:val="0"/>
                      <w:iCs w:val="0"/>
                      <w:color w:val="0000FF"/>
                      <w:kern w:val="0"/>
                      <w:sz w:val="21"/>
                      <w:szCs w:val="21"/>
                      <w:u w:val="none"/>
                      <w:lang w:val="en-US" w:eastAsia="zh-CN" w:bidi="ar"/>
                    </w:rPr>
                    <w:t>贮存方式</w:t>
                  </w:r>
                </w:p>
              </w:tc>
              <w:tc>
                <w:tcPr>
                  <w:tcW w:w="645" w:type="dxa"/>
                  <w:noWrap w:val="0"/>
                  <w:vAlign w:val="center"/>
                </w:tcPr>
                <w:p w14:paraId="2790C91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FF"/>
                      <w:sz w:val="21"/>
                      <w:szCs w:val="21"/>
                      <w:u w:val="none"/>
                    </w:rPr>
                  </w:pPr>
                  <w:r>
                    <w:rPr>
                      <w:rFonts w:hint="default" w:ascii="Times New Roman" w:hAnsi="Times New Roman" w:eastAsia="宋体" w:cs="Times New Roman"/>
                      <w:b/>
                      <w:bCs/>
                      <w:i w:val="0"/>
                      <w:iCs w:val="0"/>
                      <w:color w:val="0000FF"/>
                      <w:kern w:val="0"/>
                      <w:sz w:val="21"/>
                      <w:szCs w:val="21"/>
                      <w:u w:val="none"/>
                      <w:lang w:val="en-US" w:eastAsia="zh-CN" w:bidi="ar"/>
                    </w:rPr>
                    <w:t>贮存能力</w:t>
                  </w:r>
                </w:p>
              </w:tc>
              <w:tc>
                <w:tcPr>
                  <w:tcW w:w="675" w:type="dxa"/>
                  <w:noWrap w:val="0"/>
                  <w:vAlign w:val="center"/>
                </w:tcPr>
                <w:p w14:paraId="0BCBEFC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0000FF"/>
                      <w:sz w:val="21"/>
                      <w:szCs w:val="21"/>
                      <w:u w:val="none"/>
                    </w:rPr>
                  </w:pPr>
                  <w:r>
                    <w:rPr>
                      <w:rFonts w:hint="default" w:ascii="Times New Roman" w:hAnsi="Times New Roman" w:eastAsia="宋体" w:cs="Times New Roman"/>
                      <w:b/>
                      <w:bCs/>
                      <w:i w:val="0"/>
                      <w:iCs w:val="0"/>
                      <w:color w:val="0000FF"/>
                      <w:kern w:val="0"/>
                      <w:sz w:val="21"/>
                      <w:szCs w:val="21"/>
                      <w:u w:val="none"/>
                      <w:lang w:val="en-US" w:eastAsia="zh-CN" w:bidi="ar"/>
                    </w:rPr>
                    <w:t>贮存周期</w:t>
                  </w:r>
                </w:p>
              </w:tc>
            </w:tr>
            <w:tr w14:paraId="18542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1547" w:type="dxa"/>
                  <w:vMerge w:val="restart"/>
                  <w:noWrap w:val="0"/>
                  <w:vAlign w:val="center"/>
                </w:tcPr>
                <w:p w14:paraId="038120B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危险废物贮存库</w:t>
                  </w:r>
                </w:p>
              </w:tc>
              <w:tc>
                <w:tcPr>
                  <w:tcW w:w="1742" w:type="dxa"/>
                  <w:noWrap w:val="0"/>
                  <w:vAlign w:val="center"/>
                </w:tcPr>
                <w:p w14:paraId="781FE0C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废油墨桶</w:t>
                  </w:r>
                </w:p>
              </w:tc>
              <w:tc>
                <w:tcPr>
                  <w:tcW w:w="935" w:type="dxa"/>
                  <w:noWrap w:val="0"/>
                  <w:vAlign w:val="center"/>
                </w:tcPr>
                <w:p w14:paraId="6728E07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FF"/>
                      <w:sz w:val="21"/>
                      <w:szCs w:val="21"/>
                      <w:u w:val="none"/>
                      <w:lang w:val="en-US"/>
                    </w:rPr>
                  </w:pPr>
                  <w:r>
                    <w:rPr>
                      <w:rFonts w:hint="eastAsia" w:cs="Times New Roman"/>
                      <w:i w:val="0"/>
                      <w:iCs w:val="0"/>
                      <w:color w:val="0000FF"/>
                      <w:kern w:val="0"/>
                      <w:sz w:val="21"/>
                      <w:szCs w:val="21"/>
                      <w:u w:val="none"/>
                      <w:lang w:val="en-US" w:eastAsia="zh-CN" w:bidi="ar"/>
                    </w:rPr>
                    <w:t>HW12</w:t>
                  </w:r>
                </w:p>
              </w:tc>
              <w:tc>
                <w:tcPr>
                  <w:tcW w:w="1371" w:type="dxa"/>
                  <w:noWrap w:val="0"/>
                  <w:vAlign w:val="center"/>
                </w:tcPr>
                <w:p w14:paraId="1A766B4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900-253-12</w:t>
                  </w:r>
                </w:p>
              </w:tc>
              <w:tc>
                <w:tcPr>
                  <w:tcW w:w="484" w:type="dxa"/>
                  <w:vMerge w:val="restart"/>
                  <w:noWrap w:val="0"/>
                  <w:vAlign w:val="center"/>
                </w:tcPr>
                <w:p w14:paraId="423BFEA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第一栋1F西侧</w:t>
                  </w:r>
                </w:p>
              </w:tc>
              <w:tc>
                <w:tcPr>
                  <w:tcW w:w="756" w:type="dxa"/>
                  <w:vMerge w:val="restart"/>
                  <w:noWrap w:val="0"/>
                  <w:vAlign w:val="center"/>
                </w:tcPr>
                <w:p w14:paraId="1AC47BA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30m</w:t>
                  </w:r>
                  <w:r>
                    <w:rPr>
                      <w:rFonts w:hint="default" w:ascii="Times New Roman" w:hAnsi="Times New Roman" w:eastAsia="宋体" w:cs="Times New Roman"/>
                      <w:i w:val="0"/>
                      <w:iCs w:val="0"/>
                      <w:color w:val="0000FF"/>
                      <w:kern w:val="0"/>
                      <w:sz w:val="21"/>
                      <w:szCs w:val="21"/>
                      <w:u w:val="none"/>
                      <w:vertAlign w:val="superscript"/>
                      <w:lang w:val="en-US" w:eastAsia="zh-CN" w:bidi="ar"/>
                    </w:rPr>
                    <w:t>2</w:t>
                  </w:r>
                </w:p>
              </w:tc>
              <w:tc>
                <w:tcPr>
                  <w:tcW w:w="678" w:type="dxa"/>
                  <w:noWrap w:val="0"/>
                  <w:vAlign w:val="center"/>
                </w:tcPr>
                <w:p w14:paraId="511EF81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cs="Times New Roman"/>
                      <w:color w:val="0000FF"/>
                      <w:szCs w:val="21"/>
                    </w:rPr>
                    <w:t>桶装</w:t>
                  </w:r>
                </w:p>
              </w:tc>
              <w:tc>
                <w:tcPr>
                  <w:tcW w:w="645" w:type="dxa"/>
                  <w:vMerge w:val="restart"/>
                  <w:noWrap w:val="0"/>
                  <w:vAlign w:val="center"/>
                </w:tcPr>
                <w:p w14:paraId="4C739F7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3t</w:t>
                  </w:r>
                </w:p>
              </w:tc>
              <w:tc>
                <w:tcPr>
                  <w:tcW w:w="675" w:type="dxa"/>
                  <w:vMerge w:val="restart"/>
                  <w:noWrap w:val="0"/>
                  <w:vAlign w:val="center"/>
                </w:tcPr>
                <w:p w14:paraId="748C317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不超过一年</w:t>
                  </w:r>
                </w:p>
              </w:tc>
            </w:tr>
            <w:tr w14:paraId="425B2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547" w:type="dxa"/>
                  <w:vMerge w:val="continue"/>
                  <w:noWrap w:val="0"/>
                  <w:vAlign w:val="center"/>
                </w:tcPr>
                <w:p w14:paraId="3E0B34A6">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0000FF"/>
                      <w:sz w:val="21"/>
                      <w:szCs w:val="21"/>
                      <w:u w:val="none"/>
                    </w:rPr>
                  </w:pPr>
                </w:p>
              </w:tc>
              <w:tc>
                <w:tcPr>
                  <w:tcW w:w="1742" w:type="dxa"/>
                  <w:noWrap w:val="0"/>
                  <w:vAlign w:val="center"/>
                </w:tcPr>
                <w:p w14:paraId="6B7BBC0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废包装桶</w:t>
                  </w:r>
                </w:p>
              </w:tc>
              <w:tc>
                <w:tcPr>
                  <w:tcW w:w="935" w:type="dxa"/>
                  <w:noWrap w:val="0"/>
                  <w:vAlign w:val="center"/>
                </w:tcPr>
                <w:p w14:paraId="7AD2D76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HW08</w:t>
                  </w:r>
                </w:p>
              </w:tc>
              <w:tc>
                <w:tcPr>
                  <w:tcW w:w="1371" w:type="dxa"/>
                  <w:noWrap w:val="0"/>
                  <w:vAlign w:val="center"/>
                </w:tcPr>
                <w:p w14:paraId="0B809BB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900-249-08</w:t>
                  </w:r>
                </w:p>
              </w:tc>
              <w:tc>
                <w:tcPr>
                  <w:tcW w:w="484" w:type="dxa"/>
                  <w:vMerge w:val="continue"/>
                  <w:noWrap w:val="0"/>
                  <w:vAlign w:val="center"/>
                </w:tcPr>
                <w:p w14:paraId="193EFC18">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0000FF"/>
                      <w:sz w:val="21"/>
                      <w:szCs w:val="21"/>
                      <w:u w:val="none"/>
                    </w:rPr>
                  </w:pPr>
                </w:p>
              </w:tc>
              <w:tc>
                <w:tcPr>
                  <w:tcW w:w="756" w:type="dxa"/>
                  <w:vMerge w:val="continue"/>
                  <w:noWrap w:val="0"/>
                  <w:vAlign w:val="center"/>
                </w:tcPr>
                <w:p w14:paraId="62C26E3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0000FF"/>
                      <w:sz w:val="21"/>
                      <w:szCs w:val="21"/>
                      <w:u w:val="none"/>
                    </w:rPr>
                  </w:pPr>
                </w:p>
              </w:tc>
              <w:tc>
                <w:tcPr>
                  <w:tcW w:w="678" w:type="dxa"/>
                  <w:noWrap w:val="0"/>
                  <w:vAlign w:val="center"/>
                </w:tcPr>
                <w:p w14:paraId="4917113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桶装</w:t>
                  </w:r>
                </w:p>
              </w:tc>
              <w:tc>
                <w:tcPr>
                  <w:tcW w:w="645" w:type="dxa"/>
                  <w:vMerge w:val="continue"/>
                  <w:noWrap w:val="0"/>
                  <w:vAlign w:val="center"/>
                </w:tcPr>
                <w:p w14:paraId="58B57793">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0000FF"/>
                      <w:sz w:val="21"/>
                      <w:szCs w:val="21"/>
                      <w:u w:val="none"/>
                    </w:rPr>
                  </w:pPr>
                </w:p>
              </w:tc>
              <w:tc>
                <w:tcPr>
                  <w:tcW w:w="675" w:type="dxa"/>
                  <w:vMerge w:val="continue"/>
                  <w:noWrap w:val="0"/>
                  <w:vAlign w:val="center"/>
                </w:tcPr>
                <w:p w14:paraId="54785FA0">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0000FF"/>
                      <w:sz w:val="21"/>
                      <w:szCs w:val="21"/>
                      <w:u w:val="none"/>
                    </w:rPr>
                  </w:pPr>
                </w:p>
              </w:tc>
            </w:tr>
            <w:tr w14:paraId="2E2DE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547" w:type="dxa"/>
                  <w:vMerge w:val="continue"/>
                  <w:noWrap w:val="0"/>
                  <w:vAlign w:val="center"/>
                </w:tcPr>
                <w:p w14:paraId="08E5743D">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0000FF"/>
                      <w:sz w:val="21"/>
                      <w:szCs w:val="21"/>
                      <w:u w:val="none"/>
                    </w:rPr>
                  </w:pPr>
                </w:p>
              </w:tc>
              <w:tc>
                <w:tcPr>
                  <w:tcW w:w="1742" w:type="dxa"/>
                  <w:noWrap w:val="0"/>
                  <w:vAlign w:val="center"/>
                </w:tcPr>
                <w:p w14:paraId="467A346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废含油棉纱手套</w:t>
                  </w:r>
                </w:p>
              </w:tc>
              <w:tc>
                <w:tcPr>
                  <w:tcW w:w="935" w:type="dxa"/>
                  <w:noWrap w:val="0"/>
                  <w:vAlign w:val="center"/>
                </w:tcPr>
                <w:p w14:paraId="09C2BE1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HW49</w:t>
                  </w:r>
                </w:p>
              </w:tc>
              <w:tc>
                <w:tcPr>
                  <w:tcW w:w="1371" w:type="dxa"/>
                  <w:noWrap w:val="0"/>
                  <w:vAlign w:val="center"/>
                </w:tcPr>
                <w:p w14:paraId="39728F4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900-041-49</w:t>
                  </w:r>
                </w:p>
              </w:tc>
              <w:tc>
                <w:tcPr>
                  <w:tcW w:w="484" w:type="dxa"/>
                  <w:vMerge w:val="continue"/>
                  <w:noWrap w:val="0"/>
                  <w:vAlign w:val="center"/>
                </w:tcPr>
                <w:p w14:paraId="79F353A0">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0000FF"/>
                      <w:sz w:val="21"/>
                      <w:szCs w:val="21"/>
                      <w:u w:val="none"/>
                    </w:rPr>
                  </w:pPr>
                </w:p>
              </w:tc>
              <w:tc>
                <w:tcPr>
                  <w:tcW w:w="756" w:type="dxa"/>
                  <w:vMerge w:val="continue"/>
                  <w:noWrap w:val="0"/>
                  <w:vAlign w:val="center"/>
                </w:tcPr>
                <w:p w14:paraId="426669D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0000FF"/>
                      <w:sz w:val="21"/>
                      <w:szCs w:val="21"/>
                      <w:u w:val="none"/>
                    </w:rPr>
                  </w:pPr>
                </w:p>
              </w:tc>
              <w:tc>
                <w:tcPr>
                  <w:tcW w:w="678" w:type="dxa"/>
                  <w:noWrap w:val="0"/>
                  <w:vAlign w:val="center"/>
                </w:tcPr>
                <w:p w14:paraId="41E5BA2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桶装</w:t>
                  </w:r>
                </w:p>
              </w:tc>
              <w:tc>
                <w:tcPr>
                  <w:tcW w:w="645" w:type="dxa"/>
                  <w:vMerge w:val="continue"/>
                  <w:noWrap w:val="0"/>
                  <w:vAlign w:val="center"/>
                </w:tcPr>
                <w:p w14:paraId="45C440F0">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0000FF"/>
                      <w:sz w:val="21"/>
                      <w:szCs w:val="21"/>
                      <w:u w:val="none"/>
                    </w:rPr>
                  </w:pPr>
                </w:p>
              </w:tc>
              <w:tc>
                <w:tcPr>
                  <w:tcW w:w="675" w:type="dxa"/>
                  <w:vMerge w:val="continue"/>
                  <w:noWrap w:val="0"/>
                  <w:vAlign w:val="center"/>
                </w:tcPr>
                <w:p w14:paraId="508142CB">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0000FF"/>
                      <w:sz w:val="21"/>
                      <w:szCs w:val="21"/>
                      <w:u w:val="none"/>
                    </w:rPr>
                  </w:pPr>
                </w:p>
              </w:tc>
            </w:tr>
            <w:tr w14:paraId="0D7A8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0" w:hRule="atLeast"/>
                <w:jc w:val="center"/>
              </w:trPr>
              <w:tc>
                <w:tcPr>
                  <w:tcW w:w="1547" w:type="dxa"/>
                  <w:vMerge w:val="continue"/>
                  <w:noWrap w:val="0"/>
                  <w:vAlign w:val="center"/>
                </w:tcPr>
                <w:p w14:paraId="0B14AF75">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0000FF"/>
                      <w:sz w:val="21"/>
                      <w:szCs w:val="21"/>
                      <w:u w:val="none"/>
                    </w:rPr>
                  </w:pPr>
                </w:p>
              </w:tc>
              <w:tc>
                <w:tcPr>
                  <w:tcW w:w="1742" w:type="dxa"/>
                  <w:noWrap w:val="0"/>
                  <w:vAlign w:val="center"/>
                </w:tcPr>
                <w:p w14:paraId="31EF555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废活性炭</w:t>
                  </w:r>
                </w:p>
              </w:tc>
              <w:tc>
                <w:tcPr>
                  <w:tcW w:w="935" w:type="dxa"/>
                  <w:noWrap w:val="0"/>
                  <w:vAlign w:val="center"/>
                </w:tcPr>
                <w:p w14:paraId="190FE5B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FF"/>
                      <w:sz w:val="21"/>
                      <w:szCs w:val="21"/>
                      <w:u w:val="none"/>
                      <w:lang w:val="en-US"/>
                    </w:rPr>
                  </w:pPr>
                  <w:r>
                    <w:rPr>
                      <w:rFonts w:hint="default" w:ascii="Times New Roman" w:hAnsi="Times New Roman" w:eastAsia="宋体" w:cs="Times New Roman"/>
                      <w:i w:val="0"/>
                      <w:iCs w:val="0"/>
                      <w:color w:val="0000FF"/>
                      <w:kern w:val="0"/>
                      <w:sz w:val="21"/>
                      <w:szCs w:val="21"/>
                      <w:u w:val="none"/>
                      <w:lang w:val="en-US" w:eastAsia="zh-CN" w:bidi="ar"/>
                    </w:rPr>
                    <w:t>HW</w:t>
                  </w:r>
                  <w:r>
                    <w:rPr>
                      <w:rFonts w:hint="eastAsia" w:cs="Times New Roman"/>
                      <w:i w:val="0"/>
                      <w:iCs w:val="0"/>
                      <w:color w:val="0000FF"/>
                      <w:kern w:val="0"/>
                      <w:sz w:val="21"/>
                      <w:szCs w:val="21"/>
                      <w:u w:val="none"/>
                      <w:lang w:val="en-US" w:eastAsia="zh-CN" w:bidi="ar"/>
                    </w:rPr>
                    <w:t>49</w:t>
                  </w:r>
                </w:p>
              </w:tc>
              <w:tc>
                <w:tcPr>
                  <w:tcW w:w="1371" w:type="dxa"/>
                  <w:noWrap w:val="0"/>
                  <w:vAlign w:val="center"/>
                </w:tcPr>
                <w:p w14:paraId="61460FA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900-039-49</w:t>
                  </w:r>
                </w:p>
              </w:tc>
              <w:tc>
                <w:tcPr>
                  <w:tcW w:w="484" w:type="dxa"/>
                  <w:vMerge w:val="continue"/>
                  <w:noWrap w:val="0"/>
                  <w:vAlign w:val="center"/>
                </w:tcPr>
                <w:p w14:paraId="1C04B47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0000FF"/>
                      <w:sz w:val="21"/>
                      <w:szCs w:val="21"/>
                      <w:u w:val="none"/>
                    </w:rPr>
                  </w:pPr>
                </w:p>
              </w:tc>
              <w:tc>
                <w:tcPr>
                  <w:tcW w:w="756" w:type="dxa"/>
                  <w:vMerge w:val="continue"/>
                  <w:noWrap w:val="0"/>
                  <w:vAlign w:val="center"/>
                </w:tcPr>
                <w:p w14:paraId="5984F330">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0000FF"/>
                      <w:sz w:val="21"/>
                      <w:szCs w:val="21"/>
                      <w:u w:val="none"/>
                    </w:rPr>
                  </w:pPr>
                </w:p>
              </w:tc>
              <w:tc>
                <w:tcPr>
                  <w:tcW w:w="678" w:type="dxa"/>
                  <w:noWrap w:val="0"/>
                  <w:vAlign w:val="center"/>
                </w:tcPr>
                <w:p w14:paraId="64BBB26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袋装</w:t>
                  </w:r>
                </w:p>
              </w:tc>
              <w:tc>
                <w:tcPr>
                  <w:tcW w:w="645" w:type="dxa"/>
                  <w:vMerge w:val="continue"/>
                  <w:noWrap w:val="0"/>
                  <w:vAlign w:val="center"/>
                </w:tcPr>
                <w:p w14:paraId="70B1D413">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0000FF"/>
                      <w:sz w:val="21"/>
                      <w:szCs w:val="21"/>
                      <w:u w:val="none"/>
                    </w:rPr>
                  </w:pPr>
                </w:p>
              </w:tc>
              <w:tc>
                <w:tcPr>
                  <w:tcW w:w="675" w:type="dxa"/>
                  <w:vMerge w:val="continue"/>
                  <w:noWrap w:val="0"/>
                  <w:vAlign w:val="center"/>
                </w:tcPr>
                <w:p w14:paraId="1FE0C75C">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0000FF"/>
                      <w:sz w:val="21"/>
                      <w:szCs w:val="21"/>
                      <w:u w:val="none"/>
                    </w:rPr>
                  </w:pPr>
                </w:p>
              </w:tc>
            </w:tr>
            <w:tr w14:paraId="67EE5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47" w:type="dxa"/>
                  <w:vMerge w:val="continue"/>
                  <w:noWrap w:val="0"/>
                  <w:vAlign w:val="center"/>
                </w:tcPr>
                <w:p w14:paraId="173073A1">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0000FF"/>
                      <w:sz w:val="21"/>
                      <w:szCs w:val="21"/>
                      <w:u w:val="none"/>
                    </w:rPr>
                  </w:pPr>
                </w:p>
              </w:tc>
              <w:tc>
                <w:tcPr>
                  <w:tcW w:w="1742" w:type="dxa"/>
                  <w:noWrap w:val="0"/>
                  <w:vAlign w:val="center"/>
                </w:tcPr>
                <w:p w14:paraId="39D1E452">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废润滑油</w:t>
                  </w:r>
                </w:p>
              </w:tc>
              <w:tc>
                <w:tcPr>
                  <w:tcW w:w="935" w:type="dxa"/>
                  <w:noWrap w:val="0"/>
                  <w:vAlign w:val="center"/>
                </w:tcPr>
                <w:p w14:paraId="5F18F490">
                  <w:pPr>
                    <w:spacing w:line="240" w:lineRule="auto"/>
                    <w:contextualSpacing/>
                    <w:jc w:val="center"/>
                    <w:rPr>
                      <w:rFonts w:hint="eastAsia" w:ascii="Times New Roman" w:hAnsi="Times New Roman" w:eastAsia="宋体" w:cs="Times New Roman"/>
                      <w:i w:val="0"/>
                      <w:iCs w:val="0"/>
                      <w:color w:val="0000FF"/>
                      <w:kern w:val="0"/>
                      <w:sz w:val="21"/>
                      <w:szCs w:val="21"/>
                      <w:u w:val="none"/>
                      <w:lang w:val="en-US" w:eastAsia="zh-CN" w:bidi="ar"/>
                    </w:rPr>
                  </w:pPr>
                  <w:r>
                    <w:rPr>
                      <w:rFonts w:hint="eastAsia" w:hAnsi="宋体" w:cs="宋体"/>
                      <w:color w:val="0000FF"/>
                      <w:szCs w:val="21"/>
                    </w:rPr>
                    <w:t>HW0</w:t>
                  </w:r>
                  <w:r>
                    <w:rPr>
                      <w:rFonts w:hint="eastAsia" w:hAnsi="宋体" w:cs="宋体"/>
                      <w:color w:val="0000FF"/>
                      <w:szCs w:val="21"/>
                      <w:lang w:val="en-US" w:eastAsia="zh-CN"/>
                    </w:rPr>
                    <w:t>8</w:t>
                  </w:r>
                </w:p>
              </w:tc>
              <w:tc>
                <w:tcPr>
                  <w:tcW w:w="1371" w:type="dxa"/>
                  <w:noWrap w:val="0"/>
                  <w:vAlign w:val="center"/>
                </w:tcPr>
                <w:p w14:paraId="4A6D9CC2">
                  <w:pPr>
                    <w:spacing w:line="240" w:lineRule="auto"/>
                    <w:contextualSpacing/>
                    <w:jc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hAnsi="宋体" w:cs="宋体"/>
                      <w:color w:val="0000FF"/>
                      <w:szCs w:val="21"/>
                    </w:rPr>
                    <w:t>900-217-08</w:t>
                  </w:r>
                </w:p>
              </w:tc>
              <w:tc>
                <w:tcPr>
                  <w:tcW w:w="484" w:type="dxa"/>
                  <w:vMerge w:val="continue"/>
                  <w:noWrap w:val="0"/>
                  <w:vAlign w:val="center"/>
                </w:tcPr>
                <w:p w14:paraId="7F5B9C3C">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0000FF"/>
                      <w:sz w:val="21"/>
                      <w:szCs w:val="21"/>
                      <w:u w:val="none"/>
                    </w:rPr>
                  </w:pPr>
                </w:p>
              </w:tc>
              <w:tc>
                <w:tcPr>
                  <w:tcW w:w="756" w:type="dxa"/>
                  <w:vMerge w:val="continue"/>
                  <w:noWrap w:val="0"/>
                  <w:vAlign w:val="center"/>
                </w:tcPr>
                <w:p w14:paraId="4A749196">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0000FF"/>
                      <w:sz w:val="21"/>
                      <w:szCs w:val="21"/>
                      <w:u w:val="none"/>
                    </w:rPr>
                  </w:pPr>
                </w:p>
              </w:tc>
              <w:tc>
                <w:tcPr>
                  <w:tcW w:w="678" w:type="dxa"/>
                  <w:noWrap w:val="0"/>
                  <w:vAlign w:val="center"/>
                </w:tcPr>
                <w:p w14:paraId="62B088C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0000FF"/>
                      <w:szCs w:val="21"/>
                    </w:rPr>
                  </w:pPr>
                  <w:r>
                    <w:rPr>
                      <w:rFonts w:hint="default" w:ascii="Times New Roman" w:hAnsi="Times New Roman" w:cs="Times New Roman"/>
                      <w:color w:val="0000FF"/>
                      <w:szCs w:val="21"/>
                    </w:rPr>
                    <w:t>桶装</w:t>
                  </w:r>
                </w:p>
              </w:tc>
              <w:tc>
                <w:tcPr>
                  <w:tcW w:w="645" w:type="dxa"/>
                  <w:vMerge w:val="continue"/>
                  <w:noWrap w:val="0"/>
                  <w:vAlign w:val="center"/>
                </w:tcPr>
                <w:p w14:paraId="5C132AF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0000FF"/>
                      <w:sz w:val="21"/>
                      <w:szCs w:val="21"/>
                      <w:u w:val="none"/>
                    </w:rPr>
                  </w:pPr>
                </w:p>
              </w:tc>
              <w:tc>
                <w:tcPr>
                  <w:tcW w:w="675" w:type="dxa"/>
                  <w:vMerge w:val="continue"/>
                  <w:noWrap w:val="0"/>
                  <w:vAlign w:val="center"/>
                </w:tcPr>
                <w:p w14:paraId="5A146553">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0000FF"/>
                      <w:sz w:val="21"/>
                      <w:szCs w:val="21"/>
                      <w:u w:val="none"/>
                    </w:rPr>
                  </w:pPr>
                </w:p>
              </w:tc>
            </w:tr>
            <w:tr w14:paraId="22E4B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47" w:type="dxa"/>
                  <w:vMerge w:val="continue"/>
                  <w:noWrap w:val="0"/>
                  <w:vAlign w:val="center"/>
                </w:tcPr>
                <w:p w14:paraId="7EA41DBE">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0000FF"/>
                      <w:sz w:val="21"/>
                      <w:szCs w:val="21"/>
                      <w:u w:val="none"/>
                    </w:rPr>
                  </w:pPr>
                </w:p>
              </w:tc>
              <w:tc>
                <w:tcPr>
                  <w:tcW w:w="1742" w:type="dxa"/>
                  <w:noWrap w:val="0"/>
                  <w:vAlign w:val="center"/>
                </w:tcPr>
                <w:p w14:paraId="0F259F2C">
                  <w:pPr>
                    <w:keepNext w:val="0"/>
                    <w:keepLines w:val="0"/>
                    <w:widowControl/>
                    <w:suppressLineNumbers w:val="0"/>
                    <w:jc w:val="both"/>
                    <w:textAlignment w:val="center"/>
                    <w:rPr>
                      <w:rFonts w:hint="eastAsia" w:ascii="宋体" w:hAnsi="宋体" w:eastAsia="宋体" w:cs="宋体"/>
                      <w:color w:val="0000FF"/>
                      <w:szCs w:val="21"/>
                    </w:rPr>
                  </w:pPr>
                  <w:r>
                    <w:rPr>
                      <w:rFonts w:hint="eastAsia" w:ascii="宋体" w:hAnsi="宋体" w:eastAsia="宋体" w:cs="宋体"/>
                      <w:i w:val="0"/>
                      <w:iCs w:val="0"/>
                      <w:color w:val="0000FF"/>
                      <w:kern w:val="0"/>
                      <w:sz w:val="21"/>
                      <w:szCs w:val="21"/>
                      <w:u w:val="none"/>
                      <w:lang w:val="en-US" w:eastAsia="zh-CN" w:bidi="ar"/>
                    </w:rPr>
                    <w:t>空压机产生的油</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水混合物</w:t>
                  </w:r>
                </w:p>
              </w:tc>
              <w:tc>
                <w:tcPr>
                  <w:tcW w:w="935" w:type="dxa"/>
                  <w:noWrap w:val="0"/>
                  <w:vAlign w:val="center"/>
                </w:tcPr>
                <w:p w14:paraId="5D77AB6E">
                  <w:pPr>
                    <w:spacing w:line="240" w:lineRule="auto"/>
                    <w:contextualSpacing/>
                    <w:jc w:val="center"/>
                    <w:rPr>
                      <w:rFonts w:hint="default" w:hAnsi="宋体" w:eastAsia="宋体" w:cs="宋体"/>
                      <w:color w:val="0000FF"/>
                      <w:szCs w:val="21"/>
                      <w:lang w:val="en-US" w:eastAsia="zh-CN"/>
                    </w:rPr>
                  </w:pPr>
                  <w:r>
                    <w:rPr>
                      <w:rFonts w:hint="eastAsia" w:hAnsi="宋体" w:cs="宋体"/>
                      <w:color w:val="0000FF"/>
                      <w:szCs w:val="21"/>
                      <w:lang w:val="en-US" w:eastAsia="zh-CN"/>
                    </w:rPr>
                    <w:t>HW09</w:t>
                  </w:r>
                </w:p>
              </w:tc>
              <w:tc>
                <w:tcPr>
                  <w:tcW w:w="1371" w:type="dxa"/>
                  <w:noWrap w:val="0"/>
                  <w:vAlign w:val="center"/>
                </w:tcPr>
                <w:p w14:paraId="086B91E3">
                  <w:pPr>
                    <w:spacing w:line="240" w:lineRule="auto"/>
                    <w:contextualSpacing/>
                    <w:jc w:val="center"/>
                    <w:rPr>
                      <w:rFonts w:hint="eastAsia" w:hAnsi="宋体" w:cs="宋体"/>
                      <w:color w:val="0000FF"/>
                      <w:szCs w:val="21"/>
                    </w:rPr>
                  </w:pPr>
                  <w:r>
                    <w:rPr>
                      <w:rFonts w:hint="eastAsia" w:hAnsi="宋体" w:cs="宋体"/>
                      <w:color w:val="0000FF"/>
                      <w:szCs w:val="21"/>
                    </w:rPr>
                    <w:t>900-007-09</w:t>
                  </w:r>
                </w:p>
              </w:tc>
              <w:tc>
                <w:tcPr>
                  <w:tcW w:w="484" w:type="dxa"/>
                  <w:vMerge w:val="continue"/>
                  <w:noWrap w:val="0"/>
                  <w:vAlign w:val="center"/>
                </w:tcPr>
                <w:p w14:paraId="66A83A82">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0000FF"/>
                      <w:sz w:val="21"/>
                      <w:szCs w:val="21"/>
                      <w:u w:val="none"/>
                    </w:rPr>
                  </w:pPr>
                </w:p>
              </w:tc>
              <w:tc>
                <w:tcPr>
                  <w:tcW w:w="756" w:type="dxa"/>
                  <w:vMerge w:val="continue"/>
                  <w:noWrap w:val="0"/>
                  <w:vAlign w:val="center"/>
                </w:tcPr>
                <w:p w14:paraId="3BCDBDB6">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0000FF"/>
                      <w:sz w:val="21"/>
                      <w:szCs w:val="21"/>
                      <w:u w:val="none"/>
                    </w:rPr>
                  </w:pPr>
                </w:p>
              </w:tc>
              <w:tc>
                <w:tcPr>
                  <w:tcW w:w="678" w:type="dxa"/>
                  <w:noWrap w:val="0"/>
                  <w:vAlign w:val="center"/>
                </w:tcPr>
                <w:p w14:paraId="6517681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iCs w:val="0"/>
                      <w:color w:val="0000FF"/>
                      <w:kern w:val="0"/>
                      <w:sz w:val="21"/>
                      <w:szCs w:val="21"/>
                      <w:u w:val="none"/>
                      <w:lang w:val="en-US" w:eastAsia="zh-CN" w:bidi="ar"/>
                    </w:rPr>
                    <w:t>桶装</w:t>
                  </w:r>
                </w:p>
              </w:tc>
              <w:tc>
                <w:tcPr>
                  <w:tcW w:w="645" w:type="dxa"/>
                  <w:vMerge w:val="continue"/>
                  <w:noWrap w:val="0"/>
                  <w:vAlign w:val="center"/>
                </w:tcPr>
                <w:p w14:paraId="0F13473C">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0000FF"/>
                      <w:sz w:val="21"/>
                      <w:szCs w:val="21"/>
                      <w:u w:val="none"/>
                    </w:rPr>
                  </w:pPr>
                </w:p>
              </w:tc>
              <w:tc>
                <w:tcPr>
                  <w:tcW w:w="675" w:type="dxa"/>
                  <w:vMerge w:val="continue"/>
                  <w:noWrap w:val="0"/>
                  <w:vAlign w:val="center"/>
                </w:tcPr>
                <w:p w14:paraId="187A70EC">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0000FF"/>
                      <w:sz w:val="21"/>
                      <w:szCs w:val="21"/>
                      <w:u w:val="none"/>
                    </w:rPr>
                  </w:pPr>
                </w:p>
              </w:tc>
            </w:tr>
            <w:tr w14:paraId="33C41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47" w:type="dxa"/>
                  <w:vMerge w:val="continue"/>
                  <w:noWrap w:val="0"/>
                  <w:vAlign w:val="center"/>
                </w:tcPr>
                <w:p w14:paraId="5DF80A4B">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0000FF"/>
                      <w:sz w:val="21"/>
                      <w:szCs w:val="21"/>
                      <w:u w:val="none"/>
                    </w:rPr>
                  </w:pPr>
                </w:p>
              </w:tc>
              <w:tc>
                <w:tcPr>
                  <w:tcW w:w="1742" w:type="dxa"/>
                  <w:noWrap w:val="0"/>
                  <w:vAlign w:val="center"/>
                </w:tcPr>
                <w:p w14:paraId="24787D09">
                  <w:pPr>
                    <w:keepNext w:val="0"/>
                    <w:keepLines w:val="0"/>
                    <w:widowControl/>
                    <w:suppressLineNumbers w:val="0"/>
                    <w:jc w:val="center"/>
                    <w:textAlignment w:val="center"/>
                    <w:rPr>
                      <w:rFonts w:hint="eastAsia" w:ascii="宋体" w:hAnsi="宋体" w:eastAsia="宋体" w:cs="宋体"/>
                      <w:color w:val="0000FF"/>
                      <w:szCs w:val="21"/>
                    </w:rPr>
                  </w:pPr>
                  <w:r>
                    <w:rPr>
                      <w:rFonts w:hint="eastAsia" w:ascii="宋体" w:hAnsi="宋体" w:eastAsia="宋体" w:cs="宋体"/>
                      <w:i w:val="0"/>
                      <w:iCs w:val="0"/>
                      <w:color w:val="0000FF"/>
                      <w:kern w:val="0"/>
                      <w:sz w:val="21"/>
                      <w:szCs w:val="21"/>
                      <w:u w:val="none"/>
                      <w:lang w:val="en-US" w:eastAsia="zh-CN" w:bidi="ar"/>
                    </w:rPr>
                    <w:t>废空压机油</w:t>
                  </w:r>
                </w:p>
              </w:tc>
              <w:tc>
                <w:tcPr>
                  <w:tcW w:w="935" w:type="dxa"/>
                  <w:noWrap w:val="0"/>
                  <w:vAlign w:val="center"/>
                </w:tcPr>
                <w:p w14:paraId="3FE9199A">
                  <w:pPr>
                    <w:spacing w:line="240" w:lineRule="auto"/>
                    <w:contextualSpacing/>
                    <w:jc w:val="center"/>
                    <w:rPr>
                      <w:rFonts w:hint="default" w:hAnsi="宋体" w:eastAsia="宋体" w:cs="宋体"/>
                      <w:color w:val="0000FF"/>
                      <w:szCs w:val="21"/>
                      <w:lang w:val="en-US" w:eastAsia="zh-CN"/>
                    </w:rPr>
                  </w:pPr>
                  <w:r>
                    <w:rPr>
                      <w:rFonts w:hint="eastAsia" w:hAnsi="宋体" w:cs="宋体"/>
                      <w:color w:val="0000FF"/>
                      <w:szCs w:val="21"/>
                      <w:lang w:val="en-US" w:eastAsia="zh-CN"/>
                    </w:rPr>
                    <w:t>HW08</w:t>
                  </w:r>
                </w:p>
              </w:tc>
              <w:tc>
                <w:tcPr>
                  <w:tcW w:w="1371" w:type="dxa"/>
                  <w:noWrap w:val="0"/>
                  <w:vAlign w:val="center"/>
                </w:tcPr>
                <w:p w14:paraId="4F012297">
                  <w:pPr>
                    <w:spacing w:line="240" w:lineRule="auto"/>
                    <w:contextualSpacing/>
                    <w:jc w:val="center"/>
                    <w:rPr>
                      <w:rFonts w:hint="eastAsia" w:hAnsi="宋体" w:cs="宋体"/>
                      <w:color w:val="0000FF"/>
                      <w:szCs w:val="21"/>
                    </w:rPr>
                  </w:pPr>
                  <w:r>
                    <w:rPr>
                      <w:rFonts w:hint="eastAsia" w:hAnsi="宋体" w:cs="宋体"/>
                      <w:color w:val="0000FF"/>
                      <w:szCs w:val="21"/>
                    </w:rPr>
                    <w:t>900-214-08</w:t>
                  </w:r>
                </w:p>
              </w:tc>
              <w:tc>
                <w:tcPr>
                  <w:tcW w:w="484" w:type="dxa"/>
                  <w:vMerge w:val="continue"/>
                  <w:noWrap w:val="0"/>
                  <w:vAlign w:val="center"/>
                </w:tcPr>
                <w:p w14:paraId="4774216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0000FF"/>
                      <w:sz w:val="21"/>
                      <w:szCs w:val="21"/>
                      <w:u w:val="none"/>
                    </w:rPr>
                  </w:pPr>
                </w:p>
              </w:tc>
              <w:tc>
                <w:tcPr>
                  <w:tcW w:w="756" w:type="dxa"/>
                  <w:vMerge w:val="continue"/>
                  <w:noWrap w:val="0"/>
                  <w:vAlign w:val="center"/>
                </w:tcPr>
                <w:p w14:paraId="290073F9">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0000FF"/>
                      <w:sz w:val="21"/>
                      <w:szCs w:val="21"/>
                      <w:u w:val="none"/>
                    </w:rPr>
                  </w:pPr>
                </w:p>
              </w:tc>
              <w:tc>
                <w:tcPr>
                  <w:tcW w:w="678" w:type="dxa"/>
                  <w:noWrap w:val="0"/>
                  <w:vAlign w:val="center"/>
                </w:tcPr>
                <w:p w14:paraId="7D78D99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cs="Times New Roman"/>
                      <w:color w:val="0000FF"/>
                      <w:szCs w:val="21"/>
                    </w:rPr>
                  </w:pPr>
                  <w:r>
                    <w:rPr>
                      <w:rFonts w:hint="default" w:ascii="Times New Roman" w:hAnsi="Times New Roman" w:eastAsia="宋体" w:cs="Times New Roman"/>
                      <w:i w:val="0"/>
                      <w:iCs w:val="0"/>
                      <w:color w:val="0000FF"/>
                      <w:kern w:val="0"/>
                      <w:sz w:val="21"/>
                      <w:szCs w:val="21"/>
                      <w:u w:val="none"/>
                      <w:lang w:val="en-US" w:eastAsia="zh-CN" w:bidi="ar"/>
                    </w:rPr>
                    <w:t>桶装</w:t>
                  </w:r>
                </w:p>
              </w:tc>
              <w:tc>
                <w:tcPr>
                  <w:tcW w:w="645" w:type="dxa"/>
                  <w:vMerge w:val="continue"/>
                  <w:noWrap w:val="0"/>
                  <w:vAlign w:val="center"/>
                </w:tcPr>
                <w:p w14:paraId="6862765E">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0000FF"/>
                      <w:sz w:val="21"/>
                      <w:szCs w:val="21"/>
                      <w:u w:val="none"/>
                    </w:rPr>
                  </w:pPr>
                </w:p>
              </w:tc>
              <w:tc>
                <w:tcPr>
                  <w:tcW w:w="675" w:type="dxa"/>
                  <w:vMerge w:val="continue"/>
                  <w:noWrap w:val="0"/>
                  <w:vAlign w:val="center"/>
                </w:tcPr>
                <w:p w14:paraId="6B496DA6">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i w:val="0"/>
                      <w:iCs w:val="0"/>
                      <w:color w:val="0000FF"/>
                      <w:sz w:val="21"/>
                      <w:szCs w:val="21"/>
                      <w:u w:val="none"/>
                    </w:rPr>
                  </w:pPr>
                </w:p>
              </w:tc>
            </w:tr>
          </w:tbl>
          <w:p w14:paraId="7D0AA0A5">
            <w:pPr>
              <w:keepNext w:val="0"/>
              <w:keepLines w:val="0"/>
              <w:pageBreakBefore w:val="0"/>
              <w:widowControl w:val="0"/>
              <w:kinsoku/>
              <w:wordWrap/>
              <w:overflowPunct/>
              <w:topLinePunct w:val="0"/>
              <w:bidi w:val="0"/>
              <w:spacing w:line="360" w:lineRule="auto"/>
              <w:ind w:firstLine="480" w:firstLineChars="200"/>
              <w:contextualSpacing/>
              <w:textAlignment w:val="auto"/>
              <w:rPr>
                <w:rFonts w:hint="default" w:ascii="Times New Roman" w:hAnsi="Times New Roman" w:cs="Times New Roman"/>
                <w:color w:val="auto"/>
                <w:sz w:val="24"/>
              </w:rPr>
            </w:pPr>
            <w:r>
              <w:rPr>
                <w:rFonts w:hint="default" w:ascii="Times New Roman" w:hAnsi="Times New Roman" w:cs="Times New Roman"/>
                <w:color w:val="auto"/>
                <w:sz w:val="24"/>
              </w:rPr>
              <w:t>②一般工业固废</w:t>
            </w:r>
          </w:p>
          <w:p w14:paraId="334AEBF2">
            <w:pPr>
              <w:keepNext w:val="0"/>
              <w:keepLines w:val="0"/>
              <w:pageBreakBefore w:val="0"/>
              <w:widowControl w:val="0"/>
              <w:kinsoku/>
              <w:wordWrap/>
              <w:overflowPunct/>
              <w:topLinePunct w:val="0"/>
              <w:bidi w:val="0"/>
              <w:spacing w:line="360" w:lineRule="auto"/>
              <w:ind w:firstLine="480" w:firstLineChars="200"/>
              <w:contextualSpacing/>
              <w:textAlignment w:val="auto"/>
              <w:rPr>
                <w:rFonts w:hint="default" w:ascii="Times New Roman" w:hAnsi="Times New Roman" w:cs="Times New Roman"/>
                <w:color w:val="auto"/>
                <w:sz w:val="24"/>
              </w:rPr>
            </w:pPr>
            <w:r>
              <w:rPr>
                <w:rFonts w:hint="default" w:ascii="Times New Roman" w:hAnsi="Times New Roman" w:cs="Times New Roman"/>
                <w:color w:val="auto"/>
                <w:sz w:val="24"/>
              </w:rPr>
              <w:t>企业在1F</w:t>
            </w:r>
            <w:r>
              <w:rPr>
                <w:rFonts w:hint="default" w:ascii="Times New Roman" w:hAnsi="Times New Roman" w:cs="Times New Roman"/>
                <w:color w:val="auto"/>
                <w:sz w:val="24"/>
                <w:lang w:val="en-US" w:eastAsia="zh-CN"/>
              </w:rPr>
              <w:t>西</w:t>
            </w:r>
            <w:r>
              <w:rPr>
                <w:rFonts w:hint="default" w:ascii="Times New Roman" w:hAnsi="Times New Roman" w:cs="Times New Roman"/>
                <w:color w:val="auto"/>
                <w:sz w:val="24"/>
              </w:rPr>
              <w:t>侧设置一间一般固废暂存间，面积约</w:t>
            </w:r>
            <w:r>
              <w:rPr>
                <w:rFonts w:hint="default" w:ascii="Times New Roman" w:hAnsi="Times New Roman" w:cs="Times New Roman"/>
                <w:color w:val="auto"/>
                <w:sz w:val="24"/>
                <w:lang w:val="en-US" w:eastAsia="zh-CN"/>
              </w:rPr>
              <w:t>200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，可满足本项目一般固废</w:t>
            </w:r>
            <w:r>
              <w:rPr>
                <w:rFonts w:hint="eastAsia" w:ascii="Times New Roman" w:hAnsi="Times New Roman" w:cs="Times New Roman"/>
                <w:color w:val="auto"/>
                <w:sz w:val="24"/>
                <w:lang w:val="en-US" w:eastAsia="zh-CN"/>
              </w:rPr>
              <w:t>的暂存需求</w:t>
            </w:r>
            <w:r>
              <w:rPr>
                <w:rFonts w:hint="default" w:ascii="Times New Roman" w:hAnsi="Times New Roman" w:cs="Times New Roman"/>
                <w:color w:val="auto"/>
                <w:sz w:val="24"/>
              </w:rPr>
              <w:t>。一般固废分类收集后，定期外售给废旧物资回收公司。</w:t>
            </w:r>
          </w:p>
          <w:p w14:paraId="303874B1">
            <w:pPr>
              <w:keepNext w:val="0"/>
              <w:keepLines w:val="0"/>
              <w:pageBreakBefore w:val="0"/>
              <w:widowControl w:val="0"/>
              <w:kinsoku/>
              <w:wordWrap/>
              <w:overflowPunct/>
              <w:topLinePunct w:val="0"/>
              <w:bidi w:val="0"/>
              <w:spacing w:line="360" w:lineRule="auto"/>
              <w:ind w:firstLine="480" w:firstLineChars="200"/>
              <w:contextualSpacing/>
              <w:textAlignment w:val="auto"/>
              <w:rPr>
                <w:rFonts w:hint="default" w:ascii="Times New Roman" w:hAnsi="Times New Roman" w:cs="Times New Roman"/>
                <w:color w:val="auto"/>
                <w:sz w:val="24"/>
              </w:rPr>
            </w:pPr>
            <w:r>
              <w:rPr>
                <w:rFonts w:hint="default" w:ascii="Times New Roman" w:hAnsi="Times New Roman" w:cs="Times New Roman"/>
                <w:color w:val="auto"/>
                <w:sz w:val="24"/>
              </w:rPr>
              <w:t>综上所述，在落实本次评价提出的处置措施后，对环境影响小，满足环保要求。</w:t>
            </w:r>
          </w:p>
          <w:p w14:paraId="4DA6420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（2）管理要求</w:t>
            </w:r>
          </w:p>
          <w:p w14:paraId="39A26E3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一般固废暂存间：应符合《一般工业固体废物贮存和填埋污染控制标准》（GB18599-2020）提出的环保要求：防粉尘污染、防流失、防雨水进入；贮存应设置环境保护图形的警示、提示标志(环境保护图形标准(GB15562.2-1992)；堆场不得混入生活垃圾或危险废物。</w:t>
            </w:r>
          </w:p>
          <w:p w14:paraId="5403918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危险废物暂存间：</w:t>
            </w:r>
          </w:p>
          <w:p w14:paraId="695BF0A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①</w:t>
            </w:r>
            <w:r>
              <w:rPr>
                <w:rFonts w:hint="default" w:ascii="Times New Roman" w:hAnsi="Times New Roman" w:cs="Times New Roman"/>
                <w:color w:val="auto"/>
                <w:kern w:val="0"/>
                <w:sz w:val="24"/>
                <w:lang w:eastAsia="zh-CN"/>
              </w:rPr>
              <w:t>危险废物贮存库</w:t>
            </w:r>
            <w:r>
              <w:rPr>
                <w:rFonts w:hint="default" w:ascii="Times New Roman" w:hAnsi="Times New Roman" w:cs="Times New Roman"/>
                <w:color w:val="auto"/>
                <w:kern w:val="0"/>
                <w:sz w:val="24"/>
              </w:rPr>
              <w:t>须符合《危险废物贮存污染控制标准》（GB18597－2023）提出的环保要求，地面硬化处理。</w:t>
            </w:r>
          </w:p>
          <w:p w14:paraId="7424318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②危险废物通过人工从设备处桶装运输到</w:t>
            </w:r>
            <w:r>
              <w:rPr>
                <w:rFonts w:hint="default" w:ascii="Times New Roman" w:hAnsi="Times New Roman" w:cs="Times New Roman"/>
                <w:color w:val="auto"/>
                <w:kern w:val="0"/>
                <w:sz w:val="24"/>
                <w:lang w:eastAsia="zh-CN"/>
              </w:rPr>
              <w:t>危险废物贮存库</w:t>
            </w:r>
            <w:r>
              <w:rPr>
                <w:rFonts w:hint="default" w:ascii="Times New Roman" w:hAnsi="Times New Roman" w:cs="Times New Roman"/>
                <w:color w:val="auto"/>
                <w:kern w:val="0"/>
                <w:sz w:val="24"/>
              </w:rPr>
              <w:t>，车间地面硬化，每次运输量小，一般不会散落、</w:t>
            </w:r>
            <w:r>
              <w:rPr>
                <w:rFonts w:hint="eastAsia" w:ascii="Times New Roman" w:hAnsi="Times New Roman" w:cs="Times New Roman"/>
                <w:color w:val="auto"/>
                <w:kern w:val="0"/>
                <w:sz w:val="24"/>
                <w:lang w:val="en-US" w:eastAsia="zh-CN"/>
              </w:rPr>
              <w:t>泄漏</w:t>
            </w:r>
            <w:r>
              <w:rPr>
                <w:rFonts w:hint="default" w:ascii="Times New Roman" w:hAnsi="Times New Roman" w:cs="Times New Roman"/>
                <w:color w:val="auto"/>
                <w:kern w:val="0"/>
                <w:sz w:val="24"/>
              </w:rPr>
              <w:t>，不会对外环境造成影响。企业委托有资质单位将危险废物从</w:t>
            </w:r>
            <w:r>
              <w:rPr>
                <w:rFonts w:hint="default" w:ascii="Times New Roman" w:hAnsi="Times New Roman" w:cs="Times New Roman"/>
                <w:color w:val="auto"/>
                <w:kern w:val="0"/>
                <w:sz w:val="24"/>
                <w:lang w:eastAsia="zh-CN"/>
              </w:rPr>
              <w:t>危险废物贮存库</w:t>
            </w:r>
            <w:r>
              <w:rPr>
                <w:rFonts w:hint="default" w:ascii="Times New Roman" w:hAnsi="Times New Roman" w:cs="Times New Roman"/>
                <w:color w:val="auto"/>
                <w:kern w:val="0"/>
                <w:sz w:val="24"/>
              </w:rPr>
              <w:t>外运，不自行转运。</w:t>
            </w:r>
          </w:p>
          <w:p w14:paraId="61DB795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③</w:t>
            </w:r>
            <w:r>
              <w:rPr>
                <w:rFonts w:hint="default" w:ascii="Times New Roman" w:hAnsi="Times New Roman" w:cs="Times New Roman"/>
                <w:color w:val="auto"/>
                <w:kern w:val="0"/>
                <w:sz w:val="24"/>
                <w:lang w:eastAsia="zh-CN"/>
              </w:rPr>
              <w:t>危险废物贮存库</w:t>
            </w:r>
            <w:r>
              <w:rPr>
                <w:rFonts w:hint="default" w:ascii="Times New Roman" w:hAnsi="Times New Roman" w:cs="Times New Roman"/>
                <w:color w:val="auto"/>
                <w:kern w:val="0"/>
                <w:sz w:val="24"/>
              </w:rPr>
              <w:t>要做到“六防”（防风、防雨、防晒、防渗、防腐、防漏）。收集装于密闭的包装容器，包装容器应选用与装盛物相容的材料制成，容器或包装袋表面应粘贴危险废物标识，禁止将一般工业固体废物和生活垃圾混</w:t>
            </w:r>
            <w:r>
              <w:rPr>
                <w:rFonts w:hint="eastAsia" w:ascii="Times New Roman" w:hAnsi="Times New Roman" w:cs="Times New Roman"/>
                <w:color w:val="auto"/>
                <w:kern w:val="0"/>
                <w:sz w:val="24"/>
                <w:lang w:val="en-US" w:eastAsia="zh-CN"/>
              </w:rPr>
              <w:t>入</w:t>
            </w:r>
            <w:r>
              <w:rPr>
                <w:rFonts w:hint="default" w:ascii="Times New Roman" w:hAnsi="Times New Roman" w:cs="Times New Roman"/>
                <w:color w:val="auto"/>
                <w:kern w:val="0"/>
                <w:sz w:val="24"/>
              </w:rPr>
              <w:t>其内。</w:t>
            </w:r>
          </w:p>
          <w:p w14:paraId="3C79CD3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④贮存区地面与裙脚要用坚固、防渗的材料建造，建筑材料必须与危险废物相容，建议采用环氧树脂地坪或玻璃钢。</w:t>
            </w:r>
          </w:p>
          <w:p w14:paraId="3CB07D20">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⑤不相容的危险废物必须分开存放，并设有隔离间隔断。</w:t>
            </w:r>
          </w:p>
          <w:p w14:paraId="61C0695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⑥危险废物贮存设施必须</w:t>
            </w:r>
            <w:r>
              <w:rPr>
                <w:rFonts w:hint="eastAsia" w:ascii="Times New Roman" w:hAnsi="Times New Roman" w:cs="Times New Roman"/>
                <w:color w:val="auto"/>
                <w:kern w:val="0"/>
                <w:sz w:val="24"/>
                <w:lang w:val="en-US" w:eastAsia="zh-CN"/>
              </w:rPr>
              <w:t>按照</w:t>
            </w:r>
            <w:r>
              <w:rPr>
                <w:rFonts w:hint="default" w:ascii="Times New Roman" w:hAnsi="Times New Roman" w:cs="Times New Roman"/>
                <w:color w:val="auto"/>
                <w:kern w:val="0"/>
                <w:sz w:val="24"/>
              </w:rPr>
              <w:t>《</w:t>
            </w:r>
            <w:r>
              <w:rPr>
                <w:rFonts w:hint="default" w:ascii="Times New Roman" w:hAnsi="Times New Roman" w:cs="Times New Roman"/>
                <w:color w:val="auto"/>
                <w:sz w:val="24"/>
              </w:rPr>
              <w:t>危险废物识别标志设置技术规范》（HJ1276-2022）</w:t>
            </w:r>
            <w:r>
              <w:rPr>
                <w:rFonts w:hint="default" w:ascii="Times New Roman" w:hAnsi="Times New Roman" w:cs="Times New Roman"/>
                <w:color w:val="auto"/>
                <w:kern w:val="0"/>
                <w:sz w:val="24"/>
              </w:rPr>
              <w:t>的规定设置警示标志。</w:t>
            </w:r>
          </w:p>
          <w:p w14:paraId="7430B265">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⑦移交危险废物时，应严格按照</w:t>
            </w:r>
            <w:r>
              <w:rPr>
                <w:rFonts w:hint="default" w:ascii="Times New Roman" w:hAnsi="Times New Roman" w:cs="Times New Roman"/>
                <w:color w:val="auto"/>
                <w:sz w:val="24"/>
              </w:rPr>
              <w:t>《危险废物转移管理办法》（部令第23号）</w:t>
            </w:r>
            <w:r>
              <w:rPr>
                <w:rFonts w:hint="default" w:ascii="Times New Roman" w:hAnsi="Times New Roman" w:cs="Times New Roman"/>
                <w:color w:val="auto"/>
                <w:kern w:val="0"/>
                <w:sz w:val="24"/>
              </w:rPr>
              <w:t>填写危险废物转移联单，并由双方单位保留备查。</w:t>
            </w:r>
          </w:p>
          <w:p w14:paraId="01531E3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rPr>
              <w:t>⑧建立危险废物台账管理制度：根据《中华人民共和国固体废物污染环境防治法》（2020年修订）第七十八条的规定：“产生危险废物的单位，应当按照国家有关规定制定危险废物管理计划，并向所在地县级以上地方人民政府环境保护行政主管部门申报危险废物的种类、生产量、流向、储存、处置等有关资料”。</w:t>
            </w:r>
          </w:p>
          <w:p w14:paraId="12356E91">
            <w:pPr>
              <w:pStyle w:val="49"/>
              <w:keepNext w:val="0"/>
              <w:keepLines w:val="0"/>
              <w:pageBreakBefore w:val="0"/>
              <w:widowControl w:val="0"/>
              <w:kinsoku/>
              <w:wordWrap/>
              <w:overflowPunct/>
              <w:topLinePunct w:val="0"/>
              <w:bidi w:val="0"/>
              <w:spacing w:line="360" w:lineRule="auto"/>
              <w:ind w:firstLine="0" w:firstLineChars="0"/>
              <w:textAlignment w:val="auto"/>
              <w:rPr>
                <w:rFonts w:hint="default" w:ascii="Times New Roman" w:hAnsi="Times New Roman" w:cs="Times New Roman"/>
                <w:b/>
                <w:color w:val="auto"/>
              </w:rPr>
            </w:pPr>
            <w:r>
              <w:rPr>
                <w:rFonts w:hint="default" w:ascii="Times New Roman" w:hAnsi="Times New Roman" w:cs="Times New Roman"/>
                <w:b/>
                <w:color w:val="auto"/>
              </w:rPr>
              <w:t>4.2.5 地下水及土壤</w:t>
            </w:r>
          </w:p>
          <w:p w14:paraId="110F3C9A">
            <w:pPr>
              <w:keepNext w:val="0"/>
              <w:keepLines w:val="0"/>
              <w:pageBreakBefore w:val="0"/>
              <w:widowControl w:val="0"/>
              <w:kinsoku/>
              <w:wordWrap/>
              <w:overflowPunct/>
              <w:topLinePunct w:val="0"/>
              <w:bidi w:val="0"/>
              <w:adjustRightInd w:val="0"/>
              <w:snapToGrid w:val="0"/>
              <w:spacing w:line="360" w:lineRule="auto"/>
              <w:textAlignment w:val="auto"/>
              <w:rPr>
                <w:rFonts w:hint="default" w:ascii="Times New Roman" w:hAnsi="Times New Roman" w:cs="Times New Roman"/>
                <w:b/>
                <w:color w:val="auto"/>
                <w:sz w:val="24"/>
              </w:rPr>
            </w:pPr>
            <w:r>
              <w:rPr>
                <w:rFonts w:hint="default" w:ascii="Times New Roman" w:hAnsi="Times New Roman" w:cs="Times New Roman"/>
                <w:b/>
                <w:color w:val="auto"/>
                <w:sz w:val="24"/>
              </w:rPr>
              <w:t>4.2.5.1地下水及土壤污染源、污染物类型及污染途径</w:t>
            </w:r>
          </w:p>
          <w:p w14:paraId="7D7C5BDF">
            <w:pPr>
              <w:keepNext w:val="0"/>
              <w:keepLines w:val="0"/>
              <w:pageBreakBefore w:val="0"/>
              <w:widowControl w:val="0"/>
              <w:kinsoku/>
              <w:wordWrap/>
              <w:overflowPunct/>
              <w:topLinePunct w:val="0"/>
              <w:bidi w:val="0"/>
              <w:spacing w:line="360" w:lineRule="auto"/>
              <w:ind w:firstLine="482" w:firstLineChars="200"/>
              <w:textAlignment w:val="auto"/>
              <w:rPr>
                <w:rFonts w:hint="default" w:ascii="Times New Roman" w:hAnsi="Times New Roman" w:cs="Times New Roman"/>
                <w:b/>
                <w:color w:val="auto"/>
                <w:sz w:val="24"/>
              </w:rPr>
            </w:pPr>
            <w:r>
              <w:rPr>
                <w:rFonts w:hint="default" w:ascii="Times New Roman" w:hAnsi="Times New Roman" w:cs="Times New Roman"/>
                <w:b/>
                <w:color w:val="auto"/>
                <w:sz w:val="24"/>
                <w:lang w:bidi="ar"/>
              </w:rPr>
              <w:t>1、地下水、土壤环境影响途径</w:t>
            </w:r>
          </w:p>
          <w:p w14:paraId="22BDED2A">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本项目涉及地下水、土壤环境污染的物质有：润滑油、防锈剂</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除锈剂</w:t>
            </w:r>
            <w:r>
              <w:rPr>
                <w:rFonts w:hint="default" w:ascii="Times New Roman" w:hAnsi="Times New Roman" w:cs="Times New Roman"/>
                <w:color w:val="auto"/>
                <w:sz w:val="24"/>
              </w:rPr>
              <w:t>、废润滑油等。其中，润滑油、防锈剂</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除锈剂</w:t>
            </w:r>
            <w:r>
              <w:rPr>
                <w:rFonts w:hint="default" w:ascii="Times New Roman" w:hAnsi="Times New Roman" w:cs="Times New Roman"/>
                <w:color w:val="auto"/>
                <w:sz w:val="24"/>
              </w:rPr>
              <w:t>等储存于厂房原辅料暂存区，设置有专门储存区；废润滑油等储存于危险废物贮存库。</w:t>
            </w:r>
          </w:p>
          <w:p w14:paraId="28BFE1CC">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存在地下水、土壤环境影响途径的为原辅料暂存区（液态原料暂存区）、危险废物贮存库的液态物质渗漏。</w:t>
            </w:r>
          </w:p>
          <w:p w14:paraId="02C57D27">
            <w:pPr>
              <w:keepNext w:val="0"/>
              <w:keepLines w:val="0"/>
              <w:pageBreakBefore w:val="0"/>
              <w:widowControl w:val="0"/>
              <w:kinsoku/>
              <w:wordWrap/>
              <w:overflowPunct/>
              <w:topLinePunct w:val="0"/>
              <w:bidi w:val="0"/>
              <w:spacing w:line="360" w:lineRule="auto"/>
              <w:ind w:firstLine="482" w:firstLineChars="200"/>
              <w:textAlignment w:val="auto"/>
              <w:rPr>
                <w:rFonts w:hint="default" w:ascii="Times New Roman" w:hAnsi="Times New Roman" w:cs="Times New Roman"/>
                <w:b/>
                <w:color w:val="auto"/>
                <w:sz w:val="24"/>
                <w:lang w:bidi="ar"/>
              </w:rPr>
            </w:pPr>
            <w:r>
              <w:rPr>
                <w:rFonts w:hint="default" w:ascii="Times New Roman" w:hAnsi="Times New Roman" w:cs="Times New Roman"/>
                <w:b/>
                <w:color w:val="auto"/>
                <w:sz w:val="24"/>
                <w:lang w:bidi="ar"/>
              </w:rPr>
              <w:t>2、污染防护措施</w:t>
            </w:r>
          </w:p>
          <w:p w14:paraId="24D461BE">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针对项目可能发生的地下水污染，地下水污染防治措施按照“源头控制、分区防治、应急响应”相结合的原则，从污染物的产生、入渗、扩散、应急响应全方位进行控制。</w:t>
            </w:r>
          </w:p>
          <w:p w14:paraId="5EDA5C9F">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分区防渗控制措施：</w:t>
            </w:r>
          </w:p>
          <w:p w14:paraId="429C4B73">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重点防渗区：</w:t>
            </w:r>
            <w:r>
              <w:rPr>
                <w:rFonts w:hint="default" w:ascii="Times New Roman" w:hAnsi="Times New Roman" w:cs="Times New Roman"/>
                <w:color w:val="auto"/>
                <w:sz w:val="24"/>
              </w:rPr>
              <w:t>原辅料暂存区（液态原料暂存区）</w:t>
            </w:r>
            <w:r>
              <w:rPr>
                <w:rFonts w:hint="default" w:ascii="Times New Roman" w:hAnsi="Times New Roman" w:cs="Times New Roman"/>
                <w:bCs/>
                <w:color w:val="auto"/>
                <w:sz w:val="24"/>
              </w:rPr>
              <w:t>、危险废物贮存库。表面防渗措施，</w:t>
            </w:r>
            <w:r>
              <w:rPr>
                <w:rFonts w:hint="default" w:ascii="Times New Roman" w:hAnsi="Times New Roman" w:cs="Times New Roman"/>
                <w:color w:val="auto"/>
                <w:sz w:val="24"/>
              </w:rPr>
              <w:t>采用抗渗混凝土、高密度聚乙烯膜、钠基膨润土防水毯或其他防渗性能等效的材料，同时模具保养间地面采取基础防渗，防渗层为至少1</w:t>
            </w:r>
            <w:r>
              <w:rPr>
                <w:rFonts w:hint="default" w:ascii="Times New Roman" w:hAnsi="Times New Roman" w:cs="Times New Roman"/>
                <w:color w:val="auto"/>
                <w:sz w:val="24"/>
                <w:lang w:val="en-US" w:eastAsia="zh-CN"/>
              </w:rPr>
              <w:t>m</w:t>
            </w:r>
            <w:r>
              <w:rPr>
                <w:rFonts w:hint="default" w:ascii="Times New Roman" w:hAnsi="Times New Roman" w:cs="Times New Roman"/>
                <w:color w:val="auto"/>
                <w:sz w:val="24"/>
              </w:rPr>
              <w:t>厚黏土层（渗透系数不大于</w:t>
            </w:r>
            <w:r>
              <w:rPr>
                <w:rFonts w:hint="default" w:ascii="Times New Roman" w:hAnsi="Times New Roman" w:cs="Times New Roman"/>
                <w:bCs/>
                <w:color w:val="auto"/>
                <w:sz w:val="24"/>
              </w:rPr>
              <w:t>10</w:t>
            </w:r>
            <w:r>
              <w:rPr>
                <w:rFonts w:hint="default" w:ascii="Times New Roman" w:hAnsi="Times New Roman" w:cs="Times New Roman"/>
                <w:bCs/>
                <w:color w:val="auto"/>
                <w:sz w:val="24"/>
                <w:vertAlign w:val="superscript"/>
              </w:rPr>
              <w:t>-7</w:t>
            </w:r>
            <w:r>
              <w:rPr>
                <w:rFonts w:hint="default" w:ascii="Times New Roman" w:hAnsi="Times New Roman" w:cs="Times New Roman"/>
                <w:bCs/>
                <w:color w:val="auto"/>
                <w:sz w:val="24"/>
              </w:rPr>
              <w:t>cm/s</w:t>
            </w:r>
            <w:r>
              <w:rPr>
                <w:rFonts w:hint="default" w:ascii="Times New Roman" w:hAnsi="Times New Roman" w:cs="Times New Roman"/>
                <w:color w:val="auto"/>
                <w:sz w:val="24"/>
              </w:rPr>
              <w:t>），或</w:t>
            </w:r>
            <w:r>
              <w:rPr>
                <w:rFonts w:hint="eastAsia" w:ascii="Times New Roman" w:hAnsi="Times New Roman" w:cs="Times New Roman"/>
                <w:color w:val="auto"/>
                <w:sz w:val="24"/>
                <w:lang w:val="en-US" w:eastAsia="zh-CN"/>
              </w:rPr>
              <w:t>至</w:t>
            </w:r>
            <w:r>
              <w:rPr>
                <w:rFonts w:hint="default" w:ascii="Times New Roman" w:hAnsi="Times New Roman" w:cs="Times New Roman"/>
                <w:color w:val="auto"/>
                <w:sz w:val="24"/>
              </w:rPr>
              <w:t>少2mm厚高密度聚乙烯膜等人工防渗材料（渗透系数不大于</w:t>
            </w:r>
            <w:r>
              <w:rPr>
                <w:rFonts w:hint="default" w:ascii="Times New Roman" w:hAnsi="Times New Roman" w:cs="Times New Roman"/>
                <w:bCs/>
                <w:color w:val="auto"/>
                <w:sz w:val="24"/>
              </w:rPr>
              <w:t>10</w:t>
            </w:r>
            <w:r>
              <w:rPr>
                <w:rFonts w:hint="default" w:ascii="Times New Roman" w:hAnsi="Times New Roman" w:cs="Times New Roman"/>
                <w:bCs/>
                <w:color w:val="auto"/>
                <w:sz w:val="24"/>
                <w:vertAlign w:val="superscript"/>
              </w:rPr>
              <w:t>-10</w:t>
            </w:r>
            <w:r>
              <w:rPr>
                <w:rFonts w:hint="default" w:ascii="Times New Roman" w:hAnsi="Times New Roman" w:cs="Times New Roman"/>
                <w:bCs/>
                <w:color w:val="auto"/>
                <w:sz w:val="24"/>
              </w:rPr>
              <w:t>cm/s</w:t>
            </w:r>
            <w:r>
              <w:rPr>
                <w:rFonts w:hint="default" w:ascii="Times New Roman" w:hAnsi="Times New Roman" w:cs="Times New Roman"/>
                <w:color w:val="auto"/>
                <w:sz w:val="24"/>
              </w:rPr>
              <w:t>），或其他防渗性能等效的材料</w:t>
            </w:r>
            <w:r>
              <w:rPr>
                <w:rFonts w:hint="default" w:ascii="Times New Roman" w:hAnsi="Times New Roman" w:cs="Times New Roman"/>
                <w:bCs/>
                <w:color w:val="auto"/>
                <w:sz w:val="24"/>
              </w:rPr>
              <w:t>。</w:t>
            </w:r>
          </w:p>
          <w:p w14:paraId="0AD772BB">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一般防渗区：主要为生产车间，防渗层的防渗性能不应低于1.5m厚防渗系数1×10</w:t>
            </w:r>
            <w:r>
              <w:rPr>
                <w:rFonts w:hint="default" w:ascii="Times New Roman" w:hAnsi="Times New Roman" w:cs="Times New Roman"/>
                <w:bCs/>
                <w:color w:val="auto"/>
                <w:sz w:val="24"/>
                <w:vertAlign w:val="superscript"/>
              </w:rPr>
              <w:t>-7</w:t>
            </w:r>
            <w:r>
              <w:rPr>
                <w:rFonts w:hint="default" w:ascii="Times New Roman" w:hAnsi="Times New Roman" w:cs="Times New Roman"/>
                <w:bCs/>
                <w:color w:val="auto"/>
                <w:sz w:val="24"/>
              </w:rPr>
              <w:t>cm/s的等效黏土层的防渗性能。</w:t>
            </w:r>
          </w:p>
          <w:p w14:paraId="59DFE97C">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bCs/>
                <w:color w:val="auto"/>
                <w:sz w:val="24"/>
              </w:rPr>
              <w:t>简单防渗区：除以上区域的其他区域，采用地面硬化处理</w:t>
            </w:r>
            <w:r>
              <w:rPr>
                <w:rFonts w:hint="default" w:ascii="Times New Roman" w:hAnsi="Times New Roman" w:cs="Times New Roman"/>
                <w:color w:val="auto"/>
                <w:sz w:val="24"/>
              </w:rPr>
              <w:t>。</w:t>
            </w:r>
          </w:p>
          <w:p w14:paraId="12AFB363">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0000FF"/>
                <w:sz w:val="24"/>
                <w:lang w:val="en-US" w:eastAsia="zh-CN"/>
              </w:rPr>
            </w:pPr>
            <w:r>
              <w:rPr>
                <w:rFonts w:hint="eastAsia" w:cs="Times New Roman"/>
                <w:color w:val="0000FF"/>
                <w:sz w:val="24"/>
                <w:lang w:val="en-US" w:eastAsia="zh-CN"/>
              </w:rPr>
              <w:t>本项目重点防渗区和一般防渗区位于厂房1楼，2~5楼均为简单防渗区。</w:t>
            </w:r>
          </w:p>
          <w:p w14:paraId="5185B5DD">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kern w:val="0"/>
                <w:sz w:val="24"/>
              </w:rPr>
            </w:pPr>
            <w:r>
              <w:rPr>
                <w:rFonts w:hint="default" w:ascii="Times New Roman" w:hAnsi="Times New Roman" w:cs="Times New Roman"/>
                <w:color w:val="auto"/>
                <w:sz w:val="24"/>
              </w:rPr>
              <w:t>项目区域按照上述要求进行重点防渗、一般防渗和简单防渗处理，项目对可能产生地下水、土壤影响的各项途径进行有效预防后，在确保各项防渗措施得以落实，并加强环境管理的前提下，可有效控制项目废水污染物下渗现象，避免污染地下水和土壤。因此，项目对区域地下水环境产生的影响较轻微。</w:t>
            </w:r>
          </w:p>
          <w:p w14:paraId="1379253A">
            <w:pPr>
              <w:pStyle w:val="49"/>
              <w:keepNext w:val="0"/>
              <w:keepLines w:val="0"/>
              <w:pageBreakBefore w:val="0"/>
              <w:widowControl w:val="0"/>
              <w:kinsoku/>
              <w:wordWrap/>
              <w:overflowPunct/>
              <w:topLinePunct w:val="0"/>
              <w:bidi w:val="0"/>
              <w:spacing w:line="360" w:lineRule="auto"/>
              <w:ind w:firstLine="0" w:firstLineChars="0"/>
              <w:textAlignment w:val="auto"/>
              <w:rPr>
                <w:rFonts w:hint="default" w:ascii="Times New Roman" w:hAnsi="Times New Roman" w:cs="Times New Roman"/>
                <w:b/>
                <w:color w:val="auto"/>
              </w:rPr>
            </w:pPr>
            <w:r>
              <w:rPr>
                <w:rFonts w:hint="default" w:ascii="Times New Roman" w:hAnsi="Times New Roman" w:cs="Times New Roman"/>
                <w:b/>
                <w:color w:val="auto"/>
              </w:rPr>
              <w:t>4.2.6 环境风险</w:t>
            </w:r>
          </w:p>
          <w:p w14:paraId="4C6C8205">
            <w:pPr>
              <w:pStyle w:val="49"/>
              <w:keepNext w:val="0"/>
              <w:keepLines w:val="0"/>
              <w:pageBreakBefore w:val="0"/>
              <w:widowControl w:val="0"/>
              <w:kinsoku/>
              <w:wordWrap/>
              <w:overflowPunct/>
              <w:topLinePunct w:val="0"/>
              <w:bidi w:val="0"/>
              <w:spacing w:line="360" w:lineRule="auto"/>
              <w:ind w:firstLine="0" w:firstLineChars="0"/>
              <w:textAlignment w:val="auto"/>
              <w:rPr>
                <w:rFonts w:hint="default" w:ascii="Times New Roman" w:hAnsi="Times New Roman" w:cs="Times New Roman"/>
                <w:b/>
                <w:color w:val="auto"/>
              </w:rPr>
            </w:pPr>
            <w:r>
              <w:rPr>
                <w:rFonts w:hint="default" w:ascii="Times New Roman" w:hAnsi="Times New Roman" w:cs="Times New Roman"/>
                <w:b/>
                <w:color w:val="auto"/>
              </w:rPr>
              <w:t>4.2.6.1 环境风险调查</w:t>
            </w:r>
          </w:p>
          <w:p w14:paraId="66D9EDBD">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（1）环境风险调查</w:t>
            </w:r>
          </w:p>
          <w:p w14:paraId="190866D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根据项目生产工艺和企业提供原辅材料相关资料，并结合《建设项目环境风险评价技术导则》（HJ 169-2018）、《危险化学品重大危险源辨识》（GB18218-2018），本项目实施后全厂涉及的风险物质主要为润滑油、防锈剂</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除锈剂</w:t>
            </w:r>
            <w:r>
              <w:rPr>
                <w:rFonts w:hint="default" w:ascii="Times New Roman" w:hAnsi="Times New Roman" w:cs="Times New Roman"/>
                <w:color w:val="auto"/>
                <w:sz w:val="24"/>
              </w:rPr>
              <w:t>、废润滑油等物质。</w:t>
            </w:r>
          </w:p>
          <w:p w14:paraId="42F65D1A">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项目主要风险物质数量及分布情况见表4</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-2</w:t>
            </w:r>
            <w:r>
              <w:rPr>
                <w:rFonts w:hint="eastAsia" w:ascii="Times New Roman" w:hAnsi="Times New Roman" w:cs="Times New Roman"/>
                <w:color w:val="auto"/>
                <w:sz w:val="24"/>
                <w:lang w:val="en-US" w:eastAsia="zh-CN"/>
              </w:rPr>
              <w:t>6</w:t>
            </w:r>
            <w:r>
              <w:rPr>
                <w:rFonts w:hint="default" w:ascii="Times New Roman" w:hAnsi="Times New Roman" w:cs="Times New Roman"/>
                <w:color w:val="auto"/>
                <w:sz w:val="24"/>
              </w:rPr>
              <w:t>。</w:t>
            </w:r>
          </w:p>
          <w:p w14:paraId="3D3EE577">
            <w:pPr>
              <w:spacing w:line="240" w:lineRule="auto"/>
              <w:ind w:firstLine="482" w:firstLineChars="200"/>
              <w:jc w:val="center"/>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表4</w:t>
            </w:r>
            <w:r>
              <w:rPr>
                <w:rFonts w:hint="default" w:ascii="Times New Roman" w:hAnsi="Times New Roman" w:cs="Times New Roman"/>
                <w:b/>
                <w:color w:val="auto"/>
                <w:kern w:val="0"/>
                <w:sz w:val="24"/>
                <w:lang w:val="en-US" w:eastAsia="zh-CN"/>
              </w:rPr>
              <w:t>.2</w:t>
            </w:r>
            <w:r>
              <w:rPr>
                <w:rFonts w:hint="default" w:ascii="Times New Roman" w:hAnsi="Times New Roman" w:cs="Times New Roman"/>
                <w:b/>
                <w:color w:val="auto"/>
                <w:kern w:val="0"/>
                <w:sz w:val="24"/>
              </w:rPr>
              <w:t>-2</w:t>
            </w:r>
            <w:r>
              <w:rPr>
                <w:rFonts w:hint="eastAsia" w:ascii="Times New Roman" w:hAnsi="Times New Roman" w:cs="Times New Roman"/>
                <w:b/>
                <w:color w:val="auto"/>
                <w:kern w:val="0"/>
                <w:sz w:val="24"/>
                <w:lang w:val="en-US" w:eastAsia="zh-CN"/>
              </w:rPr>
              <w:t>6</w:t>
            </w:r>
            <w:r>
              <w:rPr>
                <w:rFonts w:hint="default" w:ascii="Times New Roman" w:hAnsi="Times New Roman" w:cs="Times New Roman"/>
                <w:b/>
                <w:color w:val="auto"/>
                <w:kern w:val="0"/>
                <w:sz w:val="24"/>
              </w:rPr>
              <w:t xml:space="preserve">   项目危险物质贮存一览表</w:t>
            </w:r>
          </w:p>
          <w:tbl>
            <w:tblPr>
              <w:tblStyle w:val="35"/>
              <w:tblW w:w="8700"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2063"/>
              <w:gridCol w:w="1397"/>
              <w:gridCol w:w="1515"/>
              <w:gridCol w:w="1515"/>
              <w:gridCol w:w="1515"/>
            </w:tblGrid>
            <w:tr w14:paraId="55AF5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695" w:type="dxa"/>
                  <w:noWrap w:val="0"/>
                  <w:vAlign w:val="center"/>
                </w:tcPr>
                <w:p w14:paraId="49EF7575">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序号</w:t>
                  </w:r>
                </w:p>
              </w:tc>
              <w:tc>
                <w:tcPr>
                  <w:tcW w:w="2063" w:type="dxa"/>
                  <w:noWrap w:val="0"/>
                  <w:vAlign w:val="center"/>
                </w:tcPr>
                <w:p w14:paraId="0DE302D5">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物质名称</w:t>
                  </w:r>
                </w:p>
              </w:tc>
              <w:tc>
                <w:tcPr>
                  <w:tcW w:w="1397" w:type="dxa"/>
                  <w:noWrap w:val="0"/>
                  <w:vAlign w:val="center"/>
                </w:tcPr>
                <w:p w14:paraId="3DADA84E">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储存方式</w:t>
                  </w:r>
                </w:p>
              </w:tc>
              <w:tc>
                <w:tcPr>
                  <w:tcW w:w="1515" w:type="dxa"/>
                  <w:noWrap w:val="0"/>
                  <w:vAlign w:val="center"/>
                </w:tcPr>
                <w:p w14:paraId="531AB8DC">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包装规格</w:t>
                  </w:r>
                </w:p>
              </w:tc>
              <w:tc>
                <w:tcPr>
                  <w:tcW w:w="1515" w:type="dxa"/>
                  <w:noWrap w:val="0"/>
                  <w:vAlign w:val="center"/>
                </w:tcPr>
                <w:p w14:paraId="52C835D4">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厂区最大存在量</w:t>
                  </w:r>
                </w:p>
              </w:tc>
              <w:tc>
                <w:tcPr>
                  <w:tcW w:w="1515" w:type="dxa"/>
                  <w:noWrap w:val="0"/>
                  <w:vAlign w:val="center"/>
                </w:tcPr>
                <w:p w14:paraId="37FE7271">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储存场所</w:t>
                  </w:r>
                </w:p>
              </w:tc>
            </w:tr>
            <w:tr w14:paraId="27321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dxa"/>
                  <w:noWrap w:val="0"/>
                  <w:vAlign w:val="center"/>
                </w:tcPr>
                <w:p w14:paraId="0E951B4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c>
                <w:tcPr>
                  <w:tcW w:w="2063" w:type="dxa"/>
                  <w:noWrap w:val="0"/>
                  <w:vAlign w:val="center"/>
                </w:tcPr>
                <w:p w14:paraId="51B9DCB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油墨</w:t>
                  </w:r>
                </w:p>
              </w:tc>
              <w:tc>
                <w:tcPr>
                  <w:tcW w:w="1397" w:type="dxa"/>
                  <w:noWrap w:val="0"/>
                  <w:vAlign w:val="center"/>
                </w:tcPr>
                <w:p w14:paraId="3D5D6AF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桶装</w:t>
                  </w:r>
                </w:p>
              </w:tc>
              <w:tc>
                <w:tcPr>
                  <w:tcW w:w="1515" w:type="dxa"/>
                  <w:noWrap w:val="0"/>
                  <w:vAlign w:val="center"/>
                </w:tcPr>
                <w:p w14:paraId="65A72B1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5kg/</w:t>
                  </w:r>
                  <w:r>
                    <w:rPr>
                      <w:rFonts w:hint="eastAsia" w:ascii="宋体" w:hAnsi="宋体" w:eastAsia="宋体" w:cs="宋体"/>
                      <w:i w:val="0"/>
                      <w:iCs w:val="0"/>
                      <w:color w:val="0000FF"/>
                      <w:kern w:val="0"/>
                      <w:sz w:val="21"/>
                      <w:szCs w:val="21"/>
                      <w:u w:val="none"/>
                      <w:lang w:val="en-US" w:eastAsia="zh-CN" w:bidi="ar"/>
                    </w:rPr>
                    <w:t>桶</w:t>
                  </w:r>
                </w:p>
              </w:tc>
              <w:tc>
                <w:tcPr>
                  <w:tcW w:w="1515" w:type="dxa"/>
                  <w:noWrap w:val="0"/>
                  <w:vAlign w:val="center"/>
                </w:tcPr>
                <w:p w14:paraId="5B06159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0.2919t</w:t>
                  </w:r>
                </w:p>
              </w:tc>
              <w:tc>
                <w:tcPr>
                  <w:tcW w:w="1515" w:type="dxa"/>
                  <w:vMerge w:val="restart"/>
                  <w:noWrap w:val="0"/>
                  <w:vAlign w:val="center"/>
                </w:tcPr>
                <w:p w14:paraId="7C77E51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原辅料暂存区（液态原料暂存区）</w:t>
                  </w:r>
                </w:p>
              </w:tc>
            </w:tr>
            <w:tr w14:paraId="22717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dxa"/>
                  <w:noWrap w:val="0"/>
                  <w:vAlign w:val="center"/>
                </w:tcPr>
                <w:p w14:paraId="45239B5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w:t>
                  </w:r>
                </w:p>
              </w:tc>
              <w:tc>
                <w:tcPr>
                  <w:tcW w:w="2063" w:type="dxa"/>
                  <w:noWrap w:val="0"/>
                  <w:vAlign w:val="center"/>
                </w:tcPr>
                <w:p w14:paraId="474BD49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稀释剂</w:t>
                  </w:r>
                </w:p>
              </w:tc>
              <w:tc>
                <w:tcPr>
                  <w:tcW w:w="1397" w:type="dxa"/>
                  <w:noWrap w:val="0"/>
                  <w:vAlign w:val="center"/>
                </w:tcPr>
                <w:p w14:paraId="46C5933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桶装</w:t>
                  </w:r>
                </w:p>
              </w:tc>
              <w:tc>
                <w:tcPr>
                  <w:tcW w:w="1515" w:type="dxa"/>
                  <w:noWrap w:val="0"/>
                  <w:vAlign w:val="center"/>
                </w:tcPr>
                <w:p w14:paraId="3CF0AFD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5kg/</w:t>
                  </w:r>
                  <w:r>
                    <w:rPr>
                      <w:rFonts w:hint="eastAsia" w:ascii="宋体" w:hAnsi="宋体" w:eastAsia="宋体" w:cs="宋体"/>
                      <w:i w:val="0"/>
                      <w:iCs w:val="0"/>
                      <w:color w:val="0000FF"/>
                      <w:kern w:val="0"/>
                      <w:sz w:val="21"/>
                      <w:szCs w:val="21"/>
                      <w:u w:val="none"/>
                      <w:lang w:val="en-US" w:eastAsia="zh-CN" w:bidi="ar"/>
                    </w:rPr>
                    <w:t>桶</w:t>
                  </w:r>
                </w:p>
              </w:tc>
              <w:tc>
                <w:tcPr>
                  <w:tcW w:w="1515" w:type="dxa"/>
                  <w:noWrap w:val="0"/>
                  <w:vAlign w:val="center"/>
                </w:tcPr>
                <w:p w14:paraId="1B32BDE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0.0292t</w:t>
                  </w:r>
                </w:p>
              </w:tc>
              <w:tc>
                <w:tcPr>
                  <w:tcW w:w="1515" w:type="dxa"/>
                  <w:vMerge w:val="continue"/>
                  <w:noWrap w:val="0"/>
                  <w:vAlign w:val="center"/>
                </w:tcPr>
                <w:p w14:paraId="77AF32F8">
                  <w:pPr>
                    <w:jc w:val="center"/>
                    <w:rPr>
                      <w:rFonts w:hint="default" w:ascii="Times New Roman" w:hAnsi="Times New Roman" w:eastAsia="宋体" w:cs="Times New Roman"/>
                      <w:i w:val="0"/>
                      <w:iCs w:val="0"/>
                      <w:color w:val="0000FF"/>
                      <w:sz w:val="21"/>
                      <w:szCs w:val="21"/>
                      <w:u w:val="none"/>
                    </w:rPr>
                  </w:pPr>
                </w:p>
              </w:tc>
            </w:tr>
            <w:tr w14:paraId="5C2F1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dxa"/>
                  <w:noWrap w:val="0"/>
                  <w:vAlign w:val="center"/>
                </w:tcPr>
                <w:p w14:paraId="38B4B71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w:t>
                  </w:r>
                </w:p>
              </w:tc>
              <w:tc>
                <w:tcPr>
                  <w:tcW w:w="2063" w:type="dxa"/>
                  <w:noWrap w:val="0"/>
                  <w:vAlign w:val="center"/>
                </w:tcPr>
                <w:p w14:paraId="1127CC6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固化剂</w:t>
                  </w:r>
                </w:p>
              </w:tc>
              <w:tc>
                <w:tcPr>
                  <w:tcW w:w="1397" w:type="dxa"/>
                  <w:noWrap w:val="0"/>
                  <w:vAlign w:val="center"/>
                </w:tcPr>
                <w:p w14:paraId="19521B1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桶装</w:t>
                  </w:r>
                </w:p>
              </w:tc>
              <w:tc>
                <w:tcPr>
                  <w:tcW w:w="1515" w:type="dxa"/>
                  <w:noWrap w:val="0"/>
                  <w:vAlign w:val="center"/>
                </w:tcPr>
                <w:p w14:paraId="5CB9F95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5kg/</w:t>
                  </w:r>
                  <w:r>
                    <w:rPr>
                      <w:rFonts w:hint="eastAsia" w:ascii="宋体" w:hAnsi="宋体" w:eastAsia="宋体" w:cs="宋体"/>
                      <w:i w:val="0"/>
                      <w:iCs w:val="0"/>
                      <w:color w:val="0000FF"/>
                      <w:kern w:val="0"/>
                      <w:sz w:val="21"/>
                      <w:szCs w:val="21"/>
                      <w:u w:val="none"/>
                      <w:lang w:val="en-US" w:eastAsia="zh-CN" w:bidi="ar"/>
                    </w:rPr>
                    <w:t>桶</w:t>
                  </w:r>
                </w:p>
              </w:tc>
              <w:tc>
                <w:tcPr>
                  <w:tcW w:w="1515" w:type="dxa"/>
                  <w:noWrap w:val="0"/>
                  <w:vAlign w:val="center"/>
                </w:tcPr>
                <w:p w14:paraId="4FA52AC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0.0438t</w:t>
                  </w:r>
                </w:p>
              </w:tc>
              <w:tc>
                <w:tcPr>
                  <w:tcW w:w="1515" w:type="dxa"/>
                  <w:vMerge w:val="continue"/>
                  <w:noWrap w:val="0"/>
                  <w:vAlign w:val="center"/>
                </w:tcPr>
                <w:p w14:paraId="55A0C622">
                  <w:pPr>
                    <w:jc w:val="center"/>
                    <w:rPr>
                      <w:rFonts w:hint="default" w:ascii="Times New Roman" w:hAnsi="Times New Roman" w:eastAsia="宋体" w:cs="Times New Roman"/>
                      <w:i w:val="0"/>
                      <w:iCs w:val="0"/>
                      <w:color w:val="0000FF"/>
                      <w:sz w:val="21"/>
                      <w:szCs w:val="21"/>
                      <w:u w:val="none"/>
                    </w:rPr>
                  </w:pPr>
                </w:p>
              </w:tc>
            </w:tr>
            <w:tr w14:paraId="3F1DF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dxa"/>
                  <w:noWrap w:val="0"/>
                  <w:vAlign w:val="center"/>
                </w:tcPr>
                <w:p w14:paraId="78C2ADC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w:t>
                  </w:r>
                </w:p>
              </w:tc>
              <w:tc>
                <w:tcPr>
                  <w:tcW w:w="2063" w:type="dxa"/>
                  <w:noWrap w:val="0"/>
                  <w:vAlign w:val="center"/>
                </w:tcPr>
                <w:p w14:paraId="5E3C55C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防白水</w:t>
                  </w:r>
                </w:p>
              </w:tc>
              <w:tc>
                <w:tcPr>
                  <w:tcW w:w="1397" w:type="dxa"/>
                  <w:noWrap w:val="0"/>
                  <w:vAlign w:val="center"/>
                </w:tcPr>
                <w:p w14:paraId="4AD229B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桶装</w:t>
                  </w:r>
                </w:p>
              </w:tc>
              <w:tc>
                <w:tcPr>
                  <w:tcW w:w="1515" w:type="dxa"/>
                  <w:noWrap w:val="0"/>
                  <w:vAlign w:val="center"/>
                </w:tcPr>
                <w:p w14:paraId="7CA6BA0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5kg/</w:t>
                  </w:r>
                  <w:r>
                    <w:rPr>
                      <w:rFonts w:hint="eastAsia" w:ascii="宋体" w:hAnsi="宋体" w:eastAsia="宋体" w:cs="宋体"/>
                      <w:i w:val="0"/>
                      <w:iCs w:val="0"/>
                      <w:color w:val="0000FF"/>
                      <w:kern w:val="0"/>
                      <w:sz w:val="21"/>
                      <w:szCs w:val="21"/>
                      <w:u w:val="none"/>
                      <w:lang w:val="en-US" w:eastAsia="zh-CN" w:bidi="ar"/>
                    </w:rPr>
                    <w:t>桶</w:t>
                  </w:r>
                </w:p>
              </w:tc>
              <w:tc>
                <w:tcPr>
                  <w:tcW w:w="1515" w:type="dxa"/>
                  <w:noWrap w:val="0"/>
                  <w:vAlign w:val="center"/>
                </w:tcPr>
                <w:p w14:paraId="53EDD1F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0.01t</w:t>
                  </w:r>
                </w:p>
              </w:tc>
              <w:tc>
                <w:tcPr>
                  <w:tcW w:w="1515" w:type="dxa"/>
                  <w:vMerge w:val="continue"/>
                  <w:noWrap w:val="0"/>
                  <w:vAlign w:val="center"/>
                </w:tcPr>
                <w:p w14:paraId="3E2B4C47">
                  <w:pPr>
                    <w:jc w:val="center"/>
                    <w:rPr>
                      <w:rFonts w:hint="default" w:ascii="Times New Roman" w:hAnsi="Times New Roman" w:eastAsia="宋体" w:cs="Times New Roman"/>
                      <w:i w:val="0"/>
                      <w:iCs w:val="0"/>
                      <w:color w:val="0000FF"/>
                      <w:sz w:val="21"/>
                      <w:szCs w:val="21"/>
                      <w:u w:val="none"/>
                    </w:rPr>
                  </w:pPr>
                </w:p>
              </w:tc>
            </w:tr>
            <w:tr w14:paraId="771D7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dxa"/>
                  <w:noWrap w:val="0"/>
                  <w:vAlign w:val="center"/>
                </w:tcPr>
                <w:p w14:paraId="137CC16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w:t>
                  </w:r>
                </w:p>
              </w:tc>
              <w:tc>
                <w:tcPr>
                  <w:tcW w:w="2063" w:type="dxa"/>
                  <w:noWrap w:val="0"/>
                  <w:vAlign w:val="center"/>
                </w:tcPr>
                <w:p w14:paraId="67A09C7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洗网水</w:t>
                  </w:r>
                </w:p>
              </w:tc>
              <w:tc>
                <w:tcPr>
                  <w:tcW w:w="1397" w:type="dxa"/>
                  <w:noWrap w:val="0"/>
                  <w:vAlign w:val="center"/>
                </w:tcPr>
                <w:p w14:paraId="6E6130E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桶装</w:t>
                  </w:r>
                </w:p>
              </w:tc>
              <w:tc>
                <w:tcPr>
                  <w:tcW w:w="1515" w:type="dxa"/>
                  <w:noWrap w:val="0"/>
                  <w:vAlign w:val="center"/>
                </w:tcPr>
                <w:p w14:paraId="6BC7701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5kg/</w:t>
                  </w:r>
                  <w:r>
                    <w:rPr>
                      <w:rFonts w:hint="eastAsia" w:ascii="宋体" w:hAnsi="宋体" w:eastAsia="宋体" w:cs="宋体"/>
                      <w:i w:val="0"/>
                      <w:iCs w:val="0"/>
                      <w:color w:val="0000FF"/>
                      <w:kern w:val="0"/>
                      <w:sz w:val="21"/>
                      <w:szCs w:val="21"/>
                      <w:u w:val="none"/>
                      <w:lang w:val="en-US" w:eastAsia="zh-CN" w:bidi="ar"/>
                    </w:rPr>
                    <w:t>桶</w:t>
                  </w:r>
                </w:p>
              </w:tc>
              <w:tc>
                <w:tcPr>
                  <w:tcW w:w="1515" w:type="dxa"/>
                  <w:noWrap w:val="0"/>
                  <w:vAlign w:val="center"/>
                </w:tcPr>
                <w:p w14:paraId="2C512DA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0.01t</w:t>
                  </w:r>
                </w:p>
              </w:tc>
              <w:tc>
                <w:tcPr>
                  <w:tcW w:w="1515" w:type="dxa"/>
                  <w:vMerge w:val="continue"/>
                  <w:noWrap w:val="0"/>
                  <w:vAlign w:val="center"/>
                </w:tcPr>
                <w:p w14:paraId="2DD2E807">
                  <w:pPr>
                    <w:jc w:val="center"/>
                    <w:rPr>
                      <w:rFonts w:hint="default" w:ascii="Times New Roman" w:hAnsi="Times New Roman" w:eastAsia="宋体" w:cs="Times New Roman"/>
                      <w:i w:val="0"/>
                      <w:iCs w:val="0"/>
                      <w:color w:val="0000FF"/>
                      <w:sz w:val="21"/>
                      <w:szCs w:val="21"/>
                      <w:u w:val="none"/>
                    </w:rPr>
                  </w:pPr>
                </w:p>
              </w:tc>
            </w:tr>
            <w:tr w14:paraId="5C11B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5" w:type="dxa"/>
                  <w:noWrap w:val="0"/>
                  <w:vAlign w:val="center"/>
                </w:tcPr>
                <w:p w14:paraId="420FFD6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w:t>
                  </w:r>
                </w:p>
              </w:tc>
              <w:tc>
                <w:tcPr>
                  <w:tcW w:w="2063" w:type="dxa"/>
                  <w:noWrap w:val="0"/>
                  <w:vAlign w:val="center"/>
                </w:tcPr>
                <w:p w14:paraId="7F96394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酒精</w:t>
                  </w:r>
                  <w:r>
                    <w:rPr>
                      <w:rFonts w:hint="default" w:ascii="Times New Roman" w:hAnsi="Times New Roman" w:eastAsia="宋体" w:cs="Times New Roman"/>
                      <w:i w:val="0"/>
                      <w:iCs w:val="0"/>
                      <w:color w:val="0000FF"/>
                      <w:kern w:val="0"/>
                      <w:sz w:val="21"/>
                      <w:szCs w:val="21"/>
                      <w:u w:val="none"/>
                      <w:lang w:val="en-US" w:eastAsia="zh-CN" w:bidi="ar"/>
                    </w:rPr>
                    <w:t>95%</w:t>
                  </w:r>
                </w:p>
              </w:tc>
              <w:tc>
                <w:tcPr>
                  <w:tcW w:w="1397" w:type="dxa"/>
                  <w:noWrap w:val="0"/>
                  <w:vAlign w:val="center"/>
                </w:tcPr>
                <w:p w14:paraId="484A96E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桶装</w:t>
                  </w:r>
                </w:p>
              </w:tc>
              <w:tc>
                <w:tcPr>
                  <w:tcW w:w="1515" w:type="dxa"/>
                  <w:noWrap w:val="0"/>
                  <w:vAlign w:val="center"/>
                </w:tcPr>
                <w:p w14:paraId="0C8A54A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500ml/</w:t>
                  </w:r>
                  <w:r>
                    <w:rPr>
                      <w:rFonts w:hint="eastAsia" w:ascii="宋体" w:hAnsi="宋体" w:eastAsia="宋体" w:cs="宋体"/>
                      <w:i w:val="0"/>
                      <w:iCs w:val="0"/>
                      <w:color w:val="0000FF"/>
                      <w:kern w:val="0"/>
                      <w:sz w:val="21"/>
                      <w:szCs w:val="21"/>
                      <w:u w:val="none"/>
                      <w:lang w:val="en-US" w:eastAsia="zh-CN" w:bidi="ar"/>
                    </w:rPr>
                    <w:t>桶（约</w:t>
                  </w:r>
                  <w:r>
                    <w:rPr>
                      <w:rFonts w:hint="default" w:ascii="Times New Roman" w:hAnsi="Times New Roman" w:eastAsia="宋体" w:cs="Times New Roman"/>
                      <w:i w:val="0"/>
                      <w:iCs w:val="0"/>
                      <w:color w:val="0000FF"/>
                      <w:kern w:val="0"/>
                      <w:sz w:val="21"/>
                      <w:szCs w:val="21"/>
                      <w:u w:val="none"/>
                      <w:lang w:val="en-US" w:eastAsia="zh-CN" w:bidi="ar"/>
                    </w:rPr>
                    <w:t>0.40kg</w:t>
                  </w:r>
                  <w:r>
                    <w:rPr>
                      <w:rFonts w:hint="eastAsia" w:ascii="宋体" w:hAnsi="宋体" w:eastAsia="宋体" w:cs="宋体"/>
                      <w:i w:val="0"/>
                      <w:iCs w:val="0"/>
                      <w:color w:val="0000FF"/>
                      <w:kern w:val="0"/>
                      <w:sz w:val="21"/>
                      <w:szCs w:val="21"/>
                      <w:u w:val="none"/>
                      <w:lang w:val="en-US" w:eastAsia="zh-CN" w:bidi="ar"/>
                    </w:rPr>
                    <w:t>）</w:t>
                  </w:r>
                </w:p>
              </w:tc>
              <w:tc>
                <w:tcPr>
                  <w:tcW w:w="1515" w:type="dxa"/>
                  <w:noWrap w:val="0"/>
                  <w:vAlign w:val="center"/>
                </w:tcPr>
                <w:p w14:paraId="1D0421F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0.008</w:t>
                  </w:r>
                </w:p>
              </w:tc>
              <w:tc>
                <w:tcPr>
                  <w:tcW w:w="1515" w:type="dxa"/>
                  <w:vMerge w:val="continue"/>
                  <w:noWrap w:val="0"/>
                  <w:vAlign w:val="center"/>
                </w:tcPr>
                <w:p w14:paraId="00EE630D">
                  <w:pPr>
                    <w:jc w:val="center"/>
                    <w:rPr>
                      <w:rFonts w:hint="default" w:ascii="Times New Roman" w:hAnsi="Times New Roman" w:eastAsia="宋体" w:cs="Times New Roman"/>
                      <w:i w:val="0"/>
                      <w:iCs w:val="0"/>
                      <w:color w:val="0000FF"/>
                      <w:sz w:val="21"/>
                      <w:szCs w:val="21"/>
                      <w:u w:val="none"/>
                    </w:rPr>
                  </w:pPr>
                </w:p>
              </w:tc>
            </w:tr>
            <w:tr w14:paraId="15631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695" w:type="dxa"/>
                  <w:noWrap w:val="0"/>
                  <w:vAlign w:val="center"/>
                </w:tcPr>
                <w:p w14:paraId="2155CD2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7</w:t>
                  </w:r>
                </w:p>
              </w:tc>
              <w:tc>
                <w:tcPr>
                  <w:tcW w:w="2063" w:type="dxa"/>
                  <w:noWrap w:val="0"/>
                  <w:vAlign w:val="center"/>
                </w:tcPr>
                <w:p w14:paraId="6926B57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绿色防锈剂</w:t>
                  </w:r>
                </w:p>
              </w:tc>
              <w:tc>
                <w:tcPr>
                  <w:tcW w:w="1397" w:type="dxa"/>
                  <w:noWrap w:val="0"/>
                  <w:vAlign w:val="center"/>
                </w:tcPr>
                <w:p w14:paraId="173C51D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桶装</w:t>
                  </w:r>
                </w:p>
              </w:tc>
              <w:tc>
                <w:tcPr>
                  <w:tcW w:w="1515" w:type="dxa"/>
                  <w:noWrap w:val="0"/>
                  <w:vAlign w:val="center"/>
                </w:tcPr>
                <w:p w14:paraId="2E99EFB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500ml/</w:t>
                  </w:r>
                  <w:r>
                    <w:rPr>
                      <w:rFonts w:hint="eastAsia" w:ascii="宋体" w:hAnsi="宋体" w:eastAsia="宋体" w:cs="宋体"/>
                      <w:i w:val="0"/>
                      <w:iCs w:val="0"/>
                      <w:color w:val="0000FF"/>
                      <w:kern w:val="0"/>
                      <w:sz w:val="21"/>
                      <w:szCs w:val="21"/>
                      <w:u w:val="none"/>
                      <w:lang w:val="en-US" w:eastAsia="zh-CN" w:bidi="ar"/>
                    </w:rPr>
                    <w:t>桶（约</w:t>
                  </w:r>
                  <w:r>
                    <w:rPr>
                      <w:rFonts w:hint="default" w:ascii="Times New Roman" w:hAnsi="Times New Roman" w:eastAsia="宋体" w:cs="Times New Roman"/>
                      <w:i w:val="0"/>
                      <w:iCs w:val="0"/>
                      <w:color w:val="0000FF"/>
                      <w:kern w:val="0"/>
                      <w:sz w:val="21"/>
                      <w:szCs w:val="21"/>
                      <w:u w:val="none"/>
                      <w:lang w:val="en-US" w:eastAsia="zh-CN" w:bidi="ar"/>
                    </w:rPr>
                    <w:t>0.46kg</w:t>
                  </w:r>
                  <w:r>
                    <w:rPr>
                      <w:rFonts w:hint="eastAsia" w:ascii="宋体" w:hAnsi="宋体" w:eastAsia="宋体" w:cs="宋体"/>
                      <w:i w:val="0"/>
                      <w:iCs w:val="0"/>
                      <w:color w:val="0000FF"/>
                      <w:kern w:val="0"/>
                      <w:sz w:val="21"/>
                      <w:szCs w:val="21"/>
                      <w:u w:val="none"/>
                      <w:lang w:val="en-US" w:eastAsia="zh-CN" w:bidi="ar"/>
                    </w:rPr>
                    <w:t>）</w:t>
                  </w:r>
                </w:p>
              </w:tc>
              <w:tc>
                <w:tcPr>
                  <w:tcW w:w="1515" w:type="dxa"/>
                  <w:noWrap w:val="0"/>
                  <w:vAlign w:val="center"/>
                </w:tcPr>
                <w:p w14:paraId="19450C8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0.0092</w:t>
                  </w:r>
                </w:p>
              </w:tc>
              <w:tc>
                <w:tcPr>
                  <w:tcW w:w="1515" w:type="dxa"/>
                  <w:vMerge w:val="continue"/>
                  <w:noWrap w:val="0"/>
                  <w:vAlign w:val="center"/>
                </w:tcPr>
                <w:p w14:paraId="67C6D080">
                  <w:pPr>
                    <w:jc w:val="center"/>
                    <w:rPr>
                      <w:rFonts w:hint="default" w:ascii="Times New Roman" w:hAnsi="Times New Roman" w:eastAsia="宋体" w:cs="Times New Roman"/>
                      <w:i w:val="0"/>
                      <w:iCs w:val="0"/>
                      <w:color w:val="0000FF"/>
                      <w:sz w:val="21"/>
                      <w:szCs w:val="21"/>
                      <w:u w:val="none"/>
                    </w:rPr>
                  </w:pPr>
                </w:p>
              </w:tc>
            </w:tr>
            <w:tr w14:paraId="5D0E0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5" w:type="dxa"/>
                  <w:noWrap w:val="0"/>
                  <w:vAlign w:val="center"/>
                </w:tcPr>
                <w:p w14:paraId="1F2164C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w:t>
                  </w:r>
                </w:p>
              </w:tc>
              <w:tc>
                <w:tcPr>
                  <w:tcW w:w="2063" w:type="dxa"/>
                  <w:noWrap w:val="0"/>
                  <w:vAlign w:val="center"/>
                </w:tcPr>
                <w:p w14:paraId="4F34959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住矿润滑油喷雾剂</w:t>
                  </w:r>
                </w:p>
              </w:tc>
              <w:tc>
                <w:tcPr>
                  <w:tcW w:w="1397" w:type="dxa"/>
                  <w:noWrap w:val="0"/>
                  <w:vAlign w:val="center"/>
                </w:tcPr>
                <w:p w14:paraId="356A02A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桶装</w:t>
                  </w:r>
                </w:p>
              </w:tc>
              <w:tc>
                <w:tcPr>
                  <w:tcW w:w="1515" w:type="dxa"/>
                  <w:noWrap w:val="0"/>
                  <w:vAlign w:val="center"/>
                </w:tcPr>
                <w:p w14:paraId="5D8AB00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420ml/</w:t>
                  </w:r>
                  <w:r>
                    <w:rPr>
                      <w:rFonts w:hint="eastAsia" w:ascii="宋体" w:hAnsi="宋体" w:eastAsia="宋体" w:cs="宋体"/>
                      <w:i w:val="0"/>
                      <w:iCs w:val="0"/>
                      <w:color w:val="0000FF"/>
                      <w:kern w:val="0"/>
                      <w:sz w:val="21"/>
                      <w:szCs w:val="21"/>
                      <w:u w:val="none"/>
                      <w:lang w:val="en-US" w:eastAsia="zh-CN" w:bidi="ar"/>
                    </w:rPr>
                    <w:t>桶（约</w:t>
                  </w:r>
                  <w:r>
                    <w:rPr>
                      <w:rFonts w:hint="default" w:ascii="Times New Roman" w:hAnsi="Times New Roman" w:eastAsia="宋体" w:cs="Times New Roman"/>
                      <w:i w:val="0"/>
                      <w:iCs w:val="0"/>
                      <w:color w:val="0000FF"/>
                      <w:kern w:val="0"/>
                      <w:sz w:val="21"/>
                      <w:szCs w:val="21"/>
                      <w:u w:val="none"/>
                      <w:lang w:val="en-US" w:eastAsia="zh-CN" w:bidi="ar"/>
                    </w:rPr>
                    <w:t>0.33kg</w:t>
                  </w:r>
                  <w:r>
                    <w:rPr>
                      <w:rFonts w:hint="eastAsia" w:ascii="宋体" w:hAnsi="宋体" w:eastAsia="宋体" w:cs="宋体"/>
                      <w:i w:val="0"/>
                      <w:iCs w:val="0"/>
                      <w:color w:val="0000FF"/>
                      <w:kern w:val="0"/>
                      <w:sz w:val="21"/>
                      <w:szCs w:val="21"/>
                      <w:u w:val="none"/>
                      <w:lang w:val="en-US" w:eastAsia="zh-CN" w:bidi="ar"/>
                    </w:rPr>
                    <w:t>）</w:t>
                  </w:r>
                </w:p>
              </w:tc>
              <w:tc>
                <w:tcPr>
                  <w:tcW w:w="1515" w:type="dxa"/>
                  <w:noWrap w:val="0"/>
                  <w:vAlign w:val="center"/>
                </w:tcPr>
                <w:p w14:paraId="2F0911A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0.0033</w:t>
                  </w:r>
                </w:p>
              </w:tc>
              <w:tc>
                <w:tcPr>
                  <w:tcW w:w="1515" w:type="dxa"/>
                  <w:vMerge w:val="continue"/>
                  <w:noWrap w:val="0"/>
                  <w:vAlign w:val="center"/>
                </w:tcPr>
                <w:p w14:paraId="4CB8B5AC">
                  <w:pPr>
                    <w:jc w:val="center"/>
                    <w:rPr>
                      <w:rFonts w:hint="default" w:ascii="Times New Roman" w:hAnsi="Times New Roman" w:eastAsia="宋体" w:cs="Times New Roman"/>
                      <w:i w:val="0"/>
                      <w:iCs w:val="0"/>
                      <w:color w:val="0000FF"/>
                      <w:sz w:val="21"/>
                      <w:szCs w:val="21"/>
                      <w:u w:val="none"/>
                    </w:rPr>
                  </w:pPr>
                </w:p>
              </w:tc>
            </w:tr>
            <w:tr w14:paraId="36AE3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5" w:type="dxa"/>
                  <w:noWrap w:val="0"/>
                  <w:vAlign w:val="center"/>
                </w:tcPr>
                <w:p w14:paraId="6C34BFC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9</w:t>
                  </w:r>
                </w:p>
              </w:tc>
              <w:tc>
                <w:tcPr>
                  <w:tcW w:w="2063" w:type="dxa"/>
                  <w:noWrap w:val="0"/>
                  <w:vAlign w:val="center"/>
                </w:tcPr>
                <w:p w14:paraId="4346C1B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三川耐高温润滑脂</w:t>
                  </w:r>
                </w:p>
              </w:tc>
              <w:tc>
                <w:tcPr>
                  <w:tcW w:w="1397" w:type="dxa"/>
                  <w:noWrap w:val="0"/>
                  <w:vAlign w:val="center"/>
                </w:tcPr>
                <w:p w14:paraId="1FD3550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桶装</w:t>
                  </w:r>
                </w:p>
              </w:tc>
              <w:tc>
                <w:tcPr>
                  <w:tcW w:w="1515" w:type="dxa"/>
                  <w:noWrap w:val="0"/>
                  <w:vAlign w:val="center"/>
                </w:tcPr>
                <w:p w14:paraId="78EF08F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800g/</w:t>
                  </w:r>
                  <w:r>
                    <w:rPr>
                      <w:rFonts w:hint="eastAsia" w:ascii="宋体" w:hAnsi="宋体" w:eastAsia="宋体" w:cs="宋体"/>
                      <w:i w:val="0"/>
                      <w:iCs w:val="0"/>
                      <w:color w:val="0000FF"/>
                      <w:kern w:val="0"/>
                      <w:sz w:val="21"/>
                      <w:szCs w:val="21"/>
                      <w:u w:val="none"/>
                      <w:lang w:val="en-US" w:eastAsia="zh-CN" w:bidi="ar"/>
                    </w:rPr>
                    <w:t>桶</w:t>
                  </w:r>
                </w:p>
              </w:tc>
              <w:tc>
                <w:tcPr>
                  <w:tcW w:w="1515" w:type="dxa"/>
                  <w:noWrap w:val="0"/>
                  <w:vAlign w:val="center"/>
                </w:tcPr>
                <w:p w14:paraId="1868BF7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0.004</w:t>
                  </w:r>
                </w:p>
              </w:tc>
              <w:tc>
                <w:tcPr>
                  <w:tcW w:w="1515" w:type="dxa"/>
                  <w:vMerge w:val="continue"/>
                  <w:noWrap w:val="0"/>
                  <w:vAlign w:val="center"/>
                </w:tcPr>
                <w:p w14:paraId="065F1800">
                  <w:pPr>
                    <w:jc w:val="center"/>
                    <w:rPr>
                      <w:rFonts w:hint="default" w:ascii="Times New Roman" w:hAnsi="Times New Roman" w:eastAsia="宋体" w:cs="Times New Roman"/>
                      <w:i w:val="0"/>
                      <w:iCs w:val="0"/>
                      <w:color w:val="0000FF"/>
                      <w:sz w:val="21"/>
                      <w:szCs w:val="21"/>
                      <w:u w:val="none"/>
                    </w:rPr>
                  </w:pPr>
                </w:p>
              </w:tc>
            </w:tr>
            <w:tr w14:paraId="66899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695" w:type="dxa"/>
                  <w:noWrap w:val="0"/>
                  <w:vAlign w:val="center"/>
                </w:tcPr>
                <w:p w14:paraId="440022A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10</w:t>
                  </w:r>
                </w:p>
              </w:tc>
              <w:tc>
                <w:tcPr>
                  <w:tcW w:w="2063" w:type="dxa"/>
                  <w:noWrap w:val="0"/>
                  <w:vAlign w:val="center"/>
                </w:tcPr>
                <w:p w14:paraId="27F4CBC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白油</w:t>
                  </w:r>
                </w:p>
              </w:tc>
              <w:tc>
                <w:tcPr>
                  <w:tcW w:w="1397" w:type="dxa"/>
                  <w:noWrap w:val="0"/>
                  <w:vAlign w:val="center"/>
                </w:tcPr>
                <w:p w14:paraId="6D67BD5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桶装</w:t>
                  </w:r>
                </w:p>
              </w:tc>
              <w:tc>
                <w:tcPr>
                  <w:tcW w:w="1515" w:type="dxa"/>
                  <w:noWrap w:val="0"/>
                  <w:vAlign w:val="center"/>
                </w:tcPr>
                <w:p w14:paraId="47EABF7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500g/</w:t>
                  </w:r>
                  <w:r>
                    <w:rPr>
                      <w:rFonts w:hint="eastAsia" w:ascii="宋体" w:hAnsi="宋体" w:eastAsia="宋体" w:cs="宋体"/>
                      <w:i w:val="0"/>
                      <w:iCs w:val="0"/>
                      <w:color w:val="0000FF"/>
                      <w:kern w:val="0"/>
                      <w:sz w:val="21"/>
                      <w:szCs w:val="21"/>
                      <w:u w:val="none"/>
                      <w:lang w:val="en-US" w:eastAsia="zh-CN" w:bidi="ar"/>
                    </w:rPr>
                    <w:t>桶</w:t>
                  </w:r>
                </w:p>
              </w:tc>
              <w:tc>
                <w:tcPr>
                  <w:tcW w:w="1515" w:type="dxa"/>
                  <w:noWrap w:val="0"/>
                  <w:vAlign w:val="center"/>
                </w:tcPr>
                <w:p w14:paraId="13FCF38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0.0025</w:t>
                  </w:r>
                </w:p>
              </w:tc>
              <w:tc>
                <w:tcPr>
                  <w:tcW w:w="1515" w:type="dxa"/>
                  <w:vMerge w:val="continue"/>
                  <w:noWrap w:val="0"/>
                  <w:vAlign w:val="center"/>
                </w:tcPr>
                <w:p w14:paraId="79AA28CD">
                  <w:pPr>
                    <w:jc w:val="center"/>
                    <w:rPr>
                      <w:rFonts w:hint="default" w:ascii="Times New Roman" w:hAnsi="Times New Roman" w:eastAsia="宋体" w:cs="Times New Roman"/>
                      <w:i w:val="0"/>
                      <w:iCs w:val="0"/>
                      <w:color w:val="0000FF"/>
                      <w:sz w:val="21"/>
                      <w:szCs w:val="21"/>
                      <w:u w:val="none"/>
                    </w:rPr>
                  </w:pPr>
                </w:p>
              </w:tc>
            </w:tr>
            <w:tr w14:paraId="7363F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5" w:type="dxa"/>
                  <w:noWrap w:val="0"/>
                  <w:vAlign w:val="center"/>
                </w:tcPr>
                <w:p w14:paraId="4B33865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11</w:t>
                  </w:r>
                </w:p>
              </w:tc>
              <w:tc>
                <w:tcPr>
                  <w:tcW w:w="2063" w:type="dxa"/>
                  <w:noWrap w:val="0"/>
                  <w:vAlign w:val="center"/>
                </w:tcPr>
                <w:p w14:paraId="1005912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除锈剂</w:t>
                  </w:r>
                </w:p>
              </w:tc>
              <w:tc>
                <w:tcPr>
                  <w:tcW w:w="1397" w:type="dxa"/>
                  <w:noWrap w:val="0"/>
                  <w:vAlign w:val="center"/>
                </w:tcPr>
                <w:p w14:paraId="52D52D9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桶装</w:t>
                  </w:r>
                </w:p>
              </w:tc>
              <w:tc>
                <w:tcPr>
                  <w:tcW w:w="1515" w:type="dxa"/>
                  <w:noWrap w:val="0"/>
                  <w:vAlign w:val="center"/>
                </w:tcPr>
                <w:p w14:paraId="3AAA064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550ml/</w:t>
                  </w:r>
                  <w:r>
                    <w:rPr>
                      <w:rFonts w:hint="eastAsia" w:ascii="宋体" w:hAnsi="宋体" w:eastAsia="宋体" w:cs="宋体"/>
                      <w:i w:val="0"/>
                      <w:iCs w:val="0"/>
                      <w:color w:val="0000FF"/>
                      <w:kern w:val="0"/>
                      <w:sz w:val="21"/>
                      <w:szCs w:val="21"/>
                      <w:u w:val="none"/>
                      <w:lang w:val="en-US" w:eastAsia="zh-CN" w:bidi="ar"/>
                    </w:rPr>
                    <w:t>桶（约</w:t>
                  </w:r>
                  <w:r>
                    <w:rPr>
                      <w:rFonts w:hint="default" w:ascii="Times New Roman" w:hAnsi="Times New Roman" w:eastAsia="宋体" w:cs="Times New Roman"/>
                      <w:i w:val="0"/>
                      <w:iCs w:val="0"/>
                      <w:color w:val="0000FF"/>
                      <w:kern w:val="0"/>
                      <w:sz w:val="21"/>
                      <w:szCs w:val="21"/>
                      <w:u w:val="none"/>
                      <w:lang w:val="en-US" w:eastAsia="zh-CN" w:bidi="ar"/>
                    </w:rPr>
                    <w:t>0.48kg</w:t>
                  </w:r>
                  <w:r>
                    <w:rPr>
                      <w:rFonts w:hint="eastAsia" w:ascii="宋体" w:hAnsi="宋体" w:eastAsia="宋体" w:cs="宋体"/>
                      <w:i w:val="0"/>
                      <w:iCs w:val="0"/>
                      <w:color w:val="0000FF"/>
                      <w:kern w:val="0"/>
                      <w:sz w:val="21"/>
                      <w:szCs w:val="21"/>
                      <w:u w:val="none"/>
                      <w:lang w:val="en-US" w:eastAsia="zh-CN" w:bidi="ar"/>
                    </w:rPr>
                    <w:t>）</w:t>
                  </w:r>
                </w:p>
              </w:tc>
              <w:tc>
                <w:tcPr>
                  <w:tcW w:w="1515" w:type="dxa"/>
                  <w:noWrap w:val="0"/>
                  <w:vAlign w:val="center"/>
                </w:tcPr>
                <w:p w14:paraId="2D0C65A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0.0024</w:t>
                  </w:r>
                </w:p>
              </w:tc>
              <w:tc>
                <w:tcPr>
                  <w:tcW w:w="1515" w:type="dxa"/>
                  <w:vMerge w:val="continue"/>
                  <w:noWrap w:val="0"/>
                  <w:vAlign w:val="center"/>
                </w:tcPr>
                <w:p w14:paraId="64BDFC1F">
                  <w:pPr>
                    <w:jc w:val="center"/>
                    <w:rPr>
                      <w:rFonts w:hint="default" w:ascii="Times New Roman" w:hAnsi="Times New Roman" w:eastAsia="宋体" w:cs="Times New Roman"/>
                      <w:i w:val="0"/>
                      <w:iCs w:val="0"/>
                      <w:color w:val="0000FF"/>
                      <w:sz w:val="21"/>
                      <w:szCs w:val="21"/>
                      <w:u w:val="none"/>
                    </w:rPr>
                  </w:pPr>
                </w:p>
              </w:tc>
            </w:tr>
            <w:tr w14:paraId="5A4DE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5" w:type="dxa"/>
                  <w:noWrap w:val="0"/>
                  <w:vAlign w:val="center"/>
                </w:tcPr>
                <w:p w14:paraId="7963143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2063" w:type="dxa"/>
                  <w:noWrap w:val="0"/>
                  <w:vAlign w:val="center"/>
                </w:tcPr>
                <w:p w14:paraId="08E1C03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蓝威宝</w:t>
                  </w:r>
                </w:p>
              </w:tc>
              <w:tc>
                <w:tcPr>
                  <w:tcW w:w="1397" w:type="dxa"/>
                  <w:noWrap w:val="0"/>
                  <w:vAlign w:val="center"/>
                </w:tcPr>
                <w:p w14:paraId="6049BBA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桶装</w:t>
                  </w:r>
                </w:p>
              </w:tc>
              <w:tc>
                <w:tcPr>
                  <w:tcW w:w="1515" w:type="dxa"/>
                  <w:noWrap w:val="0"/>
                  <w:vAlign w:val="center"/>
                </w:tcPr>
                <w:p w14:paraId="71A9553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1kg/</w:t>
                  </w:r>
                  <w:r>
                    <w:rPr>
                      <w:rFonts w:hint="eastAsia" w:ascii="宋体" w:hAnsi="宋体" w:eastAsia="宋体" w:cs="宋体"/>
                      <w:i w:val="0"/>
                      <w:iCs w:val="0"/>
                      <w:color w:val="0000FF"/>
                      <w:kern w:val="0"/>
                      <w:sz w:val="21"/>
                      <w:szCs w:val="21"/>
                      <w:u w:val="none"/>
                      <w:lang w:val="en-US" w:eastAsia="zh-CN" w:bidi="ar"/>
                    </w:rPr>
                    <w:t>桶</w:t>
                  </w:r>
                </w:p>
              </w:tc>
              <w:tc>
                <w:tcPr>
                  <w:tcW w:w="1515" w:type="dxa"/>
                  <w:noWrap w:val="0"/>
                  <w:vAlign w:val="center"/>
                </w:tcPr>
                <w:p w14:paraId="44D3AB4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0.01</w:t>
                  </w:r>
                </w:p>
              </w:tc>
              <w:tc>
                <w:tcPr>
                  <w:tcW w:w="1515" w:type="dxa"/>
                  <w:vMerge w:val="continue"/>
                  <w:noWrap w:val="0"/>
                  <w:vAlign w:val="center"/>
                </w:tcPr>
                <w:p w14:paraId="45E23BC7">
                  <w:pPr>
                    <w:jc w:val="center"/>
                    <w:rPr>
                      <w:rFonts w:hint="default" w:ascii="Times New Roman" w:hAnsi="Times New Roman" w:eastAsia="宋体" w:cs="Times New Roman"/>
                      <w:i w:val="0"/>
                      <w:iCs w:val="0"/>
                      <w:color w:val="0000FF"/>
                      <w:sz w:val="21"/>
                      <w:szCs w:val="21"/>
                      <w:u w:val="none"/>
                    </w:rPr>
                  </w:pPr>
                </w:p>
              </w:tc>
            </w:tr>
            <w:tr w14:paraId="056B7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5" w:type="dxa"/>
                  <w:noWrap w:val="0"/>
                  <w:vAlign w:val="center"/>
                </w:tcPr>
                <w:p w14:paraId="6BAF834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13</w:t>
                  </w:r>
                </w:p>
              </w:tc>
              <w:tc>
                <w:tcPr>
                  <w:tcW w:w="2063" w:type="dxa"/>
                  <w:noWrap w:val="0"/>
                  <w:vAlign w:val="center"/>
                </w:tcPr>
                <w:p w14:paraId="6E8F2D9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白电油</w:t>
                  </w:r>
                </w:p>
              </w:tc>
              <w:tc>
                <w:tcPr>
                  <w:tcW w:w="1397" w:type="dxa"/>
                  <w:noWrap w:val="0"/>
                  <w:vAlign w:val="center"/>
                </w:tcPr>
                <w:p w14:paraId="04B9302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桶装</w:t>
                  </w:r>
                </w:p>
              </w:tc>
              <w:tc>
                <w:tcPr>
                  <w:tcW w:w="1515" w:type="dxa"/>
                  <w:noWrap w:val="0"/>
                  <w:vAlign w:val="center"/>
                </w:tcPr>
                <w:p w14:paraId="4417521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20kg/</w:t>
                  </w:r>
                  <w:r>
                    <w:rPr>
                      <w:rFonts w:hint="eastAsia" w:ascii="宋体" w:hAnsi="宋体" w:eastAsia="宋体" w:cs="宋体"/>
                      <w:i w:val="0"/>
                      <w:iCs w:val="0"/>
                      <w:color w:val="0000FF"/>
                      <w:kern w:val="0"/>
                      <w:sz w:val="21"/>
                      <w:szCs w:val="21"/>
                      <w:u w:val="none"/>
                      <w:lang w:val="en-US" w:eastAsia="zh-CN" w:bidi="ar"/>
                    </w:rPr>
                    <w:t>桶</w:t>
                  </w:r>
                </w:p>
              </w:tc>
              <w:tc>
                <w:tcPr>
                  <w:tcW w:w="1515" w:type="dxa"/>
                  <w:noWrap/>
                  <w:vAlign w:val="center"/>
                </w:tcPr>
                <w:p w14:paraId="4AA2005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0.04</w:t>
                  </w:r>
                </w:p>
              </w:tc>
              <w:tc>
                <w:tcPr>
                  <w:tcW w:w="1515" w:type="dxa"/>
                  <w:vMerge w:val="continue"/>
                  <w:noWrap w:val="0"/>
                  <w:vAlign w:val="center"/>
                </w:tcPr>
                <w:p w14:paraId="27FD7696">
                  <w:pPr>
                    <w:jc w:val="center"/>
                    <w:rPr>
                      <w:rFonts w:hint="default" w:ascii="Times New Roman" w:hAnsi="Times New Roman" w:eastAsia="宋体" w:cs="Times New Roman"/>
                      <w:i w:val="0"/>
                      <w:iCs w:val="0"/>
                      <w:color w:val="0000FF"/>
                      <w:sz w:val="21"/>
                      <w:szCs w:val="21"/>
                      <w:u w:val="none"/>
                    </w:rPr>
                  </w:pPr>
                </w:p>
              </w:tc>
            </w:tr>
            <w:tr w14:paraId="15DD7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5" w:type="dxa"/>
                  <w:noWrap w:val="0"/>
                  <w:vAlign w:val="center"/>
                </w:tcPr>
                <w:p w14:paraId="1B5964A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14</w:t>
                  </w:r>
                </w:p>
              </w:tc>
              <w:tc>
                <w:tcPr>
                  <w:tcW w:w="2063" w:type="dxa"/>
                  <w:noWrap w:val="0"/>
                  <w:vAlign w:val="center"/>
                </w:tcPr>
                <w:p w14:paraId="6D377DE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镜面放电加工油</w:t>
                  </w:r>
                </w:p>
              </w:tc>
              <w:tc>
                <w:tcPr>
                  <w:tcW w:w="1397" w:type="dxa"/>
                  <w:noWrap w:val="0"/>
                  <w:vAlign w:val="center"/>
                </w:tcPr>
                <w:p w14:paraId="2DB7965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桶装</w:t>
                  </w:r>
                </w:p>
              </w:tc>
              <w:tc>
                <w:tcPr>
                  <w:tcW w:w="1515" w:type="dxa"/>
                  <w:noWrap w:val="0"/>
                  <w:vAlign w:val="center"/>
                </w:tcPr>
                <w:p w14:paraId="5F97897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约</w:t>
                  </w:r>
                  <w:r>
                    <w:rPr>
                      <w:rFonts w:hint="default" w:ascii="Times New Roman" w:hAnsi="Times New Roman" w:eastAsia="宋体" w:cs="Times New Roman"/>
                      <w:i w:val="0"/>
                      <w:iCs w:val="0"/>
                      <w:color w:val="0000FF"/>
                      <w:kern w:val="0"/>
                      <w:sz w:val="21"/>
                      <w:szCs w:val="21"/>
                      <w:u w:val="none"/>
                      <w:lang w:val="en-US" w:eastAsia="zh-CN" w:bidi="ar"/>
                    </w:rPr>
                    <w:t>19kg/</w:t>
                  </w:r>
                  <w:r>
                    <w:rPr>
                      <w:rFonts w:hint="eastAsia" w:ascii="宋体" w:hAnsi="宋体" w:eastAsia="宋体" w:cs="宋体"/>
                      <w:i w:val="0"/>
                      <w:iCs w:val="0"/>
                      <w:color w:val="0000FF"/>
                      <w:kern w:val="0"/>
                      <w:sz w:val="21"/>
                      <w:szCs w:val="21"/>
                      <w:u w:val="none"/>
                      <w:lang w:val="en-US" w:eastAsia="zh-CN" w:bidi="ar"/>
                    </w:rPr>
                    <w:t>桶</w:t>
                  </w:r>
                </w:p>
              </w:tc>
              <w:tc>
                <w:tcPr>
                  <w:tcW w:w="1515" w:type="dxa"/>
                  <w:noWrap w:val="0"/>
                  <w:vAlign w:val="center"/>
                </w:tcPr>
                <w:p w14:paraId="428516C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0.04</w:t>
                  </w:r>
                </w:p>
              </w:tc>
              <w:tc>
                <w:tcPr>
                  <w:tcW w:w="1515" w:type="dxa"/>
                  <w:vMerge w:val="continue"/>
                  <w:noWrap w:val="0"/>
                  <w:vAlign w:val="center"/>
                </w:tcPr>
                <w:p w14:paraId="61BAE6C4">
                  <w:pPr>
                    <w:jc w:val="center"/>
                    <w:rPr>
                      <w:rFonts w:hint="default" w:ascii="Times New Roman" w:hAnsi="Times New Roman" w:eastAsia="宋体" w:cs="Times New Roman"/>
                      <w:i w:val="0"/>
                      <w:iCs w:val="0"/>
                      <w:color w:val="0000FF"/>
                      <w:sz w:val="21"/>
                      <w:szCs w:val="21"/>
                      <w:u w:val="none"/>
                    </w:rPr>
                  </w:pPr>
                </w:p>
              </w:tc>
            </w:tr>
            <w:tr w14:paraId="4563A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5" w:type="dxa"/>
                  <w:noWrap w:val="0"/>
                  <w:vAlign w:val="center"/>
                </w:tcPr>
                <w:p w14:paraId="73EB3376">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15</w:t>
                  </w:r>
                </w:p>
              </w:tc>
              <w:tc>
                <w:tcPr>
                  <w:tcW w:w="2063" w:type="dxa"/>
                  <w:noWrap w:val="0"/>
                  <w:vAlign w:val="center"/>
                </w:tcPr>
                <w:p w14:paraId="27150D4D">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乳化性切削液</w:t>
                  </w:r>
                </w:p>
              </w:tc>
              <w:tc>
                <w:tcPr>
                  <w:tcW w:w="1397" w:type="dxa"/>
                  <w:noWrap w:val="0"/>
                  <w:vAlign w:val="center"/>
                </w:tcPr>
                <w:p w14:paraId="7A698FF2">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桶装</w:t>
                  </w:r>
                </w:p>
              </w:tc>
              <w:tc>
                <w:tcPr>
                  <w:tcW w:w="1515" w:type="dxa"/>
                  <w:noWrap w:val="0"/>
                  <w:vAlign w:val="center"/>
                </w:tcPr>
                <w:p w14:paraId="06F15CAA">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约</w:t>
                  </w:r>
                  <w:r>
                    <w:rPr>
                      <w:rFonts w:hint="default" w:ascii="Times New Roman" w:hAnsi="Times New Roman" w:eastAsia="宋体" w:cs="Times New Roman"/>
                      <w:i w:val="0"/>
                      <w:iCs w:val="0"/>
                      <w:color w:val="0000FF"/>
                      <w:kern w:val="0"/>
                      <w:sz w:val="21"/>
                      <w:szCs w:val="21"/>
                      <w:u w:val="none"/>
                      <w:lang w:val="en-US" w:eastAsia="zh-CN" w:bidi="ar"/>
                    </w:rPr>
                    <w:t>19kg/</w:t>
                  </w:r>
                  <w:r>
                    <w:rPr>
                      <w:rFonts w:hint="eastAsia" w:ascii="宋体" w:hAnsi="宋体" w:eastAsia="宋体" w:cs="宋体"/>
                      <w:i w:val="0"/>
                      <w:iCs w:val="0"/>
                      <w:color w:val="0000FF"/>
                      <w:kern w:val="0"/>
                      <w:sz w:val="21"/>
                      <w:szCs w:val="21"/>
                      <w:u w:val="none"/>
                      <w:lang w:val="en-US" w:eastAsia="zh-CN" w:bidi="ar"/>
                    </w:rPr>
                    <w:t>桶</w:t>
                  </w:r>
                </w:p>
              </w:tc>
              <w:tc>
                <w:tcPr>
                  <w:tcW w:w="1515" w:type="dxa"/>
                  <w:noWrap w:val="0"/>
                  <w:vAlign w:val="center"/>
                </w:tcPr>
                <w:p w14:paraId="0F5A5E5B">
                  <w:pPr>
                    <w:keepNext w:val="0"/>
                    <w:keepLines w:val="0"/>
                    <w:widowControl/>
                    <w:suppressLineNumbers w:val="0"/>
                    <w:jc w:val="center"/>
                    <w:textAlignment w:val="center"/>
                    <w:rPr>
                      <w:rFonts w:hint="eastAsia"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0.04</w:t>
                  </w:r>
                </w:p>
              </w:tc>
              <w:tc>
                <w:tcPr>
                  <w:tcW w:w="1515" w:type="dxa"/>
                  <w:vMerge w:val="continue"/>
                  <w:noWrap w:val="0"/>
                  <w:vAlign w:val="center"/>
                </w:tcPr>
                <w:p w14:paraId="6EBE67DF">
                  <w:pPr>
                    <w:jc w:val="center"/>
                    <w:rPr>
                      <w:rFonts w:hint="default" w:ascii="Times New Roman" w:hAnsi="Times New Roman" w:eastAsia="宋体" w:cs="Times New Roman"/>
                      <w:i w:val="0"/>
                      <w:iCs w:val="0"/>
                      <w:color w:val="0000FF"/>
                      <w:kern w:val="0"/>
                      <w:sz w:val="21"/>
                      <w:szCs w:val="21"/>
                      <w:u w:val="none"/>
                      <w:lang w:val="en-US" w:eastAsia="zh-CN" w:bidi="ar"/>
                    </w:rPr>
                  </w:pPr>
                </w:p>
              </w:tc>
            </w:tr>
            <w:tr w14:paraId="474A4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5" w:type="dxa"/>
                  <w:noWrap w:val="0"/>
                  <w:vAlign w:val="center"/>
                </w:tcPr>
                <w:p w14:paraId="700E3A1C">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16</w:t>
                  </w:r>
                </w:p>
              </w:tc>
              <w:tc>
                <w:tcPr>
                  <w:tcW w:w="2063" w:type="dxa"/>
                  <w:noWrap w:val="0"/>
                  <w:vAlign w:val="center"/>
                </w:tcPr>
                <w:p w14:paraId="233FD71E">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空压机油</w:t>
                  </w:r>
                </w:p>
              </w:tc>
              <w:tc>
                <w:tcPr>
                  <w:tcW w:w="1397" w:type="dxa"/>
                  <w:noWrap w:val="0"/>
                  <w:vAlign w:val="center"/>
                </w:tcPr>
                <w:p w14:paraId="458D47C9">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桶装</w:t>
                  </w:r>
                </w:p>
              </w:tc>
              <w:tc>
                <w:tcPr>
                  <w:tcW w:w="1515" w:type="dxa"/>
                  <w:noWrap w:val="0"/>
                  <w:vAlign w:val="center"/>
                </w:tcPr>
                <w:p w14:paraId="46E72300">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约</w:t>
                  </w:r>
                  <w:r>
                    <w:rPr>
                      <w:rFonts w:hint="eastAsia" w:cs="Times New Roman"/>
                      <w:i w:val="0"/>
                      <w:iCs w:val="0"/>
                      <w:color w:val="0000FF"/>
                      <w:kern w:val="0"/>
                      <w:sz w:val="21"/>
                      <w:szCs w:val="21"/>
                      <w:u w:val="none"/>
                      <w:lang w:val="en-US" w:eastAsia="zh-CN" w:bidi="ar"/>
                    </w:rPr>
                    <w:t>10</w:t>
                  </w:r>
                  <w:r>
                    <w:rPr>
                      <w:rFonts w:hint="default" w:ascii="Times New Roman" w:hAnsi="Times New Roman" w:eastAsia="宋体" w:cs="Times New Roman"/>
                      <w:i w:val="0"/>
                      <w:iCs w:val="0"/>
                      <w:color w:val="0000FF"/>
                      <w:kern w:val="0"/>
                      <w:sz w:val="21"/>
                      <w:szCs w:val="21"/>
                      <w:u w:val="none"/>
                      <w:lang w:val="en-US" w:eastAsia="zh-CN" w:bidi="ar"/>
                    </w:rPr>
                    <w:t>kg/</w:t>
                  </w:r>
                  <w:r>
                    <w:rPr>
                      <w:rFonts w:hint="eastAsia" w:ascii="宋体" w:hAnsi="宋体" w:eastAsia="宋体" w:cs="宋体"/>
                      <w:i w:val="0"/>
                      <w:iCs w:val="0"/>
                      <w:color w:val="0000FF"/>
                      <w:kern w:val="0"/>
                      <w:sz w:val="21"/>
                      <w:szCs w:val="21"/>
                      <w:u w:val="none"/>
                      <w:lang w:val="en-US" w:eastAsia="zh-CN" w:bidi="ar"/>
                    </w:rPr>
                    <w:t>桶</w:t>
                  </w:r>
                </w:p>
              </w:tc>
              <w:tc>
                <w:tcPr>
                  <w:tcW w:w="1515" w:type="dxa"/>
                  <w:noWrap w:val="0"/>
                  <w:vAlign w:val="center"/>
                </w:tcPr>
                <w:p w14:paraId="0B882994">
                  <w:pPr>
                    <w:keepNext w:val="0"/>
                    <w:keepLines w:val="0"/>
                    <w:widowControl/>
                    <w:suppressLineNumbers w:val="0"/>
                    <w:jc w:val="center"/>
                    <w:textAlignment w:val="center"/>
                    <w:rPr>
                      <w:rFonts w:hint="eastAsia"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0.02</w:t>
                  </w:r>
                </w:p>
              </w:tc>
              <w:tc>
                <w:tcPr>
                  <w:tcW w:w="1515" w:type="dxa"/>
                  <w:vMerge w:val="continue"/>
                  <w:noWrap w:val="0"/>
                  <w:vAlign w:val="center"/>
                </w:tcPr>
                <w:p w14:paraId="201E1B5F">
                  <w:pPr>
                    <w:jc w:val="center"/>
                    <w:rPr>
                      <w:rFonts w:hint="default" w:ascii="Times New Roman" w:hAnsi="Times New Roman" w:eastAsia="宋体" w:cs="Times New Roman"/>
                      <w:i w:val="0"/>
                      <w:iCs w:val="0"/>
                      <w:color w:val="0000FF"/>
                      <w:kern w:val="0"/>
                      <w:sz w:val="21"/>
                      <w:szCs w:val="21"/>
                      <w:u w:val="none"/>
                      <w:lang w:val="en-US" w:eastAsia="zh-CN" w:bidi="ar"/>
                    </w:rPr>
                  </w:pPr>
                </w:p>
              </w:tc>
            </w:tr>
            <w:tr w14:paraId="23CC9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5" w:type="dxa"/>
                  <w:noWrap w:val="0"/>
                  <w:vAlign w:val="center"/>
                </w:tcPr>
                <w:p w14:paraId="2B07761F">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17</w:t>
                  </w:r>
                </w:p>
              </w:tc>
              <w:tc>
                <w:tcPr>
                  <w:tcW w:w="2063" w:type="dxa"/>
                  <w:noWrap w:val="0"/>
                  <w:vAlign w:val="center"/>
                </w:tcPr>
                <w:p w14:paraId="10661B5D">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废润滑油、废活性炭等危险废物</w:t>
                  </w:r>
                </w:p>
              </w:tc>
              <w:tc>
                <w:tcPr>
                  <w:tcW w:w="1397" w:type="dxa"/>
                  <w:noWrap w:val="0"/>
                  <w:vAlign w:val="center"/>
                </w:tcPr>
                <w:p w14:paraId="1C8D4951">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桶装（废活性炭采用袋装）</w:t>
                  </w:r>
                </w:p>
              </w:tc>
              <w:tc>
                <w:tcPr>
                  <w:tcW w:w="1515" w:type="dxa"/>
                  <w:noWrap w:val="0"/>
                  <w:vAlign w:val="center"/>
                </w:tcPr>
                <w:p w14:paraId="13B26F6B">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515" w:type="dxa"/>
                  <w:noWrap w:val="0"/>
                  <w:vAlign w:val="center"/>
                </w:tcPr>
                <w:p w14:paraId="48A426DB">
                  <w:pPr>
                    <w:keepNext w:val="0"/>
                    <w:keepLines w:val="0"/>
                    <w:widowControl/>
                    <w:suppressLineNumbers w:val="0"/>
                    <w:jc w:val="center"/>
                    <w:textAlignment w:val="center"/>
                    <w:rPr>
                      <w:rFonts w:hint="eastAsia"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2</w:t>
                  </w:r>
                </w:p>
              </w:tc>
              <w:tc>
                <w:tcPr>
                  <w:tcW w:w="1515" w:type="dxa"/>
                  <w:noWrap w:val="0"/>
                  <w:vAlign w:val="center"/>
                </w:tcPr>
                <w:p w14:paraId="5186A515">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危险废物贮存库</w:t>
                  </w:r>
                </w:p>
              </w:tc>
            </w:tr>
          </w:tbl>
          <w:p w14:paraId="00A9AB98">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（2）风险潜势初判</w:t>
            </w:r>
          </w:p>
          <w:p w14:paraId="2BB8610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当只涉及一种危险物质时，计算该物质的总量与其临界量比值，即为Q；当存在多种危险物质时，则按式（C.1）计算物质总量与其临界量比值（Q）：</w:t>
            </w:r>
          </w:p>
          <w:p w14:paraId="79AB8707">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Q=q</w:t>
            </w:r>
            <w:r>
              <w:rPr>
                <w:rFonts w:hint="default" w:ascii="Times New Roman" w:hAnsi="Times New Roman" w:cs="Times New Roman"/>
                <w:color w:val="auto"/>
                <w:kern w:val="0"/>
                <w:sz w:val="24"/>
                <w:vertAlign w:val="subscript"/>
              </w:rPr>
              <w:t>1</w:t>
            </w:r>
            <w:r>
              <w:rPr>
                <w:rFonts w:hint="default" w:ascii="Times New Roman" w:hAnsi="Times New Roman" w:cs="Times New Roman"/>
                <w:color w:val="auto"/>
                <w:kern w:val="0"/>
                <w:sz w:val="24"/>
              </w:rPr>
              <w:t>/Q</w:t>
            </w:r>
            <w:r>
              <w:rPr>
                <w:rFonts w:hint="default" w:ascii="Times New Roman" w:hAnsi="Times New Roman" w:cs="Times New Roman"/>
                <w:color w:val="auto"/>
                <w:kern w:val="0"/>
                <w:sz w:val="24"/>
                <w:vertAlign w:val="subscript"/>
              </w:rPr>
              <w:t>1</w:t>
            </w:r>
            <w:r>
              <w:rPr>
                <w:rFonts w:hint="default" w:ascii="Times New Roman" w:hAnsi="Times New Roman" w:cs="Times New Roman"/>
                <w:color w:val="auto"/>
                <w:kern w:val="0"/>
                <w:sz w:val="24"/>
              </w:rPr>
              <w:t>+q</w:t>
            </w:r>
            <w:r>
              <w:rPr>
                <w:rFonts w:hint="default" w:ascii="Times New Roman" w:hAnsi="Times New Roman" w:cs="Times New Roman"/>
                <w:color w:val="auto"/>
                <w:kern w:val="0"/>
                <w:sz w:val="24"/>
                <w:vertAlign w:val="subscript"/>
              </w:rPr>
              <w:t>2</w:t>
            </w:r>
            <w:r>
              <w:rPr>
                <w:rFonts w:hint="default" w:ascii="Times New Roman" w:hAnsi="Times New Roman" w:cs="Times New Roman"/>
                <w:color w:val="auto"/>
                <w:kern w:val="0"/>
                <w:sz w:val="24"/>
              </w:rPr>
              <w:t>/Q</w:t>
            </w:r>
            <w:r>
              <w:rPr>
                <w:rFonts w:hint="default" w:ascii="Times New Roman" w:hAnsi="Times New Roman" w:cs="Times New Roman"/>
                <w:color w:val="auto"/>
                <w:kern w:val="0"/>
                <w:sz w:val="24"/>
                <w:vertAlign w:val="subscript"/>
              </w:rPr>
              <w:t>2</w:t>
            </w:r>
            <w:r>
              <w:rPr>
                <w:rFonts w:hint="default" w:ascii="Times New Roman" w:hAnsi="Times New Roman" w:cs="Times New Roman"/>
                <w:color w:val="auto"/>
                <w:kern w:val="0"/>
                <w:sz w:val="24"/>
              </w:rPr>
              <w:t>……+q</w:t>
            </w:r>
            <w:r>
              <w:rPr>
                <w:rFonts w:hint="default" w:ascii="Times New Roman" w:hAnsi="Times New Roman" w:cs="Times New Roman"/>
                <w:color w:val="auto"/>
                <w:kern w:val="0"/>
                <w:sz w:val="24"/>
                <w:vertAlign w:val="subscript"/>
              </w:rPr>
              <w:t>n</w:t>
            </w:r>
            <w:r>
              <w:rPr>
                <w:rFonts w:hint="default" w:ascii="Times New Roman" w:hAnsi="Times New Roman" w:cs="Times New Roman"/>
                <w:color w:val="auto"/>
                <w:kern w:val="0"/>
                <w:sz w:val="24"/>
              </w:rPr>
              <w:t>/Q</w:t>
            </w:r>
            <w:r>
              <w:rPr>
                <w:rFonts w:hint="default" w:ascii="Times New Roman" w:hAnsi="Times New Roman" w:cs="Times New Roman"/>
                <w:color w:val="auto"/>
                <w:kern w:val="0"/>
                <w:sz w:val="24"/>
                <w:vertAlign w:val="subscript"/>
              </w:rPr>
              <w:t>n</w:t>
            </w:r>
          </w:p>
          <w:p w14:paraId="7AD1931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式中：q</w:t>
            </w:r>
            <w:r>
              <w:rPr>
                <w:rFonts w:hint="default" w:ascii="Times New Roman" w:hAnsi="Times New Roman" w:cs="Times New Roman"/>
                <w:color w:val="auto"/>
                <w:kern w:val="0"/>
                <w:sz w:val="24"/>
                <w:vertAlign w:val="subscript"/>
              </w:rPr>
              <w:t>1</w:t>
            </w:r>
            <w:r>
              <w:rPr>
                <w:rFonts w:hint="default" w:ascii="Times New Roman" w:hAnsi="Times New Roman" w:cs="Times New Roman"/>
                <w:color w:val="auto"/>
                <w:kern w:val="0"/>
                <w:sz w:val="24"/>
              </w:rPr>
              <w:t>、q</w:t>
            </w:r>
            <w:r>
              <w:rPr>
                <w:rFonts w:hint="default" w:ascii="Times New Roman" w:hAnsi="Times New Roman" w:cs="Times New Roman"/>
                <w:color w:val="auto"/>
                <w:kern w:val="0"/>
                <w:sz w:val="24"/>
                <w:vertAlign w:val="subscript"/>
              </w:rPr>
              <w:t>2</w:t>
            </w:r>
            <w:r>
              <w:rPr>
                <w:rFonts w:hint="default" w:ascii="Times New Roman" w:hAnsi="Times New Roman" w:cs="Times New Roman"/>
                <w:color w:val="auto"/>
                <w:kern w:val="0"/>
                <w:sz w:val="24"/>
              </w:rPr>
              <w:t>，…，q</w:t>
            </w:r>
            <w:r>
              <w:rPr>
                <w:rFonts w:hint="default" w:ascii="Times New Roman" w:hAnsi="Times New Roman" w:cs="Times New Roman"/>
                <w:color w:val="auto"/>
                <w:kern w:val="0"/>
                <w:sz w:val="24"/>
                <w:vertAlign w:val="subscript"/>
              </w:rPr>
              <w:t>n</w:t>
            </w:r>
            <w:r>
              <w:rPr>
                <w:rFonts w:hint="default" w:ascii="Times New Roman" w:hAnsi="Times New Roman" w:cs="Times New Roman"/>
                <w:color w:val="auto"/>
                <w:kern w:val="0"/>
                <w:sz w:val="24"/>
              </w:rPr>
              <w:t>—每种危险物质的最大存在总量，t；</w:t>
            </w:r>
          </w:p>
          <w:p w14:paraId="029EE86D">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 xml:space="preserve">      Q</w:t>
            </w:r>
            <w:r>
              <w:rPr>
                <w:rFonts w:hint="default" w:ascii="Times New Roman" w:hAnsi="Times New Roman" w:cs="Times New Roman"/>
                <w:color w:val="auto"/>
                <w:kern w:val="0"/>
                <w:sz w:val="24"/>
                <w:vertAlign w:val="subscript"/>
              </w:rPr>
              <w:t>1</w:t>
            </w:r>
            <w:r>
              <w:rPr>
                <w:rFonts w:hint="default" w:ascii="Times New Roman" w:hAnsi="Times New Roman" w:cs="Times New Roman"/>
                <w:color w:val="auto"/>
                <w:kern w:val="0"/>
                <w:sz w:val="24"/>
              </w:rPr>
              <w:t>、Q</w:t>
            </w:r>
            <w:r>
              <w:rPr>
                <w:rFonts w:hint="default" w:ascii="Times New Roman" w:hAnsi="Times New Roman" w:cs="Times New Roman"/>
                <w:color w:val="auto"/>
                <w:kern w:val="0"/>
                <w:sz w:val="24"/>
                <w:vertAlign w:val="subscript"/>
              </w:rPr>
              <w:t>2</w:t>
            </w:r>
            <w:r>
              <w:rPr>
                <w:rFonts w:hint="default" w:ascii="Times New Roman" w:hAnsi="Times New Roman" w:cs="Times New Roman"/>
                <w:color w:val="auto"/>
                <w:kern w:val="0"/>
                <w:sz w:val="24"/>
              </w:rPr>
              <w:t>，…，Q</w:t>
            </w:r>
            <w:r>
              <w:rPr>
                <w:rFonts w:hint="default" w:ascii="Times New Roman" w:hAnsi="Times New Roman" w:cs="Times New Roman"/>
                <w:color w:val="auto"/>
                <w:kern w:val="0"/>
                <w:sz w:val="24"/>
                <w:vertAlign w:val="subscript"/>
              </w:rPr>
              <w:t>n</w:t>
            </w:r>
            <w:r>
              <w:rPr>
                <w:rFonts w:hint="default" w:ascii="Times New Roman" w:hAnsi="Times New Roman" w:cs="Times New Roman"/>
                <w:color w:val="auto"/>
                <w:kern w:val="0"/>
                <w:sz w:val="24"/>
              </w:rPr>
              <w:t>—每种危险物质的临界量，t。</w:t>
            </w:r>
          </w:p>
          <w:p w14:paraId="5854442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 xml:space="preserve">      当Q＜1时，环境风险潜势为Ⅰ；</w:t>
            </w:r>
          </w:p>
          <w:p w14:paraId="6CC0577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 xml:space="preserve">      当Q≥1时，将Q值划分为：（1）1≤Q＜10；（2）10≤Q＜100；（3）Q≥100。</w:t>
            </w:r>
          </w:p>
          <w:p w14:paraId="435DCC1E">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b/>
                <w:bCs/>
                <w:color w:val="auto"/>
                <w:sz w:val="24"/>
              </w:rPr>
            </w:pPr>
            <w:r>
              <w:rPr>
                <w:rFonts w:hint="default" w:ascii="Times New Roman" w:hAnsi="Times New Roman" w:cs="Times New Roman"/>
                <w:color w:val="auto"/>
                <w:sz w:val="24"/>
              </w:rPr>
              <w:t>本项目Q值确定表见表4</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-2</w:t>
            </w:r>
            <w:r>
              <w:rPr>
                <w:rFonts w:hint="eastAsia" w:ascii="Times New Roman" w:hAnsi="Times New Roman" w:cs="Times New Roman"/>
                <w:color w:val="auto"/>
                <w:sz w:val="24"/>
                <w:lang w:val="en-US" w:eastAsia="zh-CN"/>
              </w:rPr>
              <w:t>7</w:t>
            </w:r>
            <w:r>
              <w:rPr>
                <w:rFonts w:hint="default" w:ascii="Times New Roman" w:hAnsi="Times New Roman" w:cs="Times New Roman"/>
                <w:color w:val="auto"/>
                <w:sz w:val="24"/>
              </w:rPr>
              <w:t>。</w:t>
            </w:r>
          </w:p>
          <w:p w14:paraId="68387534">
            <w:pPr>
              <w:ind w:firstLine="482" w:firstLineChars="200"/>
              <w:jc w:val="center"/>
              <w:rPr>
                <w:rFonts w:hint="default" w:ascii="Times New Roman" w:hAnsi="Times New Roman" w:cs="Times New Roman"/>
                <w:b/>
                <w:color w:val="auto"/>
                <w:kern w:val="0"/>
                <w:sz w:val="24"/>
                <w:highlight w:val="none"/>
              </w:rPr>
            </w:pPr>
            <w:r>
              <w:rPr>
                <w:rFonts w:hint="default" w:ascii="Times New Roman" w:hAnsi="Times New Roman" w:cs="Times New Roman"/>
                <w:b/>
                <w:color w:val="auto"/>
                <w:kern w:val="0"/>
                <w:sz w:val="24"/>
                <w:highlight w:val="none"/>
              </w:rPr>
              <w:t>表4</w:t>
            </w:r>
            <w:r>
              <w:rPr>
                <w:rFonts w:hint="default" w:ascii="Times New Roman" w:hAnsi="Times New Roman" w:cs="Times New Roman"/>
                <w:b/>
                <w:color w:val="auto"/>
                <w:kern w:val="0"/>
                <w:sz w:val="24"/>
                <w:highlight w:val="none"/>
                <w:lang w:val="en-US" w:eastAsia="zh-CN"/>
              </w:rPr>
              <w:t>.2</w:t>
            </w:r>
            <w:r>
              <w:rPr>
                <w:rFonts w:hint="default" w:ascii="Times New Roman" w:hAnsi="Times New Roman" w:cs="Times New Roman"/>
                <w:b/>
                <w:color w:val="auto"/>
                <w:kern w:val="0"/>
                <w:sz w:val="24"/>
                <w:highlight w:val="none"/>
              </w:rPr>
              <w:t>-2</w:t>
            </w:r>
            <w:r>
              <w:rPr>
                <w:rFonts w:hint="eastAsia" w:ascii="Times New Roman" w:hAnsi="Times New Roman" w:cs="Times New Roman"/>
                <w:b/>
                <w:color w:val="auto"/>
                <w:kern w:val="0"/>
                <w:sz w:val="24"/>
                <w:highlight w:val="none"/>
                <w:lang w:val="en-US" w:eastAsia="zh-CN"/>
              </w:rPr>
              <w:t>7</w:t>
            </w:r>
            <w:r>
              <w:rPr>
                <w:rFonts w:hint="default" w:ascii="Times New Roman" w:hAnsi="Times New Roman" w:cs="Times New Roman"/>
                <w:b/>
                <w:color w:val="auto"/>
                <w:kern w:val="0"/>
                <w:sz w:val="24"/>
                <w:highlight w:val="none"/>
              </w:rPr>
              <w:t xml:space="preserve">   项目Q值确定表</w:t>
            </w:r>
          </w:p>
          <w:tbl>
            <w:tblPr>
              <w:tblStyle w:val="35"/>
              <w:tblW w:w="8700"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2049"/>
              <w:gridCol w:w="981"/>
              <w:gridCol w:w="1515"/>
              <w:gridCol w:w="1515"/>
              <w:gridCol w:w="1515"/>
            </w:tblGrid>
            <w:tr w14:paraId="415CF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noWrap w:val="0"/>
                  <w:vAlign w:val="center"/>
                </w:tcPr>
                <w:p w14:paraId="0D3D40DD">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序号</w:t>
                  </w:r>
                </w:p>
              </w:tc>
              <w:tc>
                <w:tcPr>
                  <w:tcW w:w="2049" w:type="dxa"/>
                  <w:noWrap w:val="0"/>
                  <w:vAlign w:val="center"/>
                </w:tcPr>
                <w:p w14:paraId="2839BE93">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危险物质名称</w:t>
                  </w:r>
                </w:p>
              </w:tc>
              <w:tc>
                <w:tcPr>
                  <w:tcW w:w="981" w:type="dxa"/>
                  <w:noWrap w:val="0"/>
                  <w:vAlign w:val="center"/>
                </w:tcPr>
                <w:p w14:paraId="32F8418F">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default" w:ascii="Times New Roman" w:hAnsi="Times New Roman" w:eastAsia="宋体" w:cs="Times New Roman"/>
                      <w:b/>
                      <w:bCs/>
                      <w:i w:val="0"/>
                      <w:iCs w:val="0"/>
                      <w:color w:val="0000FF"/>
                      <w:kern w:val="0"/>
                      <w:sz w:val="21"/>
                      <w:szCs w:val="21"/>
                      <w:u w:val="none"/>
                      <w:lang w:val="en-US" w:eastAsia="zh-CN" w:bidi="ar"/>
                    </w:rPr>
                    <w:t>CAS</w:t>
                  </w:r>
                  <w:r>
                    <w:rPr>
                      <w:rFonts w:hint="eastAsia" w:ascii="宋体" w:hAnsi="宋体" w:eastAsia="宋体" w:cs="宋体"/>
                      <w:b/>
                      <w:bCs/>
                      <w:i w:val="0"/>
                      <w:iCs w:val="0"/>
                      <w:color w:val="0000FF"/>
                      <w:kern w:val="0"/>
                      <w:sz w:val="21"/>
                      <w:szCs w:val="21"/>
                      <w:u w:val="none"/>
                      <w:lang w:val="en-US" w:eastAsia="zh-CN" w:bidi="ar"/>
                    </w:rPr>
                    <w:t>号</w:t>
                  </w:r>
                </w:p>
              </w:tc>
              <w:tc>
                <w:tcPr>
                  <w:tcW w:w="1515" w:type="dxa"/>
                  <w:noWrap w:val="0"/>
                  <w:vAlign w:val="center"/>
                </w:tcPr>
                <w:p w14:paraId="296A2352">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最大存在总量</w:t>
                  </w:r>
                  <w:r>
                    <w:rPr>
                      <w:rFonts w:hint="default" w:ascii="Times New Roman" w:hAnsi="Times New Roman" w:eastAsia="宋体" w:cs="Times New Roman"/>
                      <w:b/>
                      <w:bCs/>
                      <w:i w:val="0"/>
                      <w:iCs w:val="0"/>
                      <w:color w:val="0000FF"/>
                      <w:kern w:val="0"/>
                      <w:sz w:val="21"/>
                      <w:szCs w:val="21"/>
                      <w:u w:val="none"/>
                      <w:lang w:val="en-US" w:eastAsia="zh-CN" w:bidi="ar"/>
                    </w:rPr>
                    <w:t>q</w:t>
                  </w:r>
                  <w:r>
                    <w:rPr>
                      <w:rFonts w:hint="default" w:ascii="Times New Roman" w:hAnsi="Times New Roman" w:eastAsia="宋体" w:cs="Times New Roman"/>
                      <w:b/>
                      <w:bCs/>
                      <w:i w:val="0"/>
                      <w:iCs w:val="0"/>
                      <w:color w:val="0000FF"/>
                      <w:kern w:val="0"/>
                      <w:sz w:val="21"/>
                      <w:szCs w:val="21"/>
                      <w:u w:val="none"/>
                      <w:vertAlign w:val="subscript"/>
                      <w:lang w:val="en-US" w:eastAsia="zh-CN" w:bidi="ar"/>
                    </w:rPr>
                    <w:t>n</w:t>
                  </w:r>
                  <w:r>
                    <w:rPr>
                      <w:rFonts w:hint="default" w:ascii="Times New Roman" w:hAnsi="Times New Roman" w:eastAsia="宋体" w:cs="Times New Roman"/>
                      <w:b/>
                      <w:bCs/>
                      <w:i w:val="0"/>
                      <w:iCs w:val="0"/>
                      <w:color w:val="0000FF"/>
                      <w:kern w:val="0"/>
                      <w:sz w:val="21"/>
                      <w:szCs w:val="21"/>
                      <w:u w:val="none"/>
                      <w:lang w:val="en-US" w:eastAsia="zh-CN" w:bidi="ar"/>
                    </w:rPr>
                    <w:t>/t</w:t>
                  </w:r>
                </w:p>
              </w:tc>
              <w:tc>
                <w:tcPr>
                  <w:tcW w:w="1515" w:type="dxa"/>
                  <w:noWrap w:val="0"/>
                  <w:vAlign w:val="center"/>
                </w:tcPr>
                <w:p w14:paraId="269BDEE2">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临界量</w:t>
                  </w:r>
                  <w:r>
                    <w:rPr>
                      <w:rFonts w:hint="default" w:ascii="Times New Roman" w:hAnsi="Times New Roman" w:eastAsia="宋体" w:cs="Times New Roman"/>
                      <w:b/>
                      <w:bCs/>
                      <w:i w:val="0"/>
                      <w:iCs w:val="0"/>
                      <w:color w:val="0000FF"/>
                      <w:kern w:val="0"/>
                      <w:sz w:val="21"/>
                      <w:szCs w:val="21"/>
                      <w:u w:val="none"/>
                      <w:lang w:val="en-US" w:eastAsia="zh-CN" w:bidi="ar"/>
                    </w:rPr>
                    <w:t>Q</w:t>
                  </w:r>
                  <w:r>
                    <w:rPr>
                      <w:rFonts w:hint="default" w:ascii="Times New Roman" w:hAnsi="Times New Roman" w:eastAsia="宋体" w:cs="Times New Roman"/>
                      <w:b/>
                      <w:bCs/>
                      <w:i w:val="0"/>
                      <w:iCs w:val="0"/>
                      <w:color w:val="0000FF"/>
                      <w:kern w:val="0"/>
                      <w:sz w:val="21"/>
                      <w:szCs w:val="21"/>
                      <w:u w:val="none"/>
                      <w:vertAlign w:val="subscript"/>
                      <w:lang w:val="en-US" w:eastAsia="zh-CN" w:bidi="ar"/>
                    </w:rPr>
                    <w:t>n</w:t>
                  </w:r>
                  <w:r>
                    <w:rPr>
                      <w:rFonts w:hint="default" w:ascii="Times New Roman" w:hAnsi="Times New Roman" w:eastAsia="宋体" w:cs="Times New Roman"/>
                      <w:b/>
                      <w:bCs/>
                      <w:i w:val="0"/>
                      <w:iCs w:val="0"/>
                      <w:color w:val="0000FF"/>
                      <w:kern w:val="0"/>
                      <w:sz w:val="21"/>
                      <w:szCs w:val="21"/>
                      <w:u w:val="none"/>
                      <w:lang w:val="en-US" w:eastAsia="zh-CN" w:bidi="ar"/>
                    </w:rPr>
                    <w:t>/t</w:t>
                  </w:r>
                </w:p>
              </w:tc>
              <w:tc>
                <w:tcPr>
                  <w:tcW w:w="1515" w:type="dxa"/>
                  <w:noWrap w:val="0"/>
                  <w:vAlign w:val="center"/>
                </w:tcPr>
                <w:p w14:paraId="7A10F844">
                  <w:pPr>
                    <w:keepNext w:val="0"/>
                    <w:keepLines w:val="0"/>
                    <w:widowControl/>
                    <w:suppressLineNumbers w:val="0"/>
                    <w:jc w:val="center"/>
                    <w:textAlignment w:val="center"/>
                    <w:rPr>
                      <w:rFonts w:hint="default" w:ascii="Times New Roman" w:hAnsi="Times New Roman" w:eastAsia="宋体" w:cs="Times New Roman"/>
                      <w:b/>
                      <w:bCs/>
                      <w:i w:val="0"/>
                      <w:iCs w:val="0"/>
                      <w:color w:val="0000FF"/>
                      <w:sz w:val="21"/>
                      <w:szCs w:val="21"/>
                      <w:u w:val="none"/>
                    </w:rPr>
                  </w:pPr>
                  <w:r>
                    <w:rPr>
                      <w:rFonts w:hint="eastAsia" w:ascii="宋体" w:hAnsi="宋体" w:eastAsia="宋体" w:cs="宋体"/>
                      <w:b/>
                      <w:bCs/>
                      <w:i w:val="0"/>
                      <w:iCs w:val="0"/>
                      <w:color w:val="0000FF"/>
                      <w:kern w:val="0"/>
                      <w:sz w:val="21"/>
                      <w:szCs w:val="21"/>
                      <w:u w:val="none"/>
                      <w:lang w:val="en-US" w:eastAsia="zh-CN" w:bidi="ar"/>
                    </w:rPr>
                    <w:t>该危险物质</w:t>
                  </w:r>
                  <w:r>
                    <w:rPr>
                      <w:rFonts w:hint="default" w:ascii="Times New Roman" w:hAnsi="Times New Roman" w:eastAsia="宋体" w:cs="Times New Roman"/>
                      <w:b/>
                      <w:bCs/>
                      <w:i w:val="0"/>
                      <w:iCs w:val="0"/>
                      <w:color w:val="0000FF"/>
                      <w:kern w:val="0"/>
                      <w:sz w:val="21"/>
                      <w:szCs w:val="21"/>
                      <w:u w:val="none"/>
                      <w:lang w:val="en-US" w:eastAsia="zh-CN" w:bidi="ar"/>
                    </w:rPr>
                    <w:t>Q</w:t>
                  </w:r>
                  <w:r>
                    <w:rPr>
                      <w:rFonts w:hint="eastAsia" w:ascii="宋体" w:hAnsi="宋体" w:eastAsia="宋体" w:cs="宋体"/>
                      <w:b/>
                      <w:bCs/>
                      <w:i w:val="0"/>
                      <w:iCs w:val="0"/>
                      <w:color w:val="0000FF"/>
                      <w:kern w:val="0"/>
                      <w:sz w:val="21"/>
                      <w:szCs w:val="21"/>
                      <w:u w:val="none"/>
                      <w:lang w:val="en-US" w:eastAsia="zh-CN" w:bidi="ar"/>
                    </w:rPr>
                    <w:t>值</w:t>
                  </w:r>
                </w:p>
              </w:tc>
            </w:tr>
            <w:tr w14:paraId="40160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noWrap w:val="0"/>
                  <w:vAlign w:val="center"/>
                </w:tcPr>
                <w:p w14:paraId="42DEA91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c>
                <w:tcPr>
                  <w:tcW w:w="2049" w:type="dxa"/>
                  <w:noWrap w:val="0"/>
                  <w:vAlign w:val="center"/>
                </w:tcPr>
                <w:p w14:paraId="77900F8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油墨</w:t>
                  </w:r>
                </w:p>
              </w:tc>
              <w:tc>
                <w:tcPr>
                  <w:tcW w:w="981" w:type="dxa"/>
                  <w:noWrap w:val="0"/>
                  <w:vAlign w:val="center"/>
                </w:tcPr>
                <w:p w14:paraId="6EC8D4C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515" w:type="dxa"/>
                  <w:noWrap w:val="0"/>
                  <w:vAlign w:val="center"/>
                </w:tcPr>
                <w:p w14:paraId="539E86E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0.2919</w:t>
                  </w:r>
                </w:p>
              </w:tc>
              <w:tc>
                <w:tcPr>
                  <w:tcW w:w="1515" w:type="dxa"/>
                  <w:noWrap w:val="0"/>
                  <w:vAlign w:val="center"/>
                </w:tcPr>
                <w:p w14:paraId="6854E2B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500</w:t>
                  </w:r>
                </w:p>
              </w:tc>
              <w:tc>
                <w:tcPr>
                  <w:tcW w:w="1515" w:type="dxa"/>
                  <w:noWrap w:val="0"/>
                  <w:vAlign w:val="center"/>
                </w:tcPr>
                <w:p w14:paraId="1C86801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0.0005838</w:t>
                  </w:r>
                </w:p>
              </w:tc>
            </w:tr>
            <w:tr w14:paraId="21D16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noWrap w:val="0"/>
                  <w:vAlign w:val="center"/>
                </w:tcPr>
                <w:p w14:paraId="477541C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w:t>
                  </w:r>
                </w:p>
              </w:tc>
              <w:tc>
                <w:tcPr>
                  <w:tcW w:w="2049" w:type="dxa"/>
                  <w:noWrap w:val="0"/>
                  <w:vAlign w:val="center"/>
                </w:tcPr>
                <w:p w14:paraId="694BCC0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稀释剂</w:t>
                  </w:r>
                </w:p>
              </w:tc>
              <w:tc>
                <w:tcPr>
                  <w:tcW w:w="981" w:type="dxa"/>
                  <w:noWrap w:val="0"/>
                  <w:vAlign w:val="center"/>
                </w:tcPr>
                <w:p w14:paraId="01B8512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515" w:type="dxa"/>
                  <w:noWrap w:val="0"/>
                  <w:vAlign w:val="center"/>
                </w:tcPr>
                <w:p w14:paraId="4425DAB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0.0292</w:t>
                  </w:r>
                </w:p>
              </w:tc>
              <w:tc>
                <w:tcPr>
                  <w:tcW w:w="1515" w:type="dxa"/>
                  <w:noWrap w:val="0"/>
                  <w:vAlign w:val="center"/>
                </w:tcPr>
                <w:p w14:paraId="12DBEBD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500</w:t>
                  </w:r>
                </w:p>
              </w:tc>
              <w:tc>
                <w:tcPr>
                  <w:tcW w:w="1515" w:type="dxa"/>
                  <w:noWrap w:val="0"/>
                  <w:vAlign w:val="center"/>
                </w:tcPr>
                <w:p w14:paraId="5E883BA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0.0000584</w:t>
                  </w:r>
                </w:p>
              </w:tc>
            </w:tr>
            <w:tr w14:paraId="47916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25" w:type="dxa"/>
                  <w:noWrap w:val="0"/>
                  <w:vAlign w:val="center"/>
                </w:tcPr>
                <w:p w14:paraId="5404305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w:t>
                  </w:r>
                </w:p>
              </w:tc>
              <w:tc>
                <w:tcPr>
                  <w:tcW w:w="2049" w:type="dxa"/>
                  <w:noWrap w:val="0"/>
                  <w:vAlign w:val="center"/>
                </w:tcPr>
                <w:p w14:paraId="1E0EA4D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固化剂</w:t>
                  </w:r>
                </w:p>
              </w:tc>
              <w:tc>
                <w:tcPr>
                  <w:tcW w:w="981" w:type="dxa"/>
                  <w:noWrap w:val="0"/>
                  <w:vAlign w:val="center"/>
                </w:tcPr>
                <w:p w14:paraId="3FA419D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515" w:type="dxa"/>
                  <w:noWrap w:val="0"/>
                  <w:vAlign w:val="center"/>
                </w:tcPr>
                <w:p w14:paraId="5FA7C95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0.0438</w:t>
                  </w:r>
                </w:p>
              </w:tc>
              <w:tc>
                <w:tcPr>
                  <w:tcW w:w="1515" w:type="dxa"/>
                  <w:noWrap w:val="0"/>
                  <w:vAlign w:val="center"/>
                </w:tcPr>
                <w:p w14:paraId="370C778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10</w:t>
                  </w:r>
                </w:p>
              </w:tc>
              <w:tc>
                <w:tcPr>
                  <w:tcW w:w="1515" w:type="dxa"/>
                  <w:noWrap w:val="0"/>
                  <w:vAlign w:val="center"/>
                </w:tcPr>
                <w:p w14:paraId="0808A96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0.00438</w:t>
                  </w:r>
                </w:p>
              </w:tc>
            </w:tr>
            <w:tr w14:paraId="42502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noWrap w:val="0"/>
                  <w:vAlign w:val="center"/>
                </w:tcPr>
                <w:p w14:paraId="335E5E1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4</w:t>
                  </w:r>
                </w:p>
              </w:tc>
              <w:tc>
                <w:tcPr>
                  <w:tcW w:w="2049" w:type="dxa"/>
                  <w:noWrap w:val="0"/>
                  <w:vAlign w:val="center"/>
                </w:tcPr>
                <w:p w14:paraId="4F17DC8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防白水</w:t>
                  </w:r>
                </w:p>
              </w:tc>
              <w:tc>
                <w:tcPr>
                  <w:tcW w:w="981" w:type="dxa"/>
                  <w:noWrap w:val="0"/>
                  <w:vAlign w:val="center"/>
                </w:tcPr>
                <w:p w14:paraId="2448A77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515" w:type="dxa"/>
                  <w:noWrap w:val="0"/>
                  <w:vAlign w:val="center"/>
                </w:tcPr>
                <w:p w14:paraId="6C73707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0.01</w:t>
                  </w:r>
                </w:p>
              </w:tc>
              <w:tc>
                <w:tcPr>
                  <w:tcW w:w="1515" w:type="dxa"/>
                  <w:noWrap w:val="0"/>
                  <w:vAlign w:val="center"/>
                </w:tcPr>
                <w:p w14:paraId="4711B9D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2500</w:t>
                  </w:r>
                </w:p>
              </w:tc>
              <w:tc>
                <w:tcPr>
                  <w:tcW w:w="1515" w:type="dxa"/>
                  <w:noWrap w:val="0"/>
                  <w:vAlign w:val="center"/>
                </w:tcPr>
                <w:p w14:paraId="18C18DD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0.000004</w:t>
                  </w:r>
                </w:p>
              </w:tc>
            </w:tr>
            <w:tr w14:paraId="5F3AB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noWrap w:val="0"/>
                  <w:vAlign w:val="center"/>
                </w:tcPr>
                <w:p w14:paraId="1A79922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w:t>
                  </w:r>
                </w:p>
              </w:tc>
              <w:tc>
                <w:tcPr>
                  <w:tcW w:w="2049" w:type="dxa"/>
                  <w:noWrap w:val="0"/>
                  <w:vAlign w:val="center"/>
                </w:tcPr>
                <w:p w14:paraId="0EF5366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洗网水</w:t>
                  </w:r>
                </w:p>
              </w:tc>
              <w:tc>
                <w:tcPr>
                  <w:tcW w:w="981" w:type="dxa"/>
                  <w:noWrap w:val="0"/>
                  <w:vAlign w:val="center"/>
                </w:tcPr>
                <w:p w14:paraId="4FE1BA9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515" w:type="dxa"/>
                  <w:noWrap w:val="0"/>
                  <w:vAlign w:val="center"/>
                </w:tcPr>
                <w:p w14:paraId="2C24D2A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0.01</w:t>
                  </w:r>
                </w:p>
              </w:tc>
              <w:tc>
                <w:tcPr>
                  <w:tcW w:w="1515" w:type="dxa"/>
                  <w:noWrap w:val="0"/>
                  <w:vAlign w:val="center"/>
                </w:tcPr>
                <w:p w14:paraId="458BB43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2500</w:t>
                  </w:r>
                </w:p>
              </w:tc>
              <w:tc>
                <w:tcPr>
                  <w:tcW w:w="1515" w:type="dxa"/>
                  <w:noWrap w:val="0"/>
                  <w:vAlign w:val="center"/>
                </w:tcPr>
                <w:p w14:paraId="3EDF33C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0.000004</w:t>
                  </w:r>
                </w:p>
              </w:tc>
            </w:tr>
            <w:tr w14:paraId="3E4D4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25" w:type="dxa"/>
                  <w:noWrap w:val="0"/>
                  <w:vAlign w:val="center"/>
                </w:tcPr>
                <w:p w14:paraId="54ADE67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w:t>
                  </w:r>
                </w:p>
              </w:tc>
              <w:tc>
                <w:tcPr>
                  <w:tcW w:w="2049" w:type="dxa"/>
                  <w:noWrap w:val="0"/>
                  <w:vAlign w:val="center"/>
                </w:tcPr>
                <w:p w14:paraId="5891B18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酒精</w:t>
                  </w:r>
                  <w:r>
                    <w:rPr>
                      <w:rFonts w:hint="default" w:ascii="Times New Roman" w:hAnsi="Times New Roman" w:eastAsia="宋体" w:cs="Times New Roman"/>
                      <w:i w:val="0"/>
                      <w:iCs w:val="0"/>
                      <w:color w:val="0000FF"/>
                      <w:kern w:val="0"/>
                      <w:sz w:val="21"/>
                      <w:szCs w:val="21"/>
                      <w:u w:val="none"/>
                      <w:lang w:val="en-US" w:eastAsia="zh-CN" w:bidi="ar"/>
                    </w:rPr>
                    <w:t>95%</w:t>
                  </w:r>
                </w:p>
              </w:tc>
              <w:tc>
                <w:tcPr>
                  <w:tcW w:w="981" w:type="dxa"/>
                  <w:noWrap w:val="0"/>
                  <w:vAlign w:val="center"/>
                </w:tcPr>
                <w:p w14:paraId="363CA75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515" w:type="dxa"/>
                  <w:noWrap w:val="0"/>
                  <w:vAlign w:val="center"/>
                </w:tcPr>
                <w:p w14:paraId="48AD314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0.008</w:t>
                  </w:r>
                </w:p>
              </w:tc>
              <w:tc>
                <w:tcPr>
                  <w:tcW w:w="1515" w:type="dxa"/>
                  <w:noWrap w:val="0"/>
                  <w:vAlign w:val="center"/>
                </w:tcPr>
                <w:p w14:paraId="1CC3D46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10</w:t>
                  </w:r>
                </w:p>
              </w:tc>
              <w:tc>
                <w:tcPr>
                  <w:tcW w:w="1515" w:type="dxa"/>
                  <w:noWrap w:val="0"/>
                  <w:vAlign w:val="center"/>
                </w:tcPr>
                <w:p w14:paraId="416706E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0.0008</w:t>
                  </w:r>
                </w:p>
              </w:tc>
            </w:tr>
            <w:tr w14:paraId="0CD34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25" w:type="dxa"/>
                  <w:noWrap w:val="0"/>
                  <w:vAlign w:val="center"/>
                </w:tcPr>
                <w:p w14:paraId="3534C01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7</w:t>
                  </w:r>
                </w:p>
              </w:tc>
              <w:tc>
                <w:tcPr>
                  <w:tcW w:w="2049" w:type="dxa"/>
                  <w:noWrap w:val="0"/>
                  <w:vAlign w:val="center"/>
                </w:tcPr>
                <w:p w14:paraId="0F32749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绿色防锈剂</w:t>
                  </w:r>
                </w:p>
              </w:tc>
              <w:tc>
                <w:tcPr>
                  <w:tcW w:w="981" w:type="dxa"/>
                  <w:noWrap w:val="0"/>
                  <w:vAlign w:val="center"/>
                </w:tcPr>
                <w:p w14:paraId="0974C0D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515" w:type="dxa"/>
                  <w:noWrap w:val="0"/>
                  <w:vAlign w:val="center"/>
                </w:tcPr>
                <w:p w14:paraId="6AC6F1E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0.0092</w:t>
                  </w:r>
                </w:p>
              </w:tc>
              <w:tc>
                <w:tcPr>
                  <w:tcW w:w="1515" w:type="dxa"/>
                  <w:noWrap w:val="0"/>
                  <w:vAlign w:val="center"/>
                </w:tcPr>
                <w:p w14:paraId="379DBD1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2500</w:t>
                  </w:r>
                </w:p>
              </w:tc>
              <w:tc>
                <w:tcPr>
                  <w:tcW w:w="1515" w:type="dxa"/>
                  <w:noWrap w:val="0"/>
                  <w:vAlign w:val="center"/>
                </w:tcPr>
                <w:p w14:paraId="4016AA0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0.00000368</w:t>
                  </w:r>
                </w:p>
              </w:tc>
            </w:tr>
            <w:tr w14:paraId="4E865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noWrap w:val="0"/>
                  <w:vAlign w:val="center"/>
                </w:tcPr>
                <w:p w14:paraId="60111C5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8</w:t>
                  </w:r>
                </w:p>
              </w:tc>
              <w:tc>
                <w:tcPr>
                  <w:tcW w:w="2049" w:type="dxa"/>
                  <w:noWrap w:val="0"/>
                  <w:vAlign w:val="center"/>
                </w:tcPr>
                <w:p w14:paraId="6AB5952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住矿润滑油喷雾剂</w:t>
                  </w:r>
                </w:p>
              </w:tc>
              <w:tc>
                <w:tcPr>
                  <w:tcW w:w="981" w:type="dxa"/>
                  <w:noWrap w:val="0"/>
                  <w:vAlign w:val="center"/>
                </w:tcPr>
                <w:p w14:paraId="45AF5AF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515" w:type="dxa"/>
                  <w:noWrap w:val="0"/>
                  <w:vAlign w:val="center"/>
                </w:tcPr>
                <w:p w14:paraId="26F9FB1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0.0033</w:t>
                  </w:r>
                </w:p>
              </w:tc>
              <w:tc>
                <w:tcPr>
                  <w:tcW w:w="1515" w:type="dxa"/>
                  <w:noWrap w:val="0"/>
                  <w:vAlign w:val="center"/>
                </w:tcPr>
                <w:p w14:paraId="1C34B11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2500</w:t>
                  </w:r>
                </w:p>
              </w:tc>
              <w:tc>
                <w:tcPr>
                  <w:tcW w:w="1515" w:type="dxa"/>
                  <w:noWrap w:val="0"/>
                  <w:vAlign w:val="center"/>
                </w:tcPr>
                <w:p w14:paraId="4F9A73E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0.00000132</w:t>
                  </w:r>
                </w:p>
              </w:tc>
            </w:tr>
            <w:tr w14:paraId="150C1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noWrap w:val="0"/>
                  <w:vAlign w:val="center"/>
                </w:tcPr>
                <w:p w14:paraId="03CDC8C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9</w:t>
                  </w:r>
                </w:p>
              </w:tc>
              <w:tc>
                <w:tcPr>
                  <w:tcW w:w="2049" w:type="dxa"/>
                  <w:noWrap w:val="0"/>
                  <w:vAlign w:val="center"/>
                </w:tcPr>
                <w:p w14:paraId="3892EE5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三川耐高温润滑脂</w:t>
                  </w:r>
                </w:p>
              </w:tc>
              <w:tc>
                <w:tcPr>
                  <w:tcW w:w="981" w:type="dxa"/>
                  <w:noWrap w:val="0"/>
                  <w:vAlign w:val="center"/>
                </w:tcPr>
                <w:p w14:paraId="2FA6123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515" w:type="dxa"/>
                  <w:noWrap w:val="0"/>
                  <w:vAlign w:val="center"/>
                </w:tcPr>
                <w:p w14:paraId="5FB115E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0.004</w:t>
                  </w:r>
                </w:p>
              </w:tc>
              <w:tc>
                <w:tcPr>
                  <w:tcW w:w="1515" w:type="dxa"/>
                  <w:noWrap w:val="0"/>
                  <w:vAlign w:val="center"/>
                </w:tcPr>
                <w:p w14:paraId="0E0973D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2500</w:t>
                  </w:r>
                </w:p>
              </w:tc>
              <w:tc>
                <w:tcPr>
                  <w:tcW w:w="1515" w:type="dxa"/>
                  <w:noWrap w:val="0"/>
                  <w:vAlign w:val="center"/>
                </w:tcPr>
                <w:p w14:paraId="60E4757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0.0000016</w:t>
                  </w:r>
                </w:p>
              </w:tc>
            </w:tr>
            <w:tr w14:paraId="3C48F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25" w:type="dxa"/>
                  <w:noWrap w:val="0"/>
                  <w:vAlign w:val="center"/>
                </w:tcPr>
                <w:p w14:paraId="06D32FF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10</w:t>
                  </w:r>
                </w:p>
              </w:tc>
              <w:tc>
                <w:tcPr>
                  <w:tcW w:w="2049" w:type="dxa"/>
                  <w:noWrap w:val="0"/>
                  <w:vAlign w:val="center"/>
                </w:tcPr>
                <w:p w14:paraId="5C9F92F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白油</w:t>
                  </w:r>
                </w:p>
              </w:tc>
              <w:tc>
                <w:tcPr>
                  <w:tcW w:w="981" w:type="dxa"/>
                  <w:noWrap w:val="0"/>
                  <w:vAlign w:val="center"/>
                </w:tcPr>
                <w:p w14:paraId="5710F82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515" w:type="dxa"/>
                  <w:noWrap w:val="0"/>
                  <w:vAlign w:val="center"/>
                </w:tcPr>
                <w:p w14:paraId="0CB7C0E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0.0025</w:t>
                  </w:r>
                </w:p>
              </w:tc>
              <w:tc>
                <w:tcPr>
                  <w:tcW w:w="1515" w:type="dxa"/>
                  <w:noWrap w:val="0"/>
                  <w:vAlign w:val="center"/>
                </w:tcPr>
                <w:p w14:paraId="0B9AC03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2500</w:t>
                  </w:r>
                </w:p>
              </w:tc>
              <w:tc>
                <w:tcPr>
                  <w:tcW w:w="1515" w:type="dxa"/>
                  <w:noWrap w:val="0"/>
                  <w:vAlign w:val="center"/>
                </w:tcPr>
                <w:p w14:paraId="7A8FF45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0.000001</w:t>
                  </w:r>
                </w:p>
              </w:tc>
            </w:tr>
            <w:tr w14:paraId="20F65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noWrap w:val="0"/>
                  <w:vAlign w:val="center"/>
                </w:tcPr>
                <w:p w14:paraId="7617616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11</w:t>
                  </w:r>
                </w:p>
              </w:tc>
              <w:tc>
                <w:tcPr>
                  <w:tcW w:w="2049" w:type="dxa"/>
                  <w:noWrap w:val="0"/>
                  <w:vAlign w:val="center"/>
                </w:tcPr>
                <w:p w14:paraId="3B74ACE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除锈剂</w:t>
                  </w:r>
                </w:p>
              </w:tc>
              <w:tc>
                <w:tcPr>
                  <w:tcW w:w="981" w:type="dxa"/>
                  <w:noWrap w:val="0"/>
                  <w:vAlign w:val="center"/>
                </w:tcPr>
                <w:p w14:paraId="409870D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515" w:type="dxa"/>
                  <w:noWrap w:val="0"/>
                  <w:vAlign w:val="center"/>
                </w:tcPr>
                <w:p w14:paraId="0755F5D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0.0024</w:t>
                  </w:r>
                </w:p>
              </w:tc>
              <w:tc>
                <w:tcPr>
                  <w:tcW w:w="1515" w:type="dxa"/>
                  <w:noWrap w:val="0"/>
                  <w:vAlign w:val="center"/>
                </w:tcPr>
                <w:p w14:paraId="6DCA98B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2500</w:t>
                  </w:r>
                </w:p>
              </w:tc>
              <w:tc>
                <w:tcPr>
                  <w:tcW w:w="1515" w:type="dxa"/>
                  <w:noWrap w:val="0"/>
                  <w:vAlign w:val="center"/>
                </w:tcPr>
                <w:p w14:paraId="2353975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0.00000096</w:t>
                  </w:r>
                </w:p>
              </w:tc>
            </w:tr>
            <w:tr w14:paraId="39E11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noWrap w:val="0"/>
                  <w:vAlign w:val="center"/>
                </w:tcPr>
                <w:p w14:paraId="6A7C46F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12</w:t>
                  </w:r>
                </w:p>
              </w:tc>
              <w:tc>
                <w:tcPr>
                  <w:tcW w:w="2049" w:type="dxa"/>
                  <w:noWrap w:val="0"/>
                  <w:vAlign w:val="center"/>
                </w:tcPr>
                <w:p w14:paraId="61C8C04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蓝威宝</w:t>
                  </w:r>
                </w:p>
              </w:tc>
              <w:tc>
                <w:tcPr>
                  <w:tcW w:w="981" w:type="dxa"/>
                  <w:noWrap w:val="0"/>
                  <w:vAlign w:val="center"/>
                </w:tcPr>
                <w:p w14:paraId="5B047D5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515" w:type="dxa"/>
                  <w:noWrap w:val="0"/>
                  <w:vAlign w:val="center"/>
                </w:tcPr>
                <w:p w14:paraId="6E52FE9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0.01</w:t>
                  </w:r>
                </w:p>
              </w:tc>
              <w:tc>
                <w:tcPr>
                  <w:tcW w:w="1515" w:type="dxa"/>
                  <w:noWrap w:val="0"/>
                  <w:vAlign w:val="center"/>
                </w:tcPr>
                <w:p w14:paraId="4269A14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2500</w:t>
                  </w:r>
                </w:p>
              </w:tc>
              <w:tc>
                <w:tcPr>
                  <w:tcW w:w="1515" w:type="dxa"/>
                  <w:noWrap w:val="0"/>
                  <w:vAlign w:val="center"/>
                </w:tcPr>
                <w:p w14:paraId="495B038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0.000004</w:t>
                  </w:r>
                </w:p>
              </w:tc>
            </w:tr>
            <w:tr w14:paraId="63BF2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noWrap w:val="0"/>
                  <w:vAlign w:val="center"/>
                </w:tcPr>
                <w:p w14:paraId="6C7E289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13</w:t>
                  </w:r>
                </w:p>
              </w:tc>
              <w:tc>
                <w:tcPr>
                  <w:tcW w:w="2049" w:type="dxa"/>
                  <w:noWrap w:val="0"/>
                  <w:vAlign w:val="center"/>
                </w:tcPr>
                <w:p w14:paraId="31A2C59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白电油</w:t>
                  </w:r>
                </w:p>
              </w:tc>
              <w:tc>
                <w:tcPr>
                  <w:tcW w:w="981" w:type="dxa"/>
                  <w:noWrap w:val="0"/>
                  <w:vAlign w:val="center"/>
                </w:tcPr>
                <w:p w14:paraId="5031B9B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515" w:type="dxa"/>
                  <w:noWrap/>
                  <w:vAlign w:val="center"/>
                </w:tcPr>
                <w:p w14:paraId="5ED9AF8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0.04</w:t>
                  </w:r>
                </w:p>
              </w:tc>
              <w:tc>
                <w:tcPr>
                  <w:tcW w:w="1515" w:type="dxa"/>
                  <w:noWrap w:val="0"/>
                  <w:vAlign w:val="center"/>
                </w:tcPr>
                <w:p w14:paraId="29304E4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2500</w:t>
                  </w:r>
                </w:p>
              </w:tc>
              <w:tc>
                <w:tcPr>
                  <w:tcW w:w="1515" w:type="dxa"/>
                  <w:noWrap w:val="0"/>
                  <w:vAlign w:val="center"/>
                </w:tcPr>
                <w:p w14:paraId="7113F95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0.000016</w:t>
                  </w:r>
                </w:p>
              </w:tc>
            </w:tr>
            <w:tr w14:paraId="744BF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noWrap w:val="0"/>
                  <w:vAlign w:val="center"/>
                </w:tcPr>
                <w:p w14:paraId="567FA82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14</w:t>
                  </w:r>
                </w:p>
              </w:tc>
              <w:tc>
                <w:tcPr>
                  <w:tcW w:w="2049" w:type="dxa"/>
                  <w:noWrap w:val="0"/>
                  <w:vAlign w:val="center"/>
                </w:tcPr>
                <w:p w14:paraId="26A35A3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镜面放电加工油</w:t>
                  </w:r>
                </w:p>
              </w:tc>
              <w:tc>
                <w:tcPr>
                  <w:tcW w:w="981" w:type="dxa"/>
                  <w:noWrap w:val="0"/>
                  <w:vAlign w:val="center"/>
                </w:tcPr>
                <w:p w14:paraId="123F8F8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515" w:type="dxa"/>
                  <w:noWrap w:val="0"/>
                  <w:vAlign w:val="center"/>
                </w:tcPr>
                <w:p w14:paraId="4C1DE73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lang w:val="en-US"/>
                    </w:rPr>
                  </w:pPr>
                  <w:r>
                    <w:rPr>
                      <w:rFonts w:hint="default" w:ascii="Times New Roman" w:hAnsi="Times New Roman" w:eastAsia="宋体" w:cs="Times New Roman"/>
                      <w:i w:val="0"/>
                      <w:iCs w:val="0"/>
                      <w:color w:val="0000FF"/>
                      <w:kern w:val="0"/>
                      <w:sz w:val="21"/>
                      <w:szCs w:val="21"/>
                      <w:u w:val="none"/>
                      <w:lang w:val="en-US" w:eastAsia="zh-CN" w:bidi="ar"/>
                    </w:rPr>
                    <w:t>0.04</w:t>
                  </w:r>
                </w:p>
              </w:tc>
              <w:tc>
                <w:tcPr>
                  <w:tcW w:w="1515" w:type="dxa"/>
                  <w:noWrap w:val="0"/>
                  <w:vAlign w:val="center"/>
                </w:tcPr>
                <w:p w14:paraId="2613EDE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2500</w:t>
                  </w:r>
                </w:p>
              </w:tc>
              <w:tc>
                <w:tcPr>
                  <w:tcW w:w="1515" w:type="dxa"/>
                  <w:noWrap w:val="0"/>
                  <w:vAlign w:val="center"/>
                </w:tcPr>
                <w:p w14:paraId="73149A2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lang w:val="en-US"/>
                    </w:rPr>
                  </w:pPr>
                  <w:r>
                    <w:rPr>
                      <w:rFonts w:hint="default" w:ascii="Times New Roman" w:hAnsi="Times New Roman" w:eastAsia="宋体" w:cs="Times New Roman"/>
                      <w:i w:val="0"/>
                      <w:iCs w:val="0"/>
                      <w:color w:val="0000FF"/>
                      <w:kern w:val="0"/>
                      <w:sz w:val="21"/>
                      <w:szCs w:val="21"/>
                      <w:u w:val="none"/>
                      <w:lang w:val="en-US" w:eastAsia="zh-CN" w:bidi="ar"/>
                    </w:rPr>
                    <w:t>0.000016</w:t>
                  </w:r>
                </w:p>
              </w:tc>
            </w:tr>
            <w:tr w14:paraId="3060F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noWrap w:val="0"/>
                  <w:vAlign w:val="center"/>
                </w:tcPr>
                <w:p w14:paraId="18D0181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15</w:t>
                  </w:r>
                </w:p>
              </w:tc>
              <w:tc>
                <w:tcPr>
                  <w:tcW w:w="2049" w:type="dxa"/>
                  <w:noWrap w:val="0"/>
                  <w:vAlign w:val="center"/>
                </w:tcPr>
                <w:p w14:paraId="6F5DFC81">
                  <w:pPr>
                    <w:keepNext w:val="0"/>
                    <w:keepLines w:val="0"/>
                    <w:widowControl/>
                    <w:suppressLineNumbers w:val="0"/>
                    <w:jc w:val="center"/>
                    <w:textAlignment w:val="center"/>
                    <w:rPr>
                      <w:color w:val="0000FF"/>
                    </w:rPr>
                  </w:pPr>
                  <w:r>
                    <w:rPr>
                      <w:rFonts w:hint="eastAsia" w:ascii="宋体" w:hAnsi="宋体" w:eastAsia="宋体" w:cs="宋体"/>
                      <w:i w:val="0"/>
                      <w:iCs w:val="0"/>
                      <w:color w:val="0000FF"/>
                      <w:kern w:val="0"/>
                      <w:sz w:val="21"/>
                      <w:szCs w:val="21"/>
                      <w:u w:val="none"/>
                      <w:lang w:val="en-US" w:eastAsia="zh-CN" w:bidi="ar"/>
                    </w:rPr>
                    <w:t>乳化性切削液</w:t>
                  </w:r>
                </w:p>
              </w:tc>
              <w:tc>
                <w:tcPr>
                  <w:tcW w:w="981" w:type="dxa"/>
                  <w:noWrap w:val="0"/>
                  <w:vAlign w:val="center"/>
                </w:tcPr>
                <w:p w14:paraId="0A428954">
                  <w:pPr>
                    <w:keepNext w:val="0"/>
                    <w:keepLines w:val="0"/>
                    <w:widowControl/>
                    <w:suppressLineNumbers w:val="0"/>
                    <w:jc w:val="center"/>
                    <w:textAlignment w:val="center"/>
                    <w:rPr>
                      <w:color w:val="0000FF"/>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515" w:type="dxa"/>
                  <w:noWrap w:val="0"/>
                  <w:vAlign w:val="center"/>
                </w:tcPr>
                <w:p w14:paraId="30701F68">
                  <w:pPr>
                    <w:keepNext w:val="0"/>
                    <w:keepLines w:val="0"/>
                    <w:widowControl/>
                    <w:suppressLineNumbers w:val="0"/>
                    <w:jc w:val="center"/>
                    <w:textAlignment w:val="center"/>
                    <w:rPr>
                      <w:color w:val="0000FF"/>
                    </w:rPr>
                  </w:pPr>
                  <w:r>
                    <w:rPr>
                      <w:rFonts w:hint="default" w:ascii="Times New Roman" w:hAnsi="Times New Roman" w:eastAsia="宋体" w:cs="Times New Roman"/>
                      <w:i w:val="0"/>
                      <w:iCs w:val="0"/>
                      <w:color w:val="0000FF"/>
                      <w:kern w:val="0"/>
                      <w:sz w:val="21"/>
                      <w:szCs w:val="21"/>
                      <w:u w:val="none"/>
                      <w:lang w:val="en-US" w:eastAsia="zh-CN" w:bidi="ar"/>
                    </w:rPr>
                    <w:t>0.04</w:t>
                  </w:r>
                </w:p>
              </w:tc>
              <w:tc>
                <w:tcPr>
                  <w:tcW w:w="1515" w:type="dxa"/>
                  <w:noWrap w:val="0"/>
                  <w:vAlign w:val="center"/>
                </w:tcPr>
                <w:p w14:paraId="08DF549F">
                  <w:pPr>
                    <w:keepNext w:val="0"/>
                    <w:keepLines w:val="0"/>
                    <w:widowControl/>
                    <w:suppressLineNumbers w:val="0"/>
                    <w:jc w:val="center"/>
                    <w:textAlignment w:val="center"/>
                    <w:rPr>
                      <w:color w:val="0000FF"/>
                    </w:rPr>
                  </w:pPr>
                  <w:r>
                    <w:rPr>
                      <w:rFonts w:hint="default" w:ascii="Times New Roman" w:hAnsi="Times New Roman" w:eastAsia="宋体" w:cs="Times New Roman"/>
                      <w:i w:val="0"/>
                      <w:iCs w:val="0"/>
                      <w:color w:val="0000FF"/>
                      <w:kern w:val="0"/>
                      <w:sz w:val="21"/>
                      <w:szCs w:val="21"/>
                      <w:u w:val="none"/>
                      <w:lang w:val="en-US" w:eastAsia="zh-CN" w:bidi="ar"/>
                    </w:rPr>
                    <w:t>2500</w:t>
                  </w:r>
                </w:p>
              </w:tc>
              <w:tc>
                <w:tcPr>
                  <w:tcW w:w="1515" w:type="dxa"/>
                  <w:noWrap w:val="0"/>
                  <w:vAlign w:val="center"/>
                </w:tcPr>
                <w:p w14:paraId="7D70ABA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0.000016</w:t>
                  </w:r>
                </w:p>
              </w:tc>
            </w:tr>
            <w:tr w14:paraId="29E77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noWrap w:val="0"/>
                  <w:vAlign w:val="center"/>
                </w:tcPr>
                <w:p w14:paraId="34558C31">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16</w:t>
                  </w:r>
                </w:p>
              </w:tc>
              <w:tc>
                <w:tcPr>
                  <w:tcW w:w="2049" w:type="dxa"/>
                  <w:noWrap w:val="0"/>
                  <w:vAlign w:val="center"/>
                </w:tcPr>
                <w:p w14:paraId="073CB2B3">
                  <w:pPr>
                    <w:keepNext w:val="0"/>
                    <w:keepLines w:val="0"/>
                    <w:widowControl/>
                    <w:suppressLineNumbers w:val="0"/>
                    <w:jc w:val="center"/>
                    <w:textAlignment w:val="center"/>
                    <w:rPr>
                      <w:color w:val="0000FF"/>
                    </w:rPr>
                  </w:pPr>
                  <w:r>
                    <w:rPr>
                      <w:rFonts w:hint="eastAsia" w:ascii="宋体" w:hAnsi="宋体" w:eastAsia="宋体" w:cs="宋体"/>
                      <w:i w:val="0"/>
                      <w:iCs w:val="0"/>
                      <w:color w:val="0000FF"/>
                      <w:kern w:val="0"/>
                      <w:sz w:val="21"/>
                      <w:szCs w:val="21"/>
                      <w:u w:val="none"/>
                      <w:lang w:val="en-US" w:eastAsia="zh-CN" w:bidi="ar"/>
                    </w:rPr>
                    <w:t>空压机油</w:t>
                  </w:r>
                </w:p>
              </w:tc>
              <w:tc>
                <w:tcPr>
                  <w:tcW w:w="981" w:type="dxa"/>
                  <w:noWrap w:val="0"/>
                  <w:vAlign w:val="center"/>
                </w:tcPr>
                <w:p w14:paraId="40C2106F">
                  <w:pPr>
                    <w:keepNext w:val="0"/>
                    <w:keepLines w:val="0"/>
                    <w:widowControl/>
                    <w:suppressLineNumbers w:val="0"/>
                    <w:jc w:val="center"/>
                    <w:textAlignment w:val="center"/>
                    <w:rPr>
                      <w:color w:val="0000FF"/>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515" w:type="dxa"/>
                  <w:noWrap w:val="0"/>
                  <w:vAlign w:val="center"/>
                </w:tcPr>
                <w:p w14:paraId="2C5295B7">
                  <w:pPr>
                    <w:keepNext w:val="0"/>
                    <w:keepLines w:val="0"/>
                    <w:widowControl/>
                    <w:suppressLineNumbers w:val="0"/>
                    <w:jc w:val="center"/>
                    <w:textAlignment w:val="center"/>
                    <w:rPr>
                      <w:color w:val="0000FF"/>
                    </w:rPr>
                  </w:pPr>
                  <w:r>
                    <w:rPr>
                      <w:rFonts w:hint="default" w:ascii="Times New Roman" w:hAnsi="Times New Roman" w:eastAsia="宋体" w:cs="Times New Roman"/>
                      <w:i w:val="0"/>
                      <w:iCs w:val="0"/>
                      <w:color w:val="0000FF"/>
                      <w:kern w:val="0"/>
                      <w:sz w:val="21"/>
                      <w:szCs w:val="21"/>
                      <w:u w:val="none"/>
                      <w:lang w:val="en-US" w:eastAsia="zh-CN" w:bidi="ar"/>
                    </w:rPr>
                    <w:t>0.02</w:t>
                  </w:r>
                </w:p>
              </w:tc>
              <w:tc>
                <w:tcPr>
                  <w:tcW w:w="1515" w:type="dxa"/>
                  <w:noWrap w:val="0"/>
                  <w:vAlign w:val="center"/>
                </w:tcPr>
                <w:p w14:paraId="7E2E4597">
                  <w:pPr>
                    <w:keepNext w:val="0"/>
                    <w:keepLines w:val="0"/>
                    <w:widowControl/>
                    <w:suppressLineNumbers w:val="0"/>
                    <w:jc w:val="center"/>
                    <w:textAlignment w:val="center"/>
                    <w:rPr>
                      <w:color w:val="0000FF"/>
                    </w:rPr>
                  </w:pPr>
                  <w:r>
                    <w:rPr>
                      <w:rFonts w:hint="default" w:ascii="Times New Roman" w:hAnsi="Times New Roman" w:eastAsia="宋体" w:cs="Times New Roman"/>
                      <w:i w:val="0"/>
                      <w:iCs w:val="0"/>
                      <w:color w:val="0000FF"/>
                      <w:kern w:val="0"/>
                      <w:sz w:val="21"/>
                      <w:szCs w:val="21"/>
                      <w:u w:val="none"/>
                      <w:lang w:val="en-US" w:eastAsia="zh-CN" w:bidi="ar"/>
                    </w:rPr>
                    <w:t>2500</w:t>
                  </w:r>
                </w:p>
              </w:tc>
              <w:tc>
                <w:tcPr>
                  <w:tcW w:w="1515" w:type="dxa"/>
                  <w:noWrap w:val="0"/>
                  <w:vAlign w:val="center"/>
                </w:tcPr>
                <w:p w14:paraId="2C16D21A">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0.000008</w:t>
                  </w:r>
                </w:p>
              </w:tc>
            </w:tr>
            <w:tr w14:paraId="3E1CA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noWrap w:val="0"/>
                  <w:vAlign w:val="center"/>
                </w:tcPr>
                <w:p w14:paraId="2ABE7D95">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17</w:t>
                  </w:r>
                </w:p>
              </w:tc>
              <w:tc>
                <w:tcPr>
                  <w:tcW w:w="2049" w:type="dxa"/>
                  <w:noWrap w:val="0"/>
                  <w:vAlign w:val="center"/>
                </w:tcPr>
                <w:p w14:paraId="016D60C2">
                  <w:pPr>
                    <w:keepNext w:val="0"/>
                    <w:keepLines w:val="0"/>
                    <w:widowControl/>
                    <w:suppressLineNumbers w:val="0"/>
                    <w:jc w:val="center"/>
                    <w:textAlignment w:val="center"/>
                    <w:rPr>
                      <w:color w:val="0000FF"/>
                    </w:rPr>
                  </w:pPr>
                  <w:r>
                    <w:rPr>
                      <w:rFonts w:hint="eastAsia" w:ascii="宋体" w:hAnsi="宋体" w:eastAsia="宋体" w:cs="宋体"/>
                      <w:i w:val="0"/>
                      <w:iCs w:val="0"/>
                      <w:color w:val="0000FF"/>
                      <w:kern w:val="0"/>
                      <w:sz w:val="21"/>
                      <w:szCs w:val="21"/>
                      <w:u w:val="none"/>
                      <w:lang w:val="en-US" w:eastAsia="zh-CN" w:bidi="ar"/>
                    </w:rPr>
                    <w:t>废润滑油、废活性炭等危险废物</w:t>
                  </w:r>
                </w:p>
              </w:tc>
              <w:tc>
                <w:tcPr>
                  <w:tcW w:w="981" w:type="dxa"/>
                  <w:noWrap w:val="0"/>
                  <w:vAlign w:val="center"/>
                </w:tcPr>
                <w:p w14:paraId="55B20A5B">
                  <w:pPr>
                    <w:keepNext w:val="0"/>
                    <w:keepLines w:val="0"/>
                    <w:widowControl/>
                    <w:suppressLineNumbers w:val="0"/>
                    <w:jc w:val="center"/>
                    <w:textAlignment w:val="center"/>
                    <w:rPr>
                      <w:color w:val="0000FF"/>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515" w:type="dxa"/>
                  <w:noWrap w:val="0"/>
                  <w:vAlign w:val="center"/>
                </w:tcPr>
                <w:p w14:paraId="6EDBE631">
                  <w:pPr>
                    <w:keepNext w:val="0"/>
                    <w:keepLines w:val="0"/>
                    <w:widowControl/>
                    <w:suppressLineNumbers w:val="0"/>
                    <w:jc w:val="center"/>
                    <w:textAlignment w:val="center"/>
                    <w:rPr>
                      <w:color w:val="0000FF"/>
                    </w:rPr>
                  </w:pPr>
                  <w:r>
                    <w:rPr>
                      <w:rFonts w:hint="default" w:ascii="Times New Roman" w:hAnsi="Times New Roman" w:eastAsia="宋体" w:cs="Times New Roman"/>
                      <w:i w:val="0"/>
                      <w:iCs w:val="0"/>
                      <w:color w:val="0000FF"/>
                      <w:kern w:val="0"/>
                      <w:sz w:val="21"/>
                      <w:szCs w:val="21"/>
                      <w:u w:val="none"/>
                      <w:lang w:val="en-US" w:eastAsia="zh-CN" w:bidi="ar"/>
                    </w:rPr>
                    <w:t>2</w:t>
                  </w:r>
                </w:p>
              </w:tc>
              <w:tc>
                <w:tcPr>
                  <w:tcW w:w="1515" w:type="dxa"/>
                  <w:noWrap w:val="0"/>
                  <w:vAlign w:val="center"/>
                </w:tcPr>
                <w:p w14:paraId="2915E98B">
                  <w:pPr>
                    <w:keepNext w:val="0"/>
                    <w:keepLines w:val="0"/>
                    <w:widowControl/>
                    <w:suppressLineNumbers w:val="0"/>
                    <w:jc w:val="center"/>
                    <w:textAlignment w:val="center"/>
                    <w:rPr>
                      <w:color w:val="0000FF"/>
                    </w:rPr>
                  </w:pPr>
                  <w:r>
                    <w:rPr>
                      <w:rFonts w:hint="default" w:ascii="Times New Roman" w:hAnsi="Times New Roman" w:eastAsia="宋体" w:cs="Times New Roman"/>
                      <w:i w:val="0"/>
                      <w:iCs w:val="0"/>
                      <w:color w:val="0000FF"/>
                      <w:kern w:val="0"/>
                      <w:sz w:val="21"/>
                      <w:szCs w:val="21"/>
                      <w:u w:val="none"/>
                      <w:lang w:val="en-US" w:eastAsia="zh-CN" w:bidi="ar"/>
                    </w:rPr>
                    <w:t>100</w:t>
                  </w:r>
                </w:p>
              </w:tc>
              <w:tc>
                <w:tcPr>
                  <w:tcW w:w="1515" w:type="dxa"/>
                  <w:noWrap w:val="0"/>
                  <w:vAlign w:val="center"/>
                </w:tcPr>
                <w:p w14:paraId="7E99E8AC">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0.02</w:t>
                  </w:r>
                </w:p>
              </w:tc>
            </w:tr>
            <w:tr w14:paraId="6E951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85" w:type="dxa"/>
                  <w:gridSpan w:val="5"/>
                  <w:noWrap w:val="0"/>
                  <w:vAlign w:val="center"/>
                </w:tcPr>
                <w:p w14:paraId="64D4D2F0">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项目</w:t>
                  </w:r>
                  <w:r>
                    <w:rPr>
                      <w:rFonts w:hint="default" w:ascii="Times New Roman" w:hAnsi="Times New Roman" w:eastAsia="宋体" w:cs="Times New Roman"/>
                      <w:i w:val="0"/>
                      <w:iCs w:val="0"/>
                      <w:color w:val="0000FF"/>
                      <w:kern w:val="0"/>
                      <w:sz w:val="21"/>
                      <w:szCs w:val="21"/>
                      <w:u w:val="none"/>
                      <w:lang w:val="en-US" w:eastAsia="zh-CN" w:bidi="ar"/>
                    </w:rPr>
                    <w:t>Q</w:t>
                  </w:r>
                  <w:r>
                    <w:rPr>
                      <w:rFonts w:hint="eastAsia" w:ascii="宋体" w:hAnsi="宋体" w:eastAsia="宋体" w:cs="宋体"/>
                      <w:i w:val="0"/>
                      <w:iCs w:val="0"/>
                      <w:color w:val="0000FF"/>
                      <w:kern w:val="0"/>
                      <w:sz w:val="21"/>
                      <w:szCs w:val="21"/>
                      <w:u w:val="none"/>
                      <w:lang w:val="en-US" w:eastAsia="zh-CN" w:bidi="ar"/>
                    </w:rPr>
                    <w:t>值</w:t>
                  </w:r>
                  <w:r>
                    <w:rPr>
                      <w:rFonts w:hint="default" w:ascii="Times New Roman" w:hAnsi="Times New Roman" w:eastAsia="宋体" w:cs="Times New Roman"/>
                      <w:i w:val="0"/>
                      <w:iCs w:val="0"/>
                      <w:color w:val="0000FF"/>
                      <w:kern w:val="0"/>
                      <w:sz w:val="21"/>
                      <w:szCs w:val="21"/>
                      <w:u w:val="none"/>
                      <w:lang w:val="en-US" w:eastAsia="zh-CN" w:bidi="ar"/>
                    </w:rPr>
                    <w:t>Σ</w:t>
                  </w:r>
                </w:p>
              </w:tc>
              <w:tc>
                <w:tcPr>
                  <w:tcW w:w="1515" w:type="dxa"/>
                  <w:noWrap w:val="0"/>
                  <w:vAlign w:val="center"/>
                </w:tcPr>
                <w:p w14:paraId="03AC53FD">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0.02589876</w:t>
                  </w:r>
                </w:p>
              </w:tc>
            </w:tr>
          </w:tbl>
          <w:p w14:paraId="6CF36031">
            <w:pPr>
              <w:pStyle w:val="13"/>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根据上述分析，本项目Q值小于1，故不用进行风险专项评价。</w:t>
            </w:r>
          </w:p>
          <w:p w14:paraId="4B37E2DC">
            <w:pPr>
              <w:autoSpaceDE w:val="0"/>
              <w:autoSpaceDN w:val="0"/>
              <w:adjustRightInd w:val="0"/>
              <w:snapToGrid w:val="0"/>
              <w:spacing w:line="360" w:lineRule="auto"/>
              <w:ind w:firstLine="482" w:firstLineChars="200"/>
              <w:rPr>
                <w:rFonts w:hint="default" w:ascii="Times New Roman" w:hAnsi="Times New Roman" w:cs="Times New Roman"/>
                <w:b/>
                <w:color w:val="auto"/>
                <w:kern w:val="0"/>
                <w:sz w:val="24"/>
              </w:rPr>
            </w:pPr>
            <w:r>
              <w:rPr>
                <w:rFonts w:hint="default" w:ascii="Times New Roman" w:hAnsi="Times New Roman" w:cs="Times New Roman"/>
                <w:b/>
                <w:color w:val="auto"/>
                <w:kern w:val="0"/>
                <w:sz w:val="24"/>
              </w:rPr>
              <w:t>（3）环境风险物质影响途径</w:t>
            </w:r>
          </w:p>
          <w:p w14:paraId="0A6EF1AB">
            <w:pPr>
              <w:pStyle w:val="49"/>
              <w:spacing w:line="360" w:lineRule="auto"/>
              <w:ind w:firstLine="480"/>
              <w:rPr>
                <w:rFonts w:hint="default" w:ascii="Times New Roman" w:hAnsi="Times New Roman" w:cs="Times New Roman"/>
                <w:color w:val="auto"/>
              </w:rPr>
            </w:pPr>
            <w:r>
              <w:rPr>
                <w:rFonts w:hint="default" w:ascii="Times New Roman" w:hAnsi="Times New Roman" w:cs="Times New Roman"/>
                <w:color w:val="auto"/>
              </w:rPr>
              <w:t>本项目环境风险物质影响途径详见表4</w:t>
            </w:r>
            <w:r>
              <w:rPr>
                <w:rFonts w:hint="default" w:ascii="Times New Roman" w:hAnsi="Times New Roman" w:cs="Times New Roman"/>
                <w:color w:val="auto"/>
                <w:lang w:val="en-US" w:eastAsia="zh-CN"/>
              </w:rPr>
              <w:t>.2</w:t>
            </w:r>
            <w:r>
              <w:rPr>
                <w:rFonts w:hint="default" w:ascii="Times New Roman" w:hAnsi="Times New Roman" w:cs="Times New Roman"/>
                <w:color w:val="auto"/>
              </w:rPr>
              <w:t>-2</w:t>
            </w:r>
            <w:r>
              <w:rPr>
                <w:rFonts w:hint="eastAsia" w:ascii="Times New Roman" w:hAnsi="Times New Roman" w:cs="Times New Roman"/>
                <w:color w:val="auto"/>
                <w:lang w:val="en-US" w:eastAsia="zh-CN"/>
              </w:rPr>
              <w:t>8</w:t>
            </w:r>
            <w:r>
              <w:rPr>
                <w:rFonts w:hint="default" w:ascii="Times New Roman" w:hAnsi="Times New Roman" w:cs="Times New Roman"/>
                <w:color w:val="auto"/>
              </w:rPr>
              <w:t>。</w:t>
            </w:r>
          </w:p>
          <w:p w14:paraId="61C49BFA">
            <w:pPr>
              <w:adjustRightInd w:val="0"/>
              <w:snapToGrid w:val="0"/>
              <w:spacing w:line="240" w:lineRule="auto"/>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表4</w:t>
            </w:r>
            <w:r>
              <w:rPr>
                <w:rFonts w:hint="default" w:ascii="Times New Roman" w:hAnsi="Times New Roman" w:cs="Times New Roman"/>
                <w:b/>
                <w:bCs/>
                <w:color w:val="auto"/>
                <w:sz w:val="24"/>
                <w:lang w:val="en-US" w:eastAsia="zh-CN"/>
              </w:rPr>
              <w:t>.2</w:t>
            </w:r>
            <w:r>
              <w:rPr>
                <w:rFonts w:hint="default" w:ascii="Times New Roman" w:hAnsi="Times New Roman" w:cs="Times New Roman"/>
                <w:b/>
                <w:bCs/>
                <w:color w:val="auto"/>
                <w:sz w:val="24"/>
              </w:rPr>
              <w:t>-2</w:t>
            </w:r>
            <w:r>
              <w:rPr>
                <w:rFonts w:hint="eastAsia" w:ascii="Times New Roman" w:hAnsi="Times New Roman" w:cs="Times New Roman"/>
                <w:b/>
                <w:bCs/>
                <w:color w:val="auto"/>
                <w:sz w:val="24"/>
                <w:lang w:val="en-US" w:eastAsia="zh-CN"/>
              </w:rPr>
              <w:t>8</w:t>
            </w:r>
            <w:r>
              <w:rPr>
                <w:rFonts w:hint="default" w:ascii="Times New Roman" w:hAnsi="Times New Roman" w:cs="Times New Roman"/>
                <w:b/>
                <w:bCs/>
                <w:color w:val="auto"/>
                <w:sz w:val="24"/>
              </w:rPr>
              <w:t xml:space="preserve">   环境风险物质及影响途径</w:t>
            </w:r>
          </w:p>
          <w:tbl>
            <w:tblPr>
              <w:tblStyle w:val="35"/>
              <w:tblW w:w="88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1536"/>
              <w:gridCol w:w="900"/>
              <w:gridCol w:w="5285"/>
            </w:tblGrid>
            <w:tr w14:paraId="03A58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125" w:type="dxa"/>
                  <w:noWrap w:val="0"/>
                  <w:vAlign w:val="center"/>
                </w:tcPr>
                <w:p w14:paraId="0A9CA6B6">
                  <w:pPr>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风险源</w:t>
                  </w:r>
                </w:p>
              </w:tc>
              <w:tc>
                <w:tcPr>
                  <w:tcW w:w="1536" w:type="dxa"/>
                  <w:noWrap w:val="0"/>
                  <w:vAlign w:val="center"/>
                </w:tcPr>
                <w:p w14:paraId="5F362612">
                  <w:pPr>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危险物质</w:t>
                  </w:r>
                </w:p>
              </w:tc>
              <w:tc>
                <w:tcPr>
                  <w:tcW w:w="900" w:type="dxa"/>
                  <w:noWrap w:val="0"/>
                  <w:vAlign w:val="center"/>
                </w:tcPr>
                <w:p w14:paraId="6D456A29">
                  <w:pPr>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环境风</w:t>
                  </w:r>
                </w:p>
                <w:p w14:paraId="734C5EAC">
                  <w:pPr>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险类型</w:t>
                  </w:r>
                </w:p>
              </w:tc>
              <w:tc>
                <w:tcPr>
                  <w:tcW w:w="5285" w:type="dxa"/>
                  <w:noWrap w:val="0"/>
                  <w:vAlign w:val="center"/>
                </w:tcPr>
                <w:p w14:paraId="47B3048C">
                  <w:pPr>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环境影响途径</w:t>
                  </w:r>
                </w:p>
              </w:tc>
            </w:tr>
            <w:tr w14:paraId="4BAD1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noWrap w:val="0"/>
                  <w:vAlign w:val="center"/>
                </w:tcPr>
                <w:p w14:paraId="750BE3B5">
                  <w:pPr>
                    <w:adjustRightInd w:val="0"/>
                    <w:snapToGrid w:val="0"/>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原辅料暂存区（液态原料暂存区）</w:t>
                  </w:r>
                </w:p>
              </w:tc>
              <w:tc>
                <w:tcPr>
                  <w:tcW w:w="1536" w:type="dxa"/>
                  <w:noWrap w:val="0"/>
                  <w:vAlign w:val="center"/>
                </w:tcPr>
                <w:p w14:paraId="2674BF92">
                  <w:pPr>
                    <w:adjustRightInd w:val="0"/>
                    <w:snapToGrid w:val="0"/>
                    <w:spacing w:line="240" w:lineRule="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润滑油、防锈剂</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除锈剂等</w:t>
                  </w:r>
                </w:p>
              </w:tc>
              <w:tc>
                <w:tcPr>
                  <w:tcW w:w="900" w:type="dxa"/>
                  <w:noWrap w:val="0"/>
                  <w:vAlign w:val="center"/>
                </w:tcPr>
                <w:p w14:paraId="0AFDD445">
                  <w:pPr>
                    <w:adjustRightInd w:val="0"/>
                    <w:snapToGrid w:val="0"/>
                    <w:spacing w:line="240" w:lineRule="auto"/>
                    <w:jc w:val="center"/>
                    <w:rPr>
                      <w:rFonts w:hint="default" w:ascii="Times New Roman" w:hAnsi="Times New Roman" w:cs="Times New Roman"/>
                      <w:color w:val="auto"/>
                      <w:szCs w:val="21"/>
                    </w:rPr>
                  </w:pPr>
                  <w:r>
                    <w:rPr>
                      <w:rFonts w:hint="default" w:ascii="Times New Roman" w:hAnsi="Times New Roman" w:cs="Times New Roman"/>
                      <w:color w:val="auto"/>
                      <w:szCs w:val="21"/>
                    </w:rPr>
                    <w:t>泄漏、火灾</w:t>
                  </w:r>
                </w:p>
              </w:tc>
              <w:tc>
                <w:tcPr>
                  <w:tcW w:w="5285" w:type="dxa"/>
                  <w:noWrap w:val="0"/>
                  <w:vAlign w:val="center"/>
                </w:tcPr>
                <w:p w14:paraId="1EAD0A7A">
                  <w:pPr>
                    <w:adjustRightInd w:val="0"/>
                    <w:snapToGrid w:val="0"/>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在储存、搬运、使用过程中有可能发生泄漏事故，泄漏物料若未被有效收集，有可能通过厂区雨水管网进入外环境，造成环境污染事故。若是发生火灾事故，火灾废气会对大气环境造成一定影响，若是产生了消防废水，消防废水有可能进入外环境，造成环境污染事件。</w:t>
                  </w:r>
                </w:p>
              </w:tc>
            </w:tr>
            <w:tr w14:paraId="127D5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5" w:type="dxa"/>
                  <w:noWrap w:val="0"/>
                  <w:vAlign w:val="center"/>
                </w:tcPr>
                <w:p w14:paraId="7BB75353">
                  <w:pPr>
                    <w:adjustRightInd w:val="0"/>
                    <w:snapToGrid w:val="0"/>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危险废物贮存库</w:t>
                  </w:r>
                </w:p>
              </w:tc>
              <w:tc>
                <w:tcPr>
                  <w:tcW w:w="1536" w:type="dxa"/>
                  <w:noWrap w:val="0"/>
                  <w:vAlign w:val="center"/>
                </w:tcPr>
                <w:p w14:paraId="27CF7991">
                  <w:pPr>
                    <w:adjustRightInd w:val="0"/>
                    <w:snapToGrid w:val="0"/>
                    <w:spacing w:line="240" w:lineRule="auto"/>
                    <w:rPr>
                      <w:rFonts w:hint="default" w:ascii="Times New Roman" w:hAnsi="Times New Roman" w:cs="Times New Roman"/>
                      <w:color w:val="auto"/>
                      <w:szCs w:val="21"/>
                    </w:rPr>
                  </w:pPr>
                  <w:r>
                    <w:rPr>
                      <w:rFonts w:hint="default" w:ascii="Times New Roman" w:hAnsi="Times New Roman" w:cs="Times New Roman"/>
                      <w:color w:val="auto"/>
                      <w:szCs w:val="21"/>
                    </w:rPr>
                    <w:t>废润滑油、</w:t>
                  </w:r>
                  <w:r>
                    <w:rPr>
                      <w:rFonts w:hint="default" w:ascii="Times New Roman" w:hAnsi="Times New Roman" w:cs="Times New Roman"/>
                      <w:color w:val="auto"/>
                      <w:szCs w:val="21"/>
                      <w:lang w:val="en-US" w:eastAsia="zh-CN"/>
                    </w:rPr>
                    <w:t>废活性炭</w:t>
                  </w:r>
                  <w:r>
                    <w:rPr>
                      <w:rFonts w:hint="default" w:ascii="Times New Roman" w:hAnsi="Times New Roman" w:cs="Times New Roman"/>
                      <w:color w:val="auto"/>
                      <w:szCs w:val="21"/>
                    </w:rPr>
                    <w:t>等危险废物</w:t>
                  </w:r>
                </w:p>
              </w:tc>
              <w:tc>
                <w:tcPr>
                  <w:tcW w:w="900" w:type="dxa"/>
                  <w:noWrap w:val="0"/>
                  <w:vAlign w:val="center"/>
                </w:tcPr>
                <w:p w14:paraId="32C827C6">
                  <w:pPr>
                    <w:adjustRightInd w:val="0"/>
                    <w:snapToGrid w:val="0"/>
                    <w:spacing w:line="240" w:lineRule="auto"/>
                    <w:jc w:val="center"/>
                    <w:rPr>
                      <w:rFonts w:hint="default" w:ascii="Times New Roman" w:hAnsi="Times New Roman" w:cs="Times New Roman"/>
                      <w:color w:val="auto"/>
                      <w:spacing w:val="-3"/>
                      <w:szCs w:val="21"/>
                    </w:rPr>
                  </w:pPr>
                  <w:r>
                    <w:rPr>
                      <w:rFonts w:hint="default" w:ascii="Times New Roman" w:hAnsi="Times New Roman" w:cs="Times New Roman"/>
                      <w:color w:val="auto"/>
                      <w:spacing w:val="-3"/>
                      <w:szCs w:val="21"/>
                    </w:rPr>
                    <w:t>泄漏</w:t>
                  </w:r>
                </w:p>
              </w:tc>
              <w:tc>
                <w:tcPr>
                  <w:tcW w:w="5285" w:type="dxa"/>
                  <w:noWrap w:val="0"/>
                  <w:vAlign w:val="center"/>
                </w:tcPr>
                <w:p w14:paraId="009C13BE">
                  <w:pPr>
                    <w:adjustRightInd w:val="0"/>
                    <w:snapToGrid w:val="0"/>
                    <w:spacing w:line="240" w:lineRule="auto"/>
                    <w:rPr>
                      <w:rFonts w:hint="default" w:ascii="Times New Roman" w:hAnsi="Times New Roman" w:cs="Times New Roman"/>
                      <w:color w:val="auto"/>
                      <w:spacing w:val="-3"/>
                      <w:szCs w:val="21"/>
                    </w:rPr>
                  </w:pPr>
                  <w:r>
                    <w:rPr>
                      <w:rFonts w:hint="default" w:ascii="Times New Roman" w:hAnsi="Times New Roman" w:cs="Times New Roman"/>
                      <w:bCs/>
                      <w:color w:val="auto"/>
                      <w:szCs w:val="21"/>
                    </w:rPr>
                    <w:t>在储存过程中有可能发生泄漏事故，泄漏物料若未被有效收集，可能造成土壤和水环境污染事故。</w:t>
                  </w:r>
                </w:p>
              </w:tc>
            </w:tr>
          </w:tbl>
          <w:p w14:paraId="6AF1F052">
            <w:pPr>
              <w:keepNext w:val="0"/>
              <w:keepLines w:val="0"/>
              <w:pageBreakBefore w:val="0"/>
              <w:widowControl w:val="0"/>
              <w:kinsoku/>
              <w:wordWrap/>
              <w:topLinePunct w:val="0"/>
              <w:autoSpaceDE w:val="0"/>
              <w:autoSpaceDN w:val="0"/>
              <w:bidi w:val="0"/>
              <w:adjustRightInd w:val="0"/>
              <w:snapToGrid w:val="0"/>
              <w:spacing w:line="360" w:lineRule="auto"/>
              <w:ind w:firstLine="482" w:firstLineChars="200"/>
              <w:rPr>
                <w:rFonts w:hint="default" w:ascii="Times New Roman" w:hAnsi="Times New Roman" w:cs="Times New Roman"/>
                <w:b/>
                <w:color w:val="auto"/>
                <w:sz w:val="24"/>
              </w:rPr>
            </w:pPr>
            <w:r>
              <w:rPr>
                <w:rFonts w:hint="default" w:ascii="Times New Roman" w:hAnsi="Times New Roman" w:cs="Times New Roman"/>
                <w:b/>
                <w:color w:val="auto"/>
                <w:kern w:val="0"/>
                <w:sz w:val="24"/>
              </w:rPr>
              <w:t>（4）</w:t>
            </w:r>
            <w:r>
              <w:rPr>
                <w:rFonts w:hint="default" w:ascii="Times New Roman" w:hAnsi="Times New Roman" w:cs="Times New Roman"/>
                <w:b/>
                <w:color w:val="auto"/>
                <w:sz w:val="24"/>
              </w:rPr>
              <w:t>环境风险防范措施</w:t>
            </w:r>
          </w:p>
          <w:p w14:paraId="79B69BE7">
            <w:pPr>
              <w:keepNext w:val="0"/>
              <w:keepLines w:val="0"/>
              <w:pageBreakBefore w:val="0"/>
              <w:widowControl w:val="0"/>
              <w:numPr>
                <w:ilvl w:val="0"/>
                <w:numId w:val="0"/>
              </w:numPr>
              <w:kinsoku/>
              <w:wordWrap/>
              <w:topLinePunct w:val="0"/>
              <w:autoSpaceDE w:val="0"/>
              <w:autoSpaceDN w:val="0"/>
              <w:bidi w:val="0"/>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①储存的风险防范措施</w:t>
            </w:r>
          </w:p>
          <w:p w14:paraId="7FB18629">
            <w:pPr>
              <w:keepNext w:val="0"/>
              <w:keepLines w:val="0"/>
              <w:pageBreakBefore w:val="0"/>
              <w:widowControl w:val="0"/>
              <w:kinsoku/>
              <w:wordWrap/>
              <w:topLinePunct w:val="0"/>
              <w:autoSpaceDE w:val="0"/>
              <w:autoSpaceDN w:val="0"/>
              <w:bidi w:val="0"/>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原辅料暂存区（液态原料暂存区）：润滑油、防锈剂</w:t>
            </w:r>
            <w:r>
              <w:rPr>
                <w:rFonts w:hint="default" w:ascii="Times New Roman" w:hAnsi="Times New Roman" w:cs="Times New Roman"/>
                <w:color w:val="auto"/>
                <w:kern w:val="0"/>
                <w:sz w:val="24"/>
                <w:lang w:val="en-US" w:eastAsia="zh-CN"/>
              </w:rPr>
              <w:t>等</w:t>
            </w:r>
            <w:r>
              <w:rPr>
                <w:rFonts w:hint="default" w:ascii="Times New Roman" w:hAnsi="Times New Roman" w:cs="Times New Roman"/>
                <w:color w:val="auto"/>
                <w:kern w:val="0"/>
                <w:sz w:val="24"/>
              </w:rPr>
              <w:t>采用桶装，储存桶下方设置有托盘。配备有消防沙、灭火器等应急物资。</w:t>
            </w:r>
          </w:p>
          <w:p w14:paraId="0C017609">
            <w:pPr>
              <w:keepNext w:val="0"/>
              <w:keepLines w:val="0"/>
              <w:pageBreakBefore w:val="0"/>
              <w:widowControl w:val="0"/>
              <w:kinsoku/>
              <w:wordWrap/>
              <w:topLinePunct w:val="0"/>
              <w:autoSpaceDE w:val="0"/>
              <w:autoSpaceDN w:val="0"/>
              <w:bidi w:val="0"/>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危险废物贮存库：地面采取防腐防渗处理，设置截流沟和收集井，储存桶下方设置托盘，配备有吸油毡、消防沙、灭火器等应急物资。</w:t>
            </w:r>
          </w:p>
          <w:p w14:paraId="307ED6EA">
            <w:pPr>
              <w:keepNext w:val="0"/>
              <w:keepLines w:val="0"/>
              <w:pageBreakBefore w:val="0"/>
              <w:widowControl w:val="0"/>
              <w:kinsoku/>
              <w:wordWrap/>
              <w:topLinePunct w:val="0"/>
              <w:autoSpaceDE w:val="0"/>
              <w:autoSpaceDN w:val="0"/>
              <w:bidi w:val="0"/>
              <w:spacing w:line="360" w:lineRule="auto"/>
              <w:ind w:firstLine="480" w:firstLineChars="200"/>
              <w:contextualSpacing/>
              <w:jc w:val="left"/>
              <w:rPr>
                <w:rFonts w:hint="default" w:ascii="Times New Roman" w:hAnsi="Times New Roman" w:cs="Times New Roman"/>
                <w:color w:val="auto"/>
                <w:kern w:val="0"/>
                <w:sz w:val="24"/>
              </w:rPr>
            </w:pPr>
            <w:r>
              <w:rPr>
                <w:rFonts w:hint="default" w:ascii="Times New Roman" w:hAnsi="Times New Roman" w:cs="Times New Roman"/>
                <w:color w:val="auto"/>
                <w:sz w:val="24"/>
              </w:rPr>
              <w:t>②火灾事故及消防安全防范措施</w:t>
            </w:r>
          </w:p>
          <w:p w14:paraId="6746188E">
            <w:pPr>
              <w:keepNext w:val="0"/>
              <w:keepLines w:val="0"/>
              <w:pageBreakBefore w:val="0"/>
              <w:widowControl w:val="0"/>
              <w:kinsoku/>
              <w:wordWrap/>
              <w:topLinePunct w:val="0"/>
              <w:autoSpaceDE w:val="0"/>
              <w:autoSpaceDN w:val="0"/>
              <w:bidi w:val="0"/>
              <w:adjustRightInd w:val="0"/>
              <w:snapToGrid w:val="0"/>
              <w:spacing w:line="360" w:lineRule="auto"/>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sz w:val="24"/>
              </w:rPr>
              <w:t>厂区配备一定数量的消防器材，预留必要的安全间距，远离火种和热源；定期对操作人员进行安全生产与安全知识培训，并制定严格的安全操作规程，熟悉灭火器材的位置和灭火器的使用方法。</w:t>
            </w:r>
          </w:p>
          <w:p w14:paraId="6D1FD464">
            <w:pPr>
              <w:keepNext w:val="0"/>
              <w:keepLines w:val="0"/>
              <w:pageBreakBefore w:val="0"/>
              <w:widowControl w:val="0"/>
              <w:kinsoku/>
              <w:wordWrap/>
              <w:topLinePunct w:val="0"/>
              <w:autoSpaceDE w:val="0"/>
              <w:autoSpaceDN w:val="0"/>
              <w:bidi w:val="0"/>
              <w:adjustRightInd w:val="0"/>
              <w:snapToGrid w:val="0"/>
              <w:spacing w:line="360" w:lineRule="auto"/>
              <w:rPr>
                <w:rFonts w:hint="default" w:ascii="Times New Roman" w:hAnsi="Times New Roman" w:cs="Times New Roman"/>
                <w:b/>
                <w:color w:val="auto"/>
                <w:sz w:val="28"/>
                <w:szCs w:val="28"/>
              </w:rPr>
            </w:pPr>
            <w:r>
              <w:rPr>
                <w:rFonts w:hint="default" w:ascii="Times New Roman" w:hAnsi="Times New Roman" w:cs="Times New Roman"/>
                <w:b/>
                <w:color w:val="auto"/>
                <w:kern w:val="0"/>
                <w:sz w:val="28"/>
                <w:szCs w:val="28"/>
              </w:rPr>
              <w:t>4.3环境管理</w:t>
            </w:r>
          </w:p>
          <w:p w14:paraId="05D97AF1">
            <w:pPr>
              <w:pStyle w:val="252"/>
              <w:keepNext w:val="0"/>
              <w:keepLines w:val="0"/>
              <w:pageBreakBefore w:val="0"/>
              <w:widowControl w:val="0"/>
              <w:kinsoku/>
              <w:wordWrap/>
              <w:topLinePunct w:val="0"/>
              <w:bidi w:val="0"/>
              <w:spacing w:line="360" w:lineRule="auto"/>
              <w:ind w:firstLine="480" w:firstLineChars="200"/>
              <w:jc w:val="both"/>
              <w:rPr>
                <w:rFonts w:hint="default" w:ascii="Times New Roman" w:hAnsi="Times New Roman" w:cs="Times New Roman"/>
                <w:bCs/>
                <w:color w:val="auto"/>
                <w:sz w:val="24"/>
              </w:rPr>
            </w:pPr>
            <w:r>
              <w:rPr>
                <w:rFonts w:hint="default" w:ascii="Times New Roman" w:hAnsi="Times New Roman" w:cs="Times New Roman"/>
                <w:bCs/>
                <w:color w:val="auto"/>
                <w:sz w:val="24"/>
              </w:rPr>
              <w:t>建设单位应建立环境管理台账制度，落实环境管理台账记录的责任部门和责任人，明确工作职责，包括台账的记录、整理、维护和管理等，台账记录频次和内容须满足排污许可证环境管理要求，并对台账记录结果的真实性、完整性和规范性负责。</w:t>
            </w:r>
          </w:p>
          <w:p w14:paraId="4DA02CBC">
            <w:pPr>
              <w:pStyle w:val="252"/>
              <w:keepNext w:val="0"/>
              <w:keepLines w:val="0"/>
              <w:pageBreakBefore w:val="0"/>
              <w:widowControl w:val="0"/>
              <w:kinsoku/>
              <w:wordWrap/>
              <w:topLinePunct w:val="0"/>
              <w:bidi w:val="0"/>
              <w:spacing w:line="360" w:lineRule="auto"/>
              <w:ind w:firstLine="480" w:firstLineChars="200"/>
              <w:jc w:val="both"/>
              <w:rPr>
                <w:rFonts w:hint="default" w:ascii="Times New Roman" w:hAnsi="Times New Roman" w:cs="Times New Roman"/>
                <w:bCs/>
                <w:color w:val="auto"/>
                <w:sz w:val="24"/>
              </w:rPr>
            </w:pPr>
            <w:r>
              <w:rPr>
                <w:rFonts w:hint="default" w:ascii="Times New Roman" w:hAnsi="Times New Roman" w:cs="Times New Roman"/>
                <w:bCs/>
                <w:color w:val="auto"/>
                <w:sz w:val="24"/>
              </w:rPr>
              <w:t>记录内容应包括基本信息、生产设施运行管理信息、污染防治设施运行管理信息、污染防治设施非正常情况记录信息、监测记录信息及其他环境管理信息等。具体内容应符合《排污许可证申请与核发技术规范 橡胶和塑料制品工业》（HJ1122-2020）</w:t>
            </w:r>
            <w:r>
              <w:rPr>
                <w:rFonts w:hint="default" w:ascii="Times New Roman" w:hAnsi="Times New Roman" w:cs="Times New Roman"/>
                <w:bCs/>
                <w:color w:val="auto"/>
                <w:sz w:val="24"/>
                <w:lang w:val="en-US" w:eastAsia="zh-CN"/>
              </w:rPr>
              <w:t>和</w:t>
            </w:r>
            <w:r>
              <w:rPr>
                <w:rFonts w:hint="default" w:ascii="Times New Roman" w:hAnsi="Times New Roman" w:eastAsia="宋体" w:cs="Times New Roman"/>
                <w:color w:val="auto"/>
                <w:sz w:val="24"/>
                <w:szCs w:val="22"/>
              </w:rPr>
              <w:t>《</w:t>
            </w:r>
            <w:r>
              <w:rPr>
                <w:rFonts w:hint="default" w:ascii="Times New Roman" w:hAnsi="Times New Roman" w:eastAsia="宋体" w:cs="Times New Roman"/>
                <w:color w:val="auto"/>
                <w:sz w:val="24"/>
                <w:szCs w:val="22"/>
                <w:lang w:val="en-US" w:eastAsia="zh-CN"/>
              </w:rPr>
              <w:t>排污许可证申请与核发技术规范 印刷工业</w:t>
            </w:r>
            <w:r>
              <w:rPr>
                <w:rFonts w:hint="default" w:ascii="Times New Roman" w:hAnsi="Times New Roman" w:eastAsia="宋体" w:cs="Times New Roman"/>
                <w:color w:val="auto"/>
                <w:sz w:val="24"/>
                <w:szCs w:val="22"/>
              </w:rPr>
              <w:t>》</w:t>
            </w:r>
            <w:r>
              <w:rPr>
                <w:rFonts w:hint="default" w:ascii="Times New Roman" w:hAnsi="Times New Roman" w:eastAsia="宋体" w:cs="Times New Roman"/>
                <w:color w:val="auto"/>
                <w:sz w:val="24"/>
                <w:szCs w:val="22"/>
                <w:lang w:eastAsia="zh-CN"/>
              </w:rPr>
              <w:t>（HJ1066-2019）</w:t>
            </w:r>
            <w:r>
              <w:rPr>
                <w:rFonts w:hint="default" w:ascii="Times New Roman" w:hAnsi="Times New Roman" w:cs="Times New Roman"/>
                <w:bCs/>
                <w:color w:val="auto"/>
                <w:sz w:val="24"/>
              </w:rPr>
              <w:t>要求。</w:t>
            </w:r>
          </w:p>
          <w:p w14:paraId="1111C45C">
            <w:pPr>
              <w:pStyle w:val="53"/>
              <w:keepNext w:val="0"/>
              <w:keepLines w:val="0"/>
              <w:pageBreakBefore w:val="0"/>
              <w:widowControl w:val="0"/>
              <w:kinsoku/>
              <w:wordWrap/>
              <w:topLinePunct w:val="0"/>
              <w:bidi w:val="0"/>
              <w:adjustRightInd/>
              <w:snapToGrid/>
              <w:spacing w:line="360" w:lineRule="auto"/>
              <w:ind w:firstLine="480" w:firstLineChars="200"/>
              <w:rPr>
                <w:rFonts w:hint="default" w:ascii="Times New Roman" w:hAnsi="Times New Roman" w:cs="Times New Roman"/>
                <w:b/>
                <w:bCs/>
                <w:color w:val="auto"/>
                <w:szCs w:val="24"/>
              </w:rPr>
            </w:pPr>
            <w:r>
              <w:rPr>
                <w:rFonts w:hint="default" w:ascii="Times New Roman" w:hAnsi="Times New Roman" w:cs="Times New Roman"/>
                <w:bCs/>
                <w:color w:val="auto"/>
                <w:szCs w:val="24"/>
              </w:rPr>
              <w:t>台账应按照电子化储存和纸质储存两种形式同步管理。纸质台账应存放于保护袋、卷夹或保护盒等保存媒介中，专人保存于专门的档案保存地点，并由相关人员签字。档案保存应采取防光、防热、防潮、防细菌及防污染等措施。纸质类档案如有破损应及时修补，并留存备查。电子台账保存于专门</w:t>
            </w:r>
            <w:r>
              <w:rPr>
                <w:rFonts w:hint="eastAsia" w:ascii="Times New Roman" w:hAnsi="Times New Roman" w:cs="Times New Roman"/>
                <w:bCs/>
                <w:color w:val="auto"/>
                <w:szCs w:val="24"/>
                <w:lang w:val="en-US" w:eastAsia="zh-CN"/>
              </w:rPr>
              <w:t>存储</w:t>
            </w:r>
            <w:r>
              <w:rPr>
                <w:rFonts w:hint="default" w:ascii="Times New Roman" w:hAnsi="Times New Roman" w:cs="Times New Roman"/>
                <w:bCs/>
                <w:color w:val="auto"/>
                <w:szCs w:val="24"/>
              </w:rPr>
              <w:t>设备中，并保留备份数据。</w:t>
            </w:r>
            <w:r>
              <w:rPr>
                <w:rFonts w:hint="eastAsia" w:ascii="Times New Roman" w:hAnsi="Times New Roman" w:cs="Times New Roman"/>
                <w:bCs/>
                <w:color w:val="auto"/>
                <w:szCs w:val="24"/>
                <w:lang w:val="en-US" w:eastAsia="zh-CN"/>
              </w:rPr>
              <w:t>存储</w:t>
            </w:r>
            <w:r>
              <w:rPr>
                <w:rFonts w:hint="default" w:ascii="Times New Roman" w:hAnsi="Times New Roman" w:cs="Times New Roman"/>
                <w:bCs/>
                <w:color w:val="auto"/>
                <w:szCs w:val="24"/>
              </w:rPr>
              <w:t>设备由专人负责管理，定期进行维护。电子台账根据地方生态环境主管部门管理要求定期上传。</w:t>
            </w:r>
          </w:p>
          <w:p w14:paraId="47861F1D">
            <w:pPr>
              <w:keepNext w:val="0"/>
              <w:keepLines w:val="0"/>
              <w:pageBreakBefore w:val="0"/>
              <w:widowControl w:val="0"/>
              <w:kinsoku/>
              <w:wordWrap/>
              <w:topLinePunct w:val="0"/>
              <w:autoSpaceDE w:val="0"/>
              <w:autoSpaceDN w:val="0"/>
              <w:bidi w:val="0"/>
              <w:adjustRightInd w:val="0"/>
              <w:snapToGrid w:val="0"/>
              <w:spacing w:line="360" w:lineRule="auto"/>
              <w:rPr>
                <w:rFonts w:hint="default" w:ascii="Times New Roman" w:hAnsi="Times New Roman" w:cs="Times New Roman"/>
                <w:b/>
                <w:color w:val="auto"/>
                <w:kern w:val="0"/>
                <w:sz w:val="28"/>
                <w:szCs w:val="28"/>
              </w:rPr>
            </w:pPr>
            <w:r>
              <w:rPr>
                <w:rFonts w:hint="default" w:ascii="Times New Roman" w:hAnsi="Times New Roman" w:cs="Times New Roman"/>
                <w:b/>
                <w:color w:val="auto"/>
                <w:kern w:val="0"/>
                <w:sz w:val="28"/>
                <w:szCs w:val="28"/>
              </w:rPr>
              <w:t>4.4排污口规范化设置</w:t>
            </w:r>
          </w:p>
          <w:p w14:paraId="73245EBB">
            <w:pPr>
              <w:pStyle w:val="252"/>
              <w:keepNext w:val="0"/>
              <w:keepLines w:val="0"/>
              <w:pageBreakBefore w:val="0"/>
              <w:widowControl w:val="0"/>
              <w:kinsoku/>
              <w:wordWrap/>
              <w:topLinePunct w:val="0"/>
              <w:bidi w:val="0"/>
              <w:spacing w:line="360" w:lineRule="auto"/>
              <w:ind w:firstLine="480" w:firstLineChars="200"/>
              <w:jc w:val="left"/>
              <w:rPr>
                <w:rFonts w:hint="default" w:ascii="Times New Roman" w:hAnsi="Times New Roman" w:cs="Times New Roman"/>
                <w:bCs/>
                <w:color w:val="auto"/>
                <w:sz w:val="24"/>
              </w:rPr>
            </w:pPr>
            <w:r>
              <w:rPr>
                <w:rFonts w:hint="default" w:ascii="Times New Roman" w:hAnsi="Times New Roman" w:cs="Times New Roman"/>
                <w:bCs/>
                <w:color w:val="auto"/>
                <w:sz w:val="24"/>
              </w:rPr>
              <w:t>根据原国家环保总局《关于开展排污口规范化整治试点工作的意见</w:t>
            </w:r>
            <w:r>
              <w:rPr>
                <w:rFonts w:hint="eastAsia" w:cs="Times New Roman"/>
                <w:bCs/>
                <w:color w:val="auto"/>
                <w:sz w:val="24"/>
                <w:lang w:eastAsia="zh-CN"/>
              </w:rPr>
              <w:t>》《</w:t>
            </w:r>
            <w:r>
              <w:rPr>
                <w:rFonts w:hint="default" w:ascii="Times New Roman" w:hAnsi="Times New Roman" w:cs="Times New Roman"/>
                <w:bCs/>
                <w:color w:val="auto"/>
                <w:sz w:val="24"/>
              </w:rPr>
              <w:t>关于加快排污口规范化整治试点工作的通知》，企业所有排放口（包括水、气、声、固废）必须按照“便于采集样品、便于计量监测、便于日常现场监督检查”的原则和规范化要求，排污口要立标管理，设立国家标准规定的标志牌，根据排污口污染物的排放特点，设置提示性或警告性环境保护图形标志牌，一般污染源设置提示性标志牌；绘制企业排污口分布图，对治理设施安装运行监控装置、排污口的规范化要符合有关要求。</w:t>
            </w:r>
          </w:p>
          <w:p w14:paraId="4041B108">
            <w:pPr>
              <w:pStyle w:val="53"/>
              <w:keepNext w:val="0"/>
              <w:keepLines w:val="0"/>
              <w:pageBreakBefore w:val="0"/>
              <w:widowControl w:val="0"/>
              <w:kinsoku/>
              <w:wordWrap/>
              <w:topLinePunct w:val="0"/>
              <w:bidi w:val="0"/>
              <w:adjustRightInd/>
              <w:snapToGrid/>
              <w:spacing w:line="360" w:lineRule="auto"/>
              <w:ind w:firstLine="480" w:firstLineChars="200"/>
              <w:rPr>
                <w:rFonts w:hint="default" w:ascii="Times New Roman" w:hAnsi="Times New Roman" w:cs="Times New Roman"/>
                <w:b/>
                <w:bCs/>
                <w:color w:val="0000FF"/>
                <w:szCs w:val="24"/>
              </w:rPr>
            </w:pPr>
            <w:r>
              <w:rPr>
                <w:rFonts w:hint="default" w:ascii="Times New Roman" w:hAnsi="Times New Roman" w:cs="Times New Roman"/>
                <w:bCs/>
                <w:color w:val="0000FF"/>
                <w:szCs w:val="24"/>
              </w:rPr>
              <w:t>排污口应设置明显标志，标志的设置应执行《排污单位污染物排放口二维码标识技术规范》（HJ 1297—2023）的有关规定。排污口规范化整治应符合国家、省、市有关规定，并通过主管环保部门认证和验收。</w:t>
            </w:r>
          </w:p>
          <w:p w14:paraId="15BEFEAC">
            <w:pPr>
              <w:keepNext w:val="0"/>
              <w:keepLines w:val="0"/>
              <w:pageBreakBefore w:val="0"/>
              <w:widowControl w:val="0"/>
              <w:kinsoku/>
              <w:wordWrap/>
              <w:topLinePunct w:val="0"/>
              <w:autoSpaceDE w:val="0"/>
              <w:autoSpaceDN w:val="0"/>
              <w:bidi w:val="0"/>
              <w:adjustRightInd w:val="0"/>
              <w:snapToGrid w:val="0"/>
              <w:spacing w:line="360" w:lineRule="auto"/>
              <w:rPr>
                <w:rFonts w:hint="default" w:ascii="Times New Roman" w:hAnsi="Times New Roman" w:cs="Times New Roman"/>
                <w:b/>
                <w:color w:val="auto"/>
                <w:kern w:val="0"/>
                <w:sz w:val="28"/>
                <w:szCs w:val="28"/>
              </w:rPr>
            </w:pPr>
            <w:r>
              <w:rPr>
                <w:rFonts w:hint="default" w:ascii="Times New Roman" w:hAnsi="Times New Roman" w:cs="Times New Roman"/>
                <w:b/>
                <w:color w:val="auto"/>
                <w:kern w:val="0"/>
                <w:sz w:val="28"/>
                <w:szCs w:val="28"/>
              </w:rPr>
              <w:t>4.5排污许可</w:t>
            </w:r>
          </w:p>
          <w:p w14:paraId="7CF07E06">
            <w:pPr>
              <w:pStyle w:val="53"/>
              <w:keepNext w:val="0"/>
              <w:keepLines w:val="0"/>
              <w:pageBreakBefore w:val="0"/>
              <w:widowControl w:val="0"/>
              <w:tabs>
                <w:tab w:val="left" w:pos="540"/>
                <w:tab w:val="left" w:pos="1080"/>
                <w:tab w:val="left" w:pos="1800"/>
              </w:tabs>
              <w:kinsoku/>
              <w:wordWrap/>
              <w:topLinePunct w:val="0"/>
              <w:bidi w:val="0"/>
              <w:adjustRightInd/>
              <w:snapToGrid/>
              <w:spacing w:line="360" w:lineRule="auto"/>
              <w:ind w:firstLine="480" w:firstLineChars="200"/>
              <w:rPr>
                <w:rFonts w:hint="default" w:ascii="Times New Roman" w:hAnsi="Times New Roman" w:cs="Times New Roman"/>
                <w:color w:val="0000FF"/>
                <w:sz w:val="24"/>
                <w:szCs w:val="24"/>
              </w:rPr>
            </w:pPr>
            <w:r>
              <w:rPr>
                <w:rFonts w:hint="default" w:ascii="Times New Roman" w:hAnsi="Times New Roman" w:cs="Times New Roman"/>
                <w:color w:val="0000FF"/>
                <w:sz w:val="24"/>
                <w:szCs w:val="24"/>
              </w:rPr>
              <w:t>对照《固定污染源排污许可证分类管理名录》（2019年版），项目属于“</w:t>
            </w:r>
            <w:r>
              <w:rPr>
                <w:rFonts w:hint="default" w:ascii="Times New Roman" w:hAnsi="Times New Roman" w:cs="Times New Roman"/>
                <w:color w:val="0000FF"/>
                <w:sz w:val="24"/>
                <w:szCs w:val="24"/>
                <w:lang w:val="en-US" w:eastAsia="zh-CN"/>
              </w:rPr>
              <w:t>二十四</w:t>
            </w:r>
            <w:r>
              <w:rPr>
                <w:rFonts w:hint="default" w:ascii="Times New Roman" w:hAnsi="Times New Roman" w:cs="Times New Roman"/>
                <w:color w:val="0000FF"/>
                <w:sz w:val="24"/>
                <w:szCs w:val="24"/>
              </w:rPr>
              <w:t>、</w:t>
            </w:r>
            <w:r>
              <w:rPr>
                <w:rFonts w:hint="default" w:ascii="Times New Roman" w:hAnsi="Times New Roman" w:cs="Times New Roman"/>
                <w:color w:val="0000FF"/>
                <w:sz w:val="24"/>
                <w:szCs w:val="24"/>
                <w:lang w:val="en-US" w:eastAsia="zh-CN"/>
              </w:rPr>
              <w:t>橡胶和塑料制品业29</w:t>
            </w:r>
            <w:r>
              <w:rPr>
                <w:rFonts w:hint="default" w:ascii="Times New Roman" w:hAnsi="Times New Roman" w:cs="Times New Roman"/>
                <w:color w:val="0000FF"/>
                <w:sz w:val="24"/>
                <w:szCs w:val="24"/>
              </w:rPr>
              <w:t>”中的“</w:t>
            </w:r>
            <w:r>
              <w:rPr>
                <w:rFonts w:hint="default" w:ascii="Times New Roman" w:hAnsi="Times New Roman" w:cs="Times New Roman"/>
                <w:color w:val="0000FF"/>
                <w:sz w:val="24"/>
                <w:szCs w:val="24"/>
                <w:lang w:val="en-US" w:eastAsia="zh-CN"/>
              </w:rPr>
              <w:t>62</w:t>
            </w:r>
            <w:r>
              <w:rPr>
                <w:rFonts w:hint="default" w:ascii="Times New Roman" w:hAnsi="Times New Roman" w:cs="Times New Roman"/>
                <w:color w:val="0000FF"/>
                <w:sz w:val="24"/>
                <w:szCs w:val="24"/>
              </w:rPr>
              <w:t xml:space="preserve"> </w:t>
            </w:r>
            <w:r>
              <w:rPr>
                <w:rFonts w:hint="default" w:ascii="Times New Roman" w:hAnsi="Times New Roman" w:cs="Times New Roman"/>
                <w:color w:val="0000FF"/>
                <w:sz w:val="24"/>
                <w:szCs w:val="24"/>
                <w:lang w:val="en-US" w:eastAsia="zh-CN"/>
              </w:rPr>
              <w:t>塑料</w:t>
            </w:r>
            <w:r>
              <w:rPr>
                <w:rFonts w:hint="default" w:ascii="Times New Roman" w:hAnsi="Times New Roman" w:cs="Times New Roman"/>
                <w:color w:val="0000FF"/>
                <w:sz w:val="24"/>
                <w:szCs w:val="24"/>
              </w:rPr>
              <w:t>制品业</w:t>
            </w:r>
            <w:r>
              <w:rPr>
                <w:rFonts w:hint="default" w:ascii="Times New Roman" w:hAnsi="Times New Roman" w:cs="Times New Roman"/>
                <w:color w:val="0000FF"/>
                <w:sz w:val="24"/>
                <w:szCs w:val="24"/>
                <w:lang w:val="en-US" w:eastAsia="zh-CN"/>
              </w:rPr>
              <w:t>292</w:t>
            </w:r>
            <w:r>
              <w:rPr>
                <w:rFonts w:hint="default" w:ascii="Times New Roman" w:hAnsi="Times New Roman" w:cs="Times New Roman"/>
                <w:color w:val="0000FF"/>
                <w:sz w:val="24"/>
                <w:szCs w:val="24"/>
              </w:rPr>
              <w:t>”中的“</w:t>
            </w:r>
            <w:r>
              <w:rPr>
                <w:rFonts w:hint="default" w:ascii="Times New Roman" w:hAnsi="Times New Roman" w:cs="Times New Roman"/>
                <w:color w:val="0000FF"/>
                <w:sz w:val="24"/>
                <w:szCs w:val="24"/>
                <w:lang w:val="en-US" w:eastAsia="zh-CN"/>
              </w:rPr>
              <w:t>塑料零件及其他塑料品制造2929</w:t>
            </w:r>
            <w:r>
              <w:rPr>
                <w:rFonts w:hint="default" w:ascii="Times New Roman" w:hAnsi="Times New Roman" w:cs="Times New Roman"/>
                <w:color w:val="0000FF"/>
                <w:sz w:val="24"/>
                <w:szCs w:val="24"/>
              </w:rPr>
              <w:t>”</w:t>
            </w:r>
            <w:r>
              <w:rPr>
                <w:rFonts w:hint="eastAsia" w:ascii="Times New Roman" w:hAnsi="Times New Roman" w:cs="Times New Roman"/>
                <w:color w:val="0000FF"/>
                <w:sz w:val="24"/>
                <w:szCs w:val="24"/>
                <w:lang w:eastAsia="zh-CN"/>
              </w:rPr>
              <w:t>，</w:t>
            </w:r>
            <w:r>
              <w:rPr>
                <w:rFonts w:hint="default" w:ascii="Times New Roman" w:hAnsi="Times New Roman" w:cs="Times New Roman"/>
                <w:color w:val="0000FF"/>
                <w:sz w:val="24"/>
                <w:szCs w:val="24"/>
                <w:lang w:val="en-US" w:eastAsia="zh-CN"/>
              </w:rPr>
              <w:t>属于</w:t>
            </w:r>
            <w:r>
              <w:rPr>
                <w:rFonts w:hint="eastAsia" w:ascii="Times New Roman" w:hAnsi="Times New Roman" w:cs="Times New Roman"/>
                <w:color w:val="0000FF"/>
                <w:sz w:val="24"/>
                <w:szCs w:val="24"/>
                <w:lang w:val="en-US" w:eastAsia="zh-CN"/>
              </w:rPr>
              <w:t>登记</w:t>
            </w:r>
            <w:r>
              <w:rPr>
                <w:rFonts w:hint="default" w:ascii="Times New Roman" w:hAnsi="Times New Roman" w:cs="Times New Roman"/>
                <w:color w:val="0000FF"/>
                <w:sz w:val="24"/>
                <w:szCs w:val="24"/>
                <w:lang w:val="en-US" w:eastAsia="zh-CN"/>
              </w:rPr>
              <w:t>管理；以及</w:t>
            </w:r>
            <w:r>
              <w:rPr>
                <w:rFonts w:hint="default" w:ascii="Times New Roman" w:hAnsi="Times New Roman" w:cs="Times New Roman"/>
                <w:color w:val="0000FF"/>
                <w:sz w:val="24"/>
                <w:szCs w:val="24"/>
              </w:rPr>
              <w:t>“</w:t>
            </w:r>
            <w:r>
              <w:rPr>
                <w:rFonts w:hint="default" w:ascii="Times New Roman" w:hAnsi="Times New Roman" w:cs="Times New Roman"/>
                <w:color w:val="0000FF"/>
                <w:sz w:val="24"/>
                <w:szCs w:val="24"/>
                <w:lang w:val="en-US" w:eastAsia="zh-CN"/>
              </w:rPr>
              <w:t>十八、印刷和记录媒介复制业 23</w:t>
            </w:r>
            <w:r>
              <w:rPr>
                <w:rFonts w:hint="default" w:ascii="Times New Roman" w:hAnsi="Times New Roman" w:cs="Times New Roman"/>
                <w:color w:val="0000FF"/>
                <w:sz w:val="24"/>
                <w:szCs w:val="24"/>
              </w:rPr>
              <w:t>”中的“</w:t>
            </w:r>
            <w:r>
              <w:rPr>
                <w:rFonts w:hint="default" w:ascii="Times New Roman" w:hAnsi="Times New Roman" w:cs="Times New Roman"/>
                <w:color w:val="0000FF"/>
                <w:sz w:val="24"/>
                <w:szCs w:val="24"/>
                <w:lang w:val="en-US" w:eastAsia="zh-CN"/>
              </w:rPr>
              <w:t>39</w:t>
            </w:r>
            <w:r>
              <w:rPr>
                <w:rFonts w:hint="default" w:ascii="Times New Roman" w:hAnsi="Times New Roman" w:cs="Times New Roman"/>
                <w:color w:val="0000FF"/>
                <w:sz w:val="24"/>
                <w:szCs w:val="24"/>
              </w:rPr>
              <w:t xml:space="preserve"> </w:t>
            </w:r>
            <w:r>
              <w:rPr>
                <w:rFonts w:hint="default" w:ascii="Times New Roman" w:hAnsi="Times New Roman" w:cs="Times New Roman"/>
                <w:color w:val="0000FF"/>
                <w:sz w:val="24"/>
                <w:szCs w:val="24"/>
                <w:lang w:val="en-US" w:eastAsia="zh-CN"/>
              </w:rPr>
              <w:t>印刷231</w:t>
            </w:r>
            <w:r>
              <w:rPr>
                <w:rFonts w:hint="default" w:ascii="Times New Roman" w:hAnsi="Times New Roman" w:cs="Times New Roman"/>
                <w:color w:val="0000FF"/>
                <w:sz w:val="24"/>
                <w:szCs w:val="24"/>
              </w:rPr>
              <w:t>”中的“其他”</w:t>
            </w:r>
            <w:r>
              <w:rPr>
                <w:rFonts w:hint="default" w:ascii="Times New Roman" w:hAnsi="Times New Roman" w:cs="Times New Roman"/>
                <w:color w:val="0000FF"/>
                <w:sz w:val="24"/>
                <w:szCs w:val="24"/>
                <w:lang w:val="en-US" w:eastAsia="zh-CN"/>
              </w:rPr>
              <w:t>属于登记管理</w:t>
            </w:r>
            <w:r>
              <w:rPr>
                <w:rFonts w:hint="default" w:ascii="Times New Roman" w:hAnsi="Times New Roman" w:cs="Times New Roman"/>
                <w:color w:val="0000FF"/>
                <w:sz w:val="24"/>
                <w:szCs w:val="24"/>
                <w:lang w:eastAsia="zh-CN"/>
              </w:rPr>
              <w:t>。</w:t>
            </w:r>
            <w:r>
              <w:rPr>
                <w:rFonts w:hint="default" w:ascii="Times New Roman" w:hAnsi="Times New Roman" w:cs="Times New Roman"/>
                <w:color w:val="0000FF"/>
                <w:sz w:val="24"/>
                <w:szCs w:val="24"/>
                <w:lang w:val="en-US" w:eastAsia="zh-CN"/>
              </w:rPr>
              <w:t>因此</w:t>
            </w:r>
            <w:r>
              <w:rPr>
                <w:rFonts w:hint="default" w:ascii="Times New Roman" w:hAnsi="Times New Roman" w:cs="Times New Roman"/>
                <w:color w:val="0000FF"/>
                <w:sz w:val="24"/>
                <w:szCs w:val="24"/>
              </w:rPr>
              <w:t>本项目</w:t>
            </w:r>
            <w:r>
              <w:rPr>
                <w:rFonts w:hint="eastAsia" w:ascii="Times New Roman" w:hAnsi="Times New Roman" w:cs="Times New Roman"/>
                <w:color w:val="0000FF"/>
                <w:sz w:val="24"/>
                <w:szCs w:val="24"/>
                <w:lang w:val="en-US" w:eastAsia="zh-CN"/>
              </w:rPr>
              <w:t>应按照登记管理要求执行</w:t>
            </w:r>
            <w:r>
              <w:rPr>
                <w:rFonts w:hint="default" w:ascii="Times New Roman" w:hAnsi="Times New Roman" w:cs="Times New Roman"/>
                <w:color w:val="0000FF"/>
                <w:sz w:val="24"/>
                <w:szCs w:val="24"/>
              </w:rPr>
              <w:t>。</w:t>
            </w:r>
          </w:p>
          <w:p w14:paraId="62080257">
            <w:pPr>
              <w:pStyle w:val="53"/>
              <w:tabs>
                <w:tab w:val="left" w:pos="540"/>
                <w:tab w:val="left" w:pos="1080"/>
                <w:tab w:val="left" w:pos="1800"/>
              </w:tabs>
              <w:adjustRightInd/>
              <w:snapToGrid/>
              <w:ind w:firstLine="480" w:firstLineChars="200"/>
              <w:rPr>
                <w:rFonts w:hint="eastAsia"/>
                <w:color w:val="0000FF"/>
                <w:szCs w:val="24"/>
              </w:rPr>
            </w:pPr>
            <w:r>
              <w:rPr>
                <w:color w:val="0000FF"/>
                <w:szCs w:val="24"/>
              </w:rPr>
              <w:t>实行登记管理的排污单位，不需要申请取得排污许可证，应当</w:t>
            </w:r>
            <w:r>
              <w:rPr>
                <w:rFonts w:hint="eastAsia"/>
                <w:color w:val="0000FF"/>
                <w:szCs w:val="24"/>
              </w:rPr>
              <w:t>在全国排污许可证管理信息平台填报排污登记表，登记基本信息、污染物排放去向、执行的污染物排放标准以及采取的污染防治措施等信息。</w:t>
            </w:r>
          </w:p>
          <w:p w14:paraId="1AB04168">
            <w:pPr>
              <w:pStyle w:val="53"/>
              <w:tabs>
                <w:tab w:val="left" w:pos="540"/>
                <w:tab w:val="left" w:pos="1080"/>
                <w:tab w:val="left" w:pos="1800"/>
              </w:tabs>
              <w:adjustRightInd/>
              <w:snapToGrid/>
              <w:ind w:firstLine="480" w:firstLineChars="200"/>
              <w:rPr>
                <w:rFonts w:ascii="Times New Roman" w:hAnsi="Times New Roman" w:cs="Times New Roman"/>
                <w:color w:val="0000FF"/>
                <w:szCs w:val="24"/>
              </w:rPr>
            </w:pPr>
            <w:r>
              <w:rPr>
                <w:rFonts w:hint="eastAsia"/>
                <w:color w:val="0000FF"/>
                <w:szCs w:val="24"/>
              </w:rPr>
              <w:t>建设单位应当在启动生产设施或者发生实际排污之前填报排污登记表。</w:t>
            </w:r>
          </w:p>
          <w:p w14:paraId="2C88EFE9">
            <w:pPr>
              <w:keepNext w:val="0"/>
              <w:keepLines w:val="0"/>
              <w:pageBreakBefore w:val="0"/>
              <w:widowControl w:val="0"/>
              <w:kinsoku/>
              <w:wordWrap/>
              <w:topLinePunct w:val="0"/>
              <w:autoSpaceDE w:val="0"/>
              <w:autoSpaceDN w:val="0"/>
              <w:bidi w:val="0"/>
              <w:adjustRightInd w:val="0"/>
              <w:snapToGrid w:val="0"/>
              <w:spacing w:line="360" w:lineRule="auto"/>
              <w:rPr>
                <w:rFonts w:hint="default" w:ascii="Times New Roman" w:hAnsi="Times New Roman" w:cs="Times New Roman"/>
                <w:b/>
                <w:color w:val="auto"/>
                <w:kern w:val="0"/>
                <w:sz w:val="28"/>
                <w:szCs w:val="28"/>
              </w:rPr>
            </w:pPr>
            <w:r>
              <w:rPr>
                <w:rFonts w:hint="default" w:ascii="Times New Roman" w:hAnsi="Times New Roman" w:cs="Times New Roman"/>
                <w:b/>
                <w:color w:val="auto"/>
                <w:kern w:val="0"/>
                <w:sz w:val="28"/>
                <w:szCs w:val="28"/>
              </w:rPr>
              <w:t>4.6搬迁前后污染物排放“三本账”核算</w:t>
            </w:r>
          </w:p>
          <w:p w14:paraId="6F853BB5">
            <w:pPr>
              <w:pStyle w:val="53"/>
              <w:keepNext w:val="0"/>
              <w:keepLines w:val="0"/>
              <w:pageBreakBefore w:val="0"/>
              <w:widowControl w:val="0"/>
              <w:tabs>
                <w:tab w:val="left" w:pos="540"/>
                <w:tab w:val="left" w:pos="1080"/>
                <w:tab w:val="left" w:pos="1800"/>
              </w:tabs>
              <w:kinsoku/>
              <w:wordWrap/>
              <w:topLinePunct w:val="0"/>
              <w:bidi w:val="0"/>
              <w:spacing w:line="360" w:lineRule="auto"/>
              <w:ind w:firstLine="480" w:firstLineChars="200"/>
              <w:rPr>
                <w:rFonts w:hint="default" w:ascii="Times New Roman" w:hAnsi="Times New Roman" w:cs="Times New Roman"/>
                <w:color w:val="auto"/>
                <w:szCs w:val="24"/>
              </w:rPr>
            </w:pPr>
            <w:r>
              <w:rPr>
                <w:rFonts w:hint="default" w:ascii="Times New Roman" w:hAnsi="Times New Roman" w:cs="Times New Roman"/>
                <w:color w:val="auto"/>
              </w:rPr>
              <w:t>本项目迁建完成后污染物排放量的变化情况见表4.6-1。</w:t>
            </w:r>
          </w:p>
          <w:p w14:paraId="746226E7">
            <w:pPr>
              <w:pStyle w:val="53"/>
              <w:adjustRightInd/>
              <w:snapToGrid/>
              <w:ind w:firstLine="480" w:firstLineChars="200"/>
              <w:rPr>
                <w:rFonts w:hint="default" w:ascii="Times New Roman" w:hAnsi="Times New Roman" w:cs="Times New Roman"/>
                <w:color w:val="auto"/>
              </w:rPr>
            </w:pPr>
          </w:p>
          <w:p w14:paraId="74720C88">
            <w:pPr>
              <w:pStyle w:val="53"/>
              <w:adjustRightInd/>
              <w:snapToGrid/>
              <w:ind w:firstLine="480" w:firstLineChars="200"/>
              <w:rPr>
                <w:rFonts w:hint="default" w:ascii="Times New Roman" w:hAnsi="Times New Roman" w:cs="Times New Roman"/>
                <w:color w:val="auto"/>
              </w:rPr>
            </w:pPr>
          </w:p>
          <w:p w14:paraId="6007652B">
            <w:pPr>
              <w:pStyle w:val="53"/>
              <w:adjustRightInd/>
              <w:snapToGrid/>
              <w:ind w:firstLine="480" w:firstLineChars="200"/>
              <w:rPr>
                <w:rFonts w:hint="default" w:ascii="Times New Roman" w:hAnsi="Times New Roman" w:cs="Times New Roman"/>
                <w:color w:val="auto"/>
              </w:rPr>
            </w:pPr>
          </w:p>
          <w:p w14:paraId="7671DE9F">
            <w:pPr>
              <w:pStyle w:val="53"/>
              <w:adjustRightInd/>
              <w:snapToGrid/>
              <w:ind w:firstLine="480" w:firstLineChars="200"/>
              <w:rPr>
                <w:rFonts w:hint="default" w:ascii="Times New Roman" w:hAnsi="Times New Roman" w:cs="Times New Roman"/>
                <w:color w:val="auto"/>
              </w:rPr>
            </w:pPr>
          </w:p>
          <w:p w14:paraId="7D839432">
            <w:pPr>
              <w:pStyle w:val="53"/>
              <w:adjustRightInd/>
              <w:snapToGrid/>
              <w:ind w:firstLine="480" w:firstLineChars="200"/>
              <w:rPr>
                <w:rFonts w:hint="default" w:ascii="Times New Roman" w:hAnsi="Times New Roman" w:cs="Times New Roman"/>
                <w:color w:val="auto"/>
              </w:rPr>
            </w:pPr>
          </w:p>
          <w:p w14:paraId="32B3E884">
            <w:pPr>
              <w:pStyle w:val="53"/>
              <w:adjustRightInd/>
              <w:snapToGrid/>
              <w:ind w:firstLine="480" w:firstLineChars="200"/>
              <w:rPr>
                <w:rFonts w:hint="default" w:ascii="Times New Roman" w:hAnsi="Times New Roman" w:cs="Times New Roman"/>
                <w:color w:val="auto"/>
              </w:rPr>
            </w:pPr>
          </w:p>
          <w:p w14:paraId="741F54CC">
            <w:pPr>
              <w:pStyle w:val="53"/>
              <w:adjustRightInd/>
              <w:snapToGrid/>
              <w:ind w:firstLine="480" w:firstLineChars="200"/>
              <w:rPr>
                <w:rFonts w:hint="default" w:ascii="Times New Roman" w:hAnsi="Times New Roman" w:cs="Times New Roman"/>
                <w:color w:val="auto"/>
              </w:rPr>
            </w:pPr>
          </w:p>
          <w:p w14:paraId="0AF9B2A8">
            <w:pPr>
              <w:pStyle w:val="53"/>
              <w:adjustRightInd/>
              <w:snapToGrid/>
              <w:ind w:firstLine="480" w:firstLineChars="200"/>
              <w:rPr>
                <w:rFonts w:hint="default" w:ascii="Times New Roman" w:hAnsi="Times New Roman" w:cs="Times New Roman"/>
                <w:color w:val="auto"/>
              </w:rPr>
            </w:pPr>
          </w:p>
          <w:p w14:paraId="0C3C8C90">
            <w:pPr>
              <w:pStyle w:val="53"/>
              <w:adjustRightInd/>
              <w:snapToGrid/>
              <w:ind w:firstLine="480" w:firstLineChars="200"/>
              <w:rPr>
                <w:rFonts w:hint="default" w:ascii="Times New Roman" w:hAnsi="Times New Roman" w:cs="Times New Roman"/>
                <w:color w:val="auto"/>
              </w:rPr>
            </w:pPr>
          </w:p>
          <w:p w14:paraId="69EE05D1">
            <w:pPr>
              <w:pStyle w:val="53"/>
              <w:adjustRightInd/>
              <w:snapToGrid/>
              <w:ind w:firstLine="480" w:firstLineChars="200"/>
              <w:rPr>
                <w:rFonts w:hint="default" w:ascii="Times New Roman" w:hAnsi="Times New Roman" w:cs="Times New Roman"/>
                <w:color w:val="auto"/>
              </w:rPr>
            </w:pPr>
          </w:p>
          <w:p w14:paraId="6D4B8F21">
            <w:pPr>
              <w:pStyle w:val="53"/>
              <w:adjustRightInd/>
              <w:snapToGrid/>
              <w:ind w:firstLine="480" w:firstLineChars="200"/>
              <w:rPr>
                <w:rFonts w:hint="default" w:ascii="Times New Roman" w:hAnsi="Times New Roman" w:cs="Times New Roman"/>
                <w:color w:val="auto"/>
              </w:rPr>
            </w:pPr>
          </w:p>
          <w:p w14:paraId="3DD577B6">
            <w:pPr>
              <w:pStyle w:val="53"/>
              <w:adjustRightInd/>
              <w:snapToGrid/>
              <w:ind w:firstLine="480" w:firstLineChars="200"/>
              <w:rPr>
                <w:rFonts w:hint="default" w:ascii="Times New Roman" w:hAnsi="Times New Roman" w:cs="Times New Roman"/>
                <w:color w:val="auto"/>
              </w:rPr>
            </w:pPr>
          </w:p>
          <w:p w14:paraId="345CC9C7">
            <w:pPr>
              <w:pStyle w:val="53"/>
              <w:adjustRightInd/>
              <w:snapToGrid/>
              <w:ind w:firstLine="480" w:firstLineChars="200"/>
              <w:rPr>
                <w:rFonts w:hint="default" w:ascii="Times New Roman" w:hAnsi="Times New Roman" w:cs="Times New Roman"/>
                <w:color w:val="auto"/>
              </w:rPr>
            </w:pPr>
          </w:p>
          <w:p w14:paraId="03DA4684">
            <w:pPr>
              <w:pStyle w:val="53"/>
              <w:adjustRightInd/>
              <w:snapToGrid/>
              <w:ind w:firstLine="480" w:firstLineChars="200"/>
              <w:rPr>
                <w:rFonts w:hint="default" w:ascii="Times New Roman" w:hAnsi="Times New Roman" w:cs="Times New Roman"/>
                <w:color w:val="auto"/>
              </w:rPr>
            </w:pPr>
          </w:p>
          <w:p w14:paraId="189AEE08">
            <w:pPr>
              <w:pStyle w:val="53"/>
              <w:adjustRightInd/>
              <w:snapToGrid/>
              <w:ind w:firstLine="480" w:firstLineChars="200"/>
              <w:rPr>
                <w:rFonts w:hint="default" w:ascii="Times New Roman" w:hAnsi="Times New Roman" w:cs="Times New Roman"/>
                <w:color w:val="auto"/>
              </w:rPr>
            </w:pPr>
          </w:p>
          <w:p w14:paraId="64CACFA5">
            <w:pPr>
              <w:pStyle w:val="53"/>
              <w:adjustRightInd/>
              <w:snapToGrid/>
              <w:ind w:firstLine="480" w:firstLineChars="200"/>
              <w:rPr>
                <w:rFonts w:hint="default" w:ascii="Times New Roman" w:hAnsi="Times New Roman" w:cs="Times New Roman"/>
                <w:color w:val="auto"/>
              </w:rPr>
            </w:pPr>
          </w:p>
          <w:p w14:paraId="41E350A7">
            <w:pPr>
              <w:pStyle w:val="53"/>
              <w:adjustRightInd/>
              <w:snapToGrid/>
              <w:ind w:firstLine="480" w:firstLineChars="200"/>
              <w:rPr>
                <w:rFonts w:hint="default" w:ascii="Times New Roman" w:hAnsi="Times New Roman" w:cs="Times New Roman"/>
                <w:color w:val="auto"/>
              </w:rPr>
            </w:pPr>
          </w:p>
          <w:p w14:paraId="127DEB36">
            <w:pPr>
              <w:pStyle w:val="53"/>
              <w:adjustRightInd/>
              <w:snapToGrid/>
              <w:ind w:firstLine="480" w:firstLineChars="200"/>
              <w:rPr>
                <w:rFonts w:hint="default" w:ascii="Times New Roman" w:hAnsi="Times New Roman" w:cs="Times New Roman"/>
                <w:color w:val="auto"/>
              </w:rPr>
            </w:pPr>
          </w:p>
          <w:p w14:paraId="559E82A5">
            <w:pPr>
              <w:pStyle w:val="53"/>
              <w:adjustRightInd/>
              <w:snapToGrid/>
              <w:ind w:firstLine="480" w:firstLineChars="200"/>
              <w:rPr>
                <w:rFonts w:hint="default" w:ascii="Times New Roman" w:hAnsi="Times New Roman" w:cs="Times New Roman"/>
                <w:color w:val="auto"/>
              </w:rPr>
            </w:pPr>
          </w:p>
          <w:p w14:paraId="25824FD3">
            <w:pPr>
              <w:pStyle w:val="53"/>
              <w:adjustRightInd/>
              <w:snapToGrid/>
              <w:ind w:firstLine="480" w:firstLineChars="200"/>
              <w:rPr>
                <w:rFonts w:hint="default" w:ascii="Times New Roman" w:hAnsi="Times New Roman" w:cs="Times New Roman"/>
                <w:color w:val="auto"/>
              </w:rPr>
            </w:pPr>
          </w:p>
          <w:p w14:paraId="14BF5777">
            <w:pPr>
              <w:pStyle w:val="53"/>
              <w:adjustRightInd/>
              <w:snapToGrid/>
              <w:ind w:firstLine="480" w:firstLineChars="200"/>
              <w:rPr>
                <w:rFonts w:hint="default" w:ascii="Times New Roman" w:hAnsi="Times New Roman" w:cs="Times New Roman"/>
                <w:color w:val="auto"/>
              </w:rPr>
            </w:pPr>
          </w:p>
          <w:p w14:paraId="6B93F316">
            <w:pPr>
              <w:pStyle w:val="53"/>
              <w:adjustRightInd/>
              <w:snapToGrid/>
              <w:ind w:firstLine="480" w:firstLineChars="200"/>
              <w:rPr>
                <w:rFonts w:hint="default" w:ascii="Times New Roman" w:hAnsi="Times New Roman" w:cs="Times New Roman"/>
                <w:color w:val="auto"/>
              </w:rPr>
            </w:pPr>
          </w:p>
          <w:p w14:paraId="48A19EBF">
            <w:pPr>
              <w:pStyle w:val="53"/>
              <w:adjustRightInd/>
              <w:snapToGrid/>
              <w:ind w:firstLine="480" w:firstLineChars="200"/>
              <w:rPr>
                <w:rFonts w:hint="default" w:ascii="Times New Roman" w:hAnsi="Times New Roman" w:cs="Times New Roman"/>
                <w:color w:val="auto"/>
              </w:rPr>
            </w:pPr>
          </w:p>
          <w:p w14:paraId="66FAF14F">
            <w:pPr>
              <w:pStyle w:val="53"/>
              <w:adjustRightInd/>
              <w:snapToGrid/>
              <w:ind w:firstLine="480" w:firstLineChars="200"/>
              <w:rPr>
                <w:rFonts w:hint="default" w:ascii="Times New Roman" w:hAnsi="Times New Roman" w:cs="Times New Roman"/>
                <w:color w:val="auto"/>
              </w:rPr>
            </w:pPr>
          </w:p>
          <w:p w14:paraId="40254A4A">
            <w:pPr>
              <w:pStyle w:val="53"/>
              <w:adjustRightInd/>
              <w:snapToGrid/>
              <w:ind w:firstLine="480" w:firstLineChars="200"/>
              <w:rPr>
                <w:rFonts w:hint="default" w:ascii="Times New Roman" w:hAnsi="Times New Roman" w:cs="Times New Roman"/>
                <w:color w:val="auto"/>
              </w:rPr>
            </w:pPr>
          </w:p>
          <w:p w14:paraId="2890C0F7">
            <w:pPr>
              <w:pStyle w:val="53"/>
              <w:adjustRightInd/>
              <w:snapToGrid/>
              <w:ind w:left="0" w:leftChars="0" w:firstLine="0" w:firstLineChars="0"/>
              <w:rPr>
                <w:rFonts w:hint="default" w:ascii="Times New Roman" w:hAnsi="Times New Roman" w:cs="Times New Roman"/>
                <w:color w:val="auto"/>
              </w:rPr>
            </w:pPr>
          </w:p>
          <w:p w14:paraId="36F1826A">
            <w:pPr>
              <w:pStyle w:val="53"/>
              <w:adjustRightInd/>
              <w:snapToGrid/>
              <w:ind w:firstLine="480" w:firstLineChars="200"/>
              <w:rPr>
                <w:rFonts w:hint="default" w:ascii="Times New Roman" w:hAnsi="Times New Roman" w:cs="Times New Roman"/>
                <w:color w:val="auto"/>
              </w:rPr>
            </w:pPr>
          </w:p>
          <w:p w14:paraId="50FA639A">
            <w:pPr>
              <w:pStyle w:val="53"/>
              <w:adjustRightInd/>
              <w:snapToGrid/>
              <w:ind w:left="0" w:leftChars="0" w:firstLine="0" w:firstLineChars="0"/>
              <w:rPr>
                <w:rFonts w:hint="default" w:ascii="Times New Roman" w:hAnsi="Times New Roman" w:cs="Times New Roman"/>
                <w:color w:val="auto"/>
              </w:rPr>
            </w:pPr>
          </w:p>
        </w:tc>
      </w:tr>
    </w:tbl>
    <w:p w14:paraId="6AB225AD">
      <w:pPr>
        <w:pStyle w:val="31"/>
        <w:jc w:val="center"/>
        <w:rPr>
          <w:rFonts w:hint="default" w:ascii="Times New Roman" w:hAnsi="Times New Roman" w:eastAsia="黑体" w:cs="Times New Roman"/>
          <w:snapToGrid w:val="0"/>
          <w:color w:val="auto"/>
          <w:sz w:val="30"/>
          <w:szCs w:val="30"/>
        </w:rPr>
        <w:sectPr>
          <w:pgSz w:w="11906" w:h="16838"/>
          <w:pgMar w:top="1701" w:right="1531" w:bottom="1701" w:left="1531" w:header="851" w:footer="851" w:gutter="0"/>
          <w:pgNumType w:fmt="decimal"/>
          <w:cols w:space="720" w:num="1"/>
          <w:docGrid w:linePitch="312" w:charSpace="0"/>
        </w:sectPr>
      </w:pPr>
    </w:p>
    <w:p w14:paraId="6A7942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4"/>
        </w:rPr>
      </w:pPr>
      <w:r>
        <w:rPr>
          <w:rFonts w:hint="default" w:ascii="Times New Roman" w:hAnsi="Times New Roman" w:cs="Times New Roman"/>
          <w:b/>
          <w:bCs/>
          <w:color w:val="auto"/>
          <w:sz w:val="24"/>
        </w:rPr>
        <w:t>表4.6-1   搬迁前后全厂污染物排放变化情况一览表   单位：t/a</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1725"/>
        <w:gridCol w:w="1725"/>
        <w:gridCol w:w="1425"/>
        <w:gridCol w:w="1256"/>
        <w:gridCol w:w="1323"/>
        <w:gridCol w:w="1468"/>
        <w:gridCol w:w="1542"/>
        <w:gridCol w:w="1167"/>
        <w:gridCol w:w="1173"/>
      </w:tblGrid>
      <w:tr w14:paraId="2E083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843" w:type="dxa"/>
            <w:noWrap w:val="0"/>
            <w:vAlign w:val="center"/>
          </w:tcPr>
          <w:p w14:paraId="399C9BA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类别</w:t>
            </w:r>
          </w:p>
        </w:tc>
        <w:tc>
          <w:tcPr>
            <w:tcW w:w="3450" w:type="dxa"/>
            <w:gridSpan w:val="2"/>
            <w:noWrap w:val="0"/>
            <w:vAlign w:val="center"/>
          </w:tcPr>
          <w:p w14:paraId="67162F7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污染物</w:t>
            </w:r>
          </w:p>
        </w:tc>
        <w:tc>
          <w:tcPr>
            <w:tcW w:w="1425" w:type="dxa"/>
            <w:noWrap w:val="0"/>
            <w:vAlign w:val="center"/>
          </w:tcPr>
          <w:p w14:paraId="52469F23">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现有项目（已建</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在建）</w:t>
            </w:r>
          </w:p>
        </w:tc>
        <w:tc>
          <w:tcPr>
            <w:tcW w:w="1256" w:type="dxa"/>
            <w:noWrap w:val="0"/>
            <w:vAlign w:val="center"/>
          </w:tcPr>
          <w:p w14:paraId="2482F982">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本项目排放量</w:t>
            </w:r>
          </w:p>
        </w:tc>
        <w:tc>
          <w:tcPr>
            <w:tcW w:w="1323" w:type="dxa"/>
            <w:noWrap w:val="0"/>
            <w:vAlign w:val="center"/>
          </w:tcPr>
          <w:p w14:paraId="4BA4487A">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以新带老削减量</w:t>
            </w:r>
            <w:r>
              <w:rPr>
                <w:rFonts w:hint="default" w:ascii="Times New Roman" w:hAnsi="Times New Roman" w:eastAsia="宋体" w:cs="Times New Roman"/>
                <w:i w:val="0"/>
                <w:iCs w:val="0"/>
                <w:color w:val="0000FF"/>
                <w:kern w:val="0"/>
                <w:sz w:val="21"/>
                <w:szCs w:val="21"/>
                <w:u w:val="none"/>
                <w:lang w:val="en-US" w:eastAsia="zh-CN" w:bidi="ar"/>
              </w:rPr>
              <w:t>”</w:t>
            </w:r>
          </w:p>
        </w:tc>
        <w:tc>
          <w:tcPr>
            <w:tcW w:w="1468" w:type="dxa"/>
            <w:noWrap w:val="0"/>
            <w:vAlign w:val="center"/>
          </w:tcPr>
          <w:p w14:paraId="238BBFE6">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总体工程（已建</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在建</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拟建）</w:t>
            </w:r>
          </w:p>
        </w:tc>
        <w:tc>
          <w:tcPr>
            <w:tcW w:w="1542" w:type="dxa"/>
            <w:noWrap w:val="0"/>
            <w:vAlign w:val="center"/>
          </w:tcPr>
          <w:p w14:paraId="474FC395">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排放增减量</w:t>
            </w:r>
          </w:p>
        </w:tc>
        <w:tc>
          <w:tcPr>
            <w:tcW w:w="1167" w:type="dxa"/>
            <w:noWrap w:val="0"/>
            <w:vAlign w:val="center"/>
          </w:tcPr>
          <w:p w14:paraId="7E064731">
            <w:pPr>
              <w:keepNext w:val="0"/>
              <w:keepLines w:val="0"/>
              <w:widowControl/>
              <w:suppressLineNumbers w:val="0"/>
              <w:jc w:val="both"/>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排污许可证许可排放量</w:t>
            </w:r>
          </w:p>
        </w:tc>
        <w:tc>
          <w:tcPr>
            <w:tcW w:w="1173" w:type="dxa"/>
            <w:noWrap w:val="0"/>
            <w:vAlign w:val="center"/>
          </w:tcPr>
          <w:p w14:paraId="1B0D455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备注</w:t>
            </w:r>
          </w:p>
        </w:tc>
      </w:tr>
      <w:tr w14:paraId="2789F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3" w:type="dxa"/>
            <w:vMerge w:val="restart"/>
            <w:noWrap w:val="0"/>
            <w:vAlign w:val="center"/>
          </w:tcPr>
          <w:p w14:paraId="6B6F431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废气</w:t>
            </w:r>
          </w:p>
        </w:tc>
        <w:tc>
          <w:tcPr>
            <w:tcW w:w="1725" w:type="dxa"/>
            <w:vMerge w:val="restart"/>
            <w:noWrap w:val="0"/>
            <w:vAlign w:val="center"/>
          </w:tcPr>
          <w:p w14:paraId="2708971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废气</w:t>
            </w:r>
          </w:p>
        </w:tc>
        <w:tc>
          <w:tcPr>
            <w:tcW w:w="1725" w:type="dxa"/>
            <w:noWrap w:val="0"/>
            <w:vAlign w:val="center"/>
          </w:tcPr>
          <w:p w14:paraId="0540AEA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颗粒物</w:t>
            </w:r>
          </w:p>
        </w:tc>
        <w:tc>
          <w:tcPr>
            <w:tcW w:w="1425" w:type="dxa"/>
            <w:noWrap w:val="0"/>
            <w:vAlign w:val="center"/>
          </w:tcPr>
          <w:p w14:paraId="32E19EC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56" w:type="dxa"/>
            <w:noWrap w:val="0"/>
            <w:vAlign w:val="center"/>
          </w:tcPr>
          <w:p w14:paraId="26789F2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323" w:type="dxa"/>
            <w:noWrap w:val="0"/>
            <w:vAlign w:val="center"/>
          </w:tcPr>
          <w:p w14:paraId="0643DE2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468" w:type="dxa"/>
            <w:noWrap w:val="0"/>
            <w:vAlign w:val="center"/>
          </w:tcPr>
          <w:p w14:paraId="149B467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542" w:type="dxa"/>
            <w:noWrap w:val="0"/>
            <w:vAlign w:val="center"/>
          </w:tcPr>
          <w:p w14:paraId="500C37D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167" w:type="dxa"/>
            <w:noWrap w:val="0"/>
            <w:vAlign w:val="center"/>
          </w:tcPr>
          <w:p w14:paraId="1E39831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173" w:type="dxa"/>
            <w:noWrap w:val="0"/>
            <w:vAlign w:val="center"/>
          </w:tcPr>
          <w:p w14:paraId="2545577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r>
      <w:tr w14:paraId="4CD1A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3" w:type="dxa"/>
            <w:vMerge w:val="continue"/>
            <w:noWrap w:val="0"/>
            <w:vAlign w:val="center"/>
          </w:tcPr>
          <w:p w14:paraId="6E7F83F0">
            <w:pPr>
              <w:jc w:val="center"/>
              <w:rPr>
                <w:rFonts w:hint="default" w:ascii="Times New Roman" w:hAnsi="Times New Roman" w:eastAsia="宋体" w:cs="Times New Roman"/>
                <w:i w:val="0"/>
                <w:iCs w:val="0"/>
                <w:color w:val="0000FF"/>
                <w:sz w:val="21"/>
                <w:szCs w:val="21"/>
                <w:u w:val="none"/>
              </w:rPr>
            </w:pPr>
          </w:p>
        </w:tc>
        <w:tc>
          <w:tcPr>
            <w:tcW w:w="1725" w:type="dxa"/>
            <w:vMerge w:val="continue"/>
            <w:noWrap w:val="0"/>
            <w:vAlign w:val="center"/>
          </w:tcPr>
          <w:p w14:paraId="225759B0">
            <w:pPr>
              <w:jc w:val="center"/>
              <w:rPr>
                <w:rFonts w:hint="default" w:ascii="Times New Roman" w:hAnsi="Times New Roman" w:eastAsia="宋体" w:cs="Times New Roman"/>
                <w:i w:val="0"/>
                <w:iCs w:val="0"/>
                <w:color w:val="0000FF"/>
                <w:sz w:val="21"/>
                <w:szCs w:val="21"/>
                <w:u w:val="none"/>
              </w:rPr>
            </w:pPr>
          </w:p>
        </w:tc>
        <w:tc>
          <w:tcPr>
            <w:tcW w:w="1725" w:type="dxa"/>
            <w:noWrap w:val="0"/>
            <w:vAlign w:val="center"/>
          </w:tcPr>
          <w:p w14:paraId="51513527">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非甲烷总烃</w:t>
            </w:r>
          </w:p>
        </w:tc>
        <w:tc>
          <w:tcPr>
            <w:tcW w:w="1425" w:type="dxa"/>
            <w:noWrap w:val="0"/>
            <w:vAlign w:val="center"/>
          </w:tcPr>
          <w:p w14:paraId="2AB8A97D">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0.01722t/a</w:t>
            </w:r>
          </w:p>
        </w:tc>
        <w:tc>
          <w:tcPr>
            <w:tcW w:w="1256" w:type="dxa"/>
            <w:noWrap w:val="0"/>
            <w:vAlign w:val="center"/>
          </w:tcPr>
          <w:p w14:paraId="45DEDC13">
            <w:pPr>
              <w:keepNext w:val="0"/>
              <w:keepLines w:val="0"/>
              <w:widowControl/>
              <w:suppressLineNumbers w:val="0"/>
              <w:jc w:val="center"/>
              <w:textAlignment w:val="center"/>
              <w:rPr>
                <w:rFonts w:hint="default" w:ascii="Times New Roman" w:hAnsi="Times New Roman" w:eastAsia="宋体" w:cs="Times New Roman"/>
                <w:i w:val="0"/>
                <w:iCs w:val="0"/>
                <w:color w:val="00B050"/>
                <w:kern w:val="2"/>
                <w:sz w:val="21"/>
                <w:szCs w:val="21"/>
                <w:u w:val="none"/>
                <w:lang w:val="en-US" w:eastAsia="zh-CN" w:bidi="ar-SA"/>
              </w:rPr>
            </w:pPr>
            <w:r>
              <w:rPr>
                <w:rFonts w:hint="eastAsia" w:cs="Times New Roman"/>
                <w:i w:val="0"/>
                <w:iCs w:val="0"/>
                <w:color w:val="00B050"/>
                <w:kern w:val="0"/>
                <w:sz w:val="21"/>
                <w:szCs w:val="21"/>
                <w:u w:val="none"/>
                <w:lang w:val="en-US" w:eastAsia="zh-CN" w:bidi="ar"/>
              </w:rPr>
              <w:t>0.4422</w:t>
            </w:r>
            <w:r>
              <w:rPr>
                <w:rFonts w:hint="default" w:ascii="Times New Roman" w:hAnsi="Times New Roman" w:eastAsia="宋体" w:cs="Times New Roman"/>
                <w:i w:val="0"/>
                <w:iCs w:val="0"/>
                <w:color w:val="00B050"/>
                <w:kern w:val="0"/>
                <w:sz w:val="21"/>
                <w:szCs w:val="21"/>
                <w:u w:val="none"/>
                <w:lang w:val="en-US" w:eastAsia="zh-CN" w:bidi="ar"/>
              </w:rPr>
              <w:t>t/a</w:t>
            </w:r>
          </w:p>
        </w:tc>
        <w:tc>
          <w:tcPr>
            <w:tcW w:w="1323" w:type="dxa"/>
            <w:noWrap w:val="0"/>
            <w:vAlign w:val="center"/>
          </w:tcPr>
          <w:p w14:paraId="17F26180">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0.01722t/a</w:t>
            </w:r>
          </w:p>
        </w:tc>
        <w:tc>
          <w:tcPr>
            <w:tcW w:w="1468" w:type="dxa"/>
            <w:noWrap w:val="0"/>
            <w:vAlign w:val="center"/>
          </w:tcPr>
          <w:p w14:paraId="57F21EA8">
            <w:pPr>
              <w:keepNext w:val="0"/>
              <w:keepLines w:val="0"/>
              <w:widowControl/>
              <w:suppressLineNumbers w:val="0"/>
              <w:jc w:val="center"/>
              <w:textAlignment w:val="center"/>
              <w:rPr>
                <w:rFonts w:hint="default" w:ascii="Times New Roman" w:hAnsi="Times New Roman" w:eastAsia="宋体" w:cs="Times New Roman"/>
                <w:i w:val="0"/>
                <w:iCs w:val="0"/>
                <w:color w:val="00B050"/>
                <w:kern w:val="2"/>
                <w:sz w:val="21"/>
                <w:szCs w:val="21"/>
                <w:u w:val="none"/>
                <w:lang w:val="en-US" w:eastAsia="zh-CN" w:bidi="ar-SA"/>
              </w:rPr>
            </w:pPr>
            <w:r>
              <w:rPr>
                <w:rFonts w:hint="eastAsia" w:cs="Times New Roman"/>
                <w:i w:val="0"/>
                <w:iCs w:val="0"/>
                <w:color w:val="00B050"/>
                <w:kern w:val="0"/>
                <w:sz w:val="21"/>
                <w:szCs w:val="21"/>
                <w:u w:val="none"/>
                <w:lang w:val="en-US" w:eastAsia="zh-CN" w:bidi="ar"/>
              </w:rPr>
              <w:t>0.4422</w:t>
            </w:r>
            <w:r>
              <w:rPr>
                <w:rFonts w:hint="default" w:ascii="Times New Roman" w:hAnsi="Times New Roman" w:eastAsia="宋体" w:cs="Times New Roman"/>
                <w:i w:val="0"/>
                <w:iCs w:val="0"/>
                <w:color w:val="00B050"/>
                <w:kern w:val="0"/>
                <w:sz w:val="21"/>
                <w:szCs w:val="21"/>
                <w:u w:val="none"/>
                <w:lang w:val="en-US" w:eastAsia="zh-CN" w:bidi="ar"/>
              </w:rPr>
              <w:t>t/at/a</w:t>
            </w:r>
          </w:p>
        </w:tc>
        <w:tc>
          <w:tcPr>
            <w:tcW w:w="1542" w:type="dxa"/>
            <w:noWrap w:val="0"/>
            <w:vAlign w:val="center"/>
          </w:tcPr>
          <w:p w14:paraId="56CA56A7">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lang w:val="en-US"/>
              </w:rPr>
            </w:pPr>
            <w:r>
              <w:rPr>
                <w:rFonts w:hint="default" w:ascii="Times New Roman" w:hAnsi="Times New Roman" w:eastAsia="宋体" w:cs="Times New Roman"/>
                <w:i w:val="0"/>
                <w:iCs w:val="0"/>
                <w:color w:val="00B050"/>
                <w:kern w:val="0"/>
                <w:sz w:val="21"/>
                <w:szCs w:val="21"/>
                <w:u w:val="none"/>
                <w:lang w:val="en-US" w:eastAsia="zh-CN" w:bidi="ar"/>
              </w:rPr>
              <w:t>+0.4</w:t>
            </w:r>
            <w:r>
              <w:rPr>
                <w:rFonts w:hint="eastAsia" w:cs="Times New Roman"/>
                <w:i w:val="0"/>
                <w:iCs w:val="0"/>
                <w:color w:val="00B050"/>
                <w:kern w:val="0"/>
                <w:sz w:val="21"/>
                <w:szCs w:val="21"/>
                <w:u w:val="none"/>
                <w:lang w:val="en-US" w:eastAsia="zh-CN" w:bidi="ar"/>
              </w:rPr>
              <w:t>2498</w:t>
            </w:r>
            <w:r>
              <w:rPr>
                <w:rFonts w:hint="default" w:ascii="Times New Roman" w:hAnsi="Times New Roman" w:eastAsia="宋体" w:cs="Times New Roman"/>
                <w:i w:val="0"/>
                <w:iCs w:val="0"/>
                <w:color w:val="00B050"/>
                <w:kern w:val="0"/>
                <w:sz w:val="21"/>
                <w:szCs w:val="21"/>
                <w:u w:val="none"/>
                <w:lang w:val="en-US" w:eastAsia="zh-CN" w:bidi="ar"/>
              </w:rPr>
              <w:t>t/a</w:t>
            </w:r>
          </w:p>
        </w:tc>
        <w:tc>
          <w:tcPr>
            <w:tcW w:w="1167" w:type="dxa"/>
            <w:noWrap w:val="0"/>
            <w:vAlign w:val="center"/>
          </w:tcPr>
          <w:p w14:paraId="132A4E62">
            <w:pPr>
              <w:jc w:val="center"/>
              <w:rPr>
                <w:rFonts w:hint="default" w:ascii="Times New Roman" w:hAnsi="Times New Roman" w:eastAsia="宋体" w:cs="Times New Roman"/>
                <w:i w:val="0"/>
                <w:iCs w:val="0"/>
                <w:color w:val="0000FF"/>
                <w:sz w:val="21"/>
                <w:szCs w:val="21"/>
                <w:u w:val="none"/>
              </w:rPr>
            </w:pPr>
          </w:p>
        </w:tc>
        <w:tc>
          <w:tcPr>
            <w:tcW w:w="1173" w:type="dxa"/>
            <w:noWrap w:val="0"/>
            <w:vAlign w:val="center"/>
          </w:tcPr>
          <w:p w14:paraId="25C93D8D">
            <w:pPr>
              <w:jc w:val="center"/>
              <w:rPr>
                <w:rFonts w:hint="default" w:ascii="Times New Roman" w:hAnsi="Times New Roman" w:eastAsia="宋体" w:cs="Times New Roman"/>
                <w:i w:val="0"/>
                <w:iCs w:val="0"/>
                <w:color w:val="0000FF"/>
                <w:sz w:val="21"/>
                <w:szCs w:val="21"/>
                <w:u w:val="none"/>
              </w:rPr>
            </w:pPr>
          </w:p>
        </w:tc>
      </w:tr>
      <w:tr w14:paraId="284B0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843" w:type="dxa"/>
            <w:vMerge w:val="continue"/>
            <w:noWrap w:val="0"/>
            <w:vAlign w:val="center"/>
          </w:tcPr>
          <w:p w14:paraId="6ACD3D0D">
            <w:pPr>
              <w:jc w:val="center"/>
              <w:rPr>
                <w:rFonts w:hint="default" w:ascii="Times New Roman" w:hAnsi="Times New Roman" w:eastAsia="宋体" w:cs="Times New Roman"/>
                <w:i w:val="0"/>
                <w:iCs w:val="0"/>
                <w:color w:val="0000FF"/>
                <w:sz w:val="21"/>
                <w:szCs w:val="21"/>
                <w:u w:val="none"/>
              </w:rPr>
            </w:pPr>
          </w:p>
        </w:tc>
        <w:tc>
          <w:tcPr>
            <w:tcW w:w="1725" w:type="dxa"/>
            <w:vMerge w:val="continue"/>
            <w:noWrap w:val="0"/>
            <w:vAlign w:val="center"/>
          </w:tcPr>
          <w:p w14:paraId="2B87DE84">
            <w:pPr>
              <w:jc w:val="center"/>
              <w:rPr>
                <w:rFonts w:hint="default" w:ascii="Times New Roman" w:hAnsi="Times New Roman" w:eastAsia="宋体" w:cs="Times New Roman"/>
                <w:i w:val="0"/>
                <w:iCs w:val="0"/>
                <w:color w:val="0000FF"/>
                <w:sz w:val="21"/>
                <w:szCs w:val="21"/>
                <w:u w:val="none"/>
              </w:rPr>
            </w:pPr>
          </w:p>
        </w:tc>
        <w:tc>
          <w:tcPr>
            <w:tcW w:w="1725" w:type="dxa"/>
            <w:noWrap w:val="0"/>
            <w:vAlign w:val="center"/>
          </w:tcPr>
          <w:p w14:paraId="7AD1683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三甲苯</w:t>
            </w:r>
          </w:p>
        </w:tc>
        <w:tc>
          <w:tcPr>
            <w:tcW w:w="1425" w:type="dxa"/>
            <w:noWrap w:val="0"/>
            <w:vAlign w:val="center"/>
          </w:tcPr>
          <w:p w14:paraId="33D6754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56" w:type="dxa"/>
            <w:noWrap w:val="0"/>
            <w:vAlign w:val="center"/>
          </w:tcPr>
          <w:p w14:paraId="7DFD58E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0.0009t/a</w:t>
            </w:r>
          </w:p>
        </w:tc>
        <w:tc>
          <w:tcPr>
            <w:tcW w:w="1323" w:type="dxa"/>
            <w:noWrap w:val="0"/>
            <w:vAlign w:val="center"/>
          </w:tcPr>
          <w:p w14:paraId="711E765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468" w:type="dxa"/>
            <w:noWrap w:val="0"/>
            <w:vAlign w:val="center"/>
          </w:tcPr>
          <w:p w14:paraId="101B1C1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0.0009t/a</w:t>
            </w:r>
          </w:p>
        </w:tc>
        <w:tc>
          <w:tcPr>
            <w:tcW w:w="1542" w:type="dxa"/>
            <w:noWrap w:val="0"/>
            <w:vAlign w:val="center"/>
          </w:tcPr>
          <w:p w14:paraId="75465EF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lang w:val="en-US" w:eastAsia="zh-CN"/>
              </w:rPr>
            </w:pPr>
            <w:r>
              <w:rPr>
                <w:rFonts w:hint="eastAsia" w:cs="Times New Roman"/>
                <w:i w:val="0"/>
                <w:iCs w:val="0"/>
                <w:color w:val="0000FF"/>
                <w:kern w:val="0"/>
                <w:sz w:val="21"/>
                <w:szCs w:val="21"/>
                <w:u w:val="none"/>
                <w:lang w:val="en-US" w:eastAsia="zh-CN" w:bidi="ar"/>
              </w:rPr>
              <w:t>+</w:t>
            </w:r>
            <w:r>
              <w:rPr>
                <w:rFonts w:hint="default" w:ascii="Times New Roman" w:hAnsi="Times New Roman" w:eastAsia="宋体" w:cs="Times New Roman"/>
                <w:i w:val="0"/>
                <w:iCs w:val="0"/>
                <w:color w:val="0000FF"/>
                <w:kern w:val="0"/>
                <w:sz w:val="21"/>
                <w:szCs w:val="21"/>
                <w:u w:val="none"/>
                <w:lang w:val="en-US" w:eastAsia="zh-CN" w:bidi="ar"/>
              </w:rPr>
              <w:t>0.0009t/a</w:t>
            </w:r>
          </w:p>
        </w:tc>
        <w:tc>
          <w:tcPr>
            <w:tcW w:w="1167" w:type="dxa"/>
            <w:noWrap w:val="0"/>
            <w:vAlign w:val="center"/>
          </w:tcPr>
          <w:p w14:paraId="165AE91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173" w:type="dxa"/>
            <w:noWrap w:val="0"/>
            <w:vAlign w:val="center"/>
          </w:tcPr>
          <w:p w14:paraId="08A7C47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r>
      <w:tr w14:paraId="4680D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3" w:type="dxa"/>
            <w:vMerge w:val="restart"/>
            <w:noWrap w:val="0"/>
            <w:vAlign w:val="center"/>
          </w:tcPr>
          <w:p w14:paraId="33A95B6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废水</w:t>
            </w:r>
          </w:p>
        </w:tc>
        <w:tc>
          <w:tcPr>
            <w:tcW w:w="1725" w:type="dxa"/>
            <w:vMerge w:val="restart"/>
            <w:noWrap w:val="0"/>
            <w:vAlign w:val="center"/>
          </w:tcPr>
          <w:p w14:paraId="3694F37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废水</w:t>
            </w:r>
          </w:p>
        </w:tc>
        <w:tc>
          <w:tcPr>
            <w:tcW w:w="1725" w:type="dxa"/>
            <w:noWrap w:val="0"/>
            <w:vAlign w:val="center"/>
          </w:tcPr>
          <w:p w14:paraId="40DEC13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废水量</w:t>
            </w:r>
          </w:p>
        </w:tc>
        <w:tc>
          <w:tcPr>
            <w:tcW w:w="1425" w:type="dxa"/>
            <w:noWrap w:val="0"/>
            <w:vAlign w:val="center"/>
          </w:tcPr>
          <w:p w14:paraId="5B6D09B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0.1836</w:t>
            </w:r>
            <w:r>
              <w:rPr>
                <w:rFonts w:hint="eastAsia" w:ascii="宋体" w:hAnsi="宋体" w:eastAsia="宋体" w:cs="宋体"/>
                <w:i w:val="0"/>
                <w:iCs w:val="0"/>
                <w:color w:val="0000FF"/>
                <w:kern w:val="0"/>
                <w:sz w:val="21"/>
                <w:szCs w:val="21"/>
                <w:u w:val="none"/>
                <w:lang w:val="en-US" w:eastAsia="zh-CN" w:bidi="ar"/>
              </w:rPr>
              <w:t>万</w:t>
            </w:r>
          </w:p>
        </w:tc>
        <w:tc>
          <w:tcPr>
            <w:tcW w:w="1256" w:type="dxa"/>
            <w:noWrap w:val="0"/>
            <w:vAlign w:val="center"/>
          </w:tcPr>
          <w:p w14:paraId="742BC0D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0.48</w:t>
            </w:r>
            <w:r>
              <w:rPr>
                <w:rFonts w:hint="eastAsia" w:ascii="宋体" w:hAnsi="宋体" w:eastAsia="宋体" w:cs="宋体"/>
                <w:i w:val="0"/>
                <w:iCs w:val="0"/>
                <w:color w:val="0000FF"/>
                <w:kern w:val="0"/>
                <w:sz w:val="21"/>
                <w:szCs w:val="21"/>
                <w:u w:val="none"/>
                <w:lang w:val="en-US" w:eastAsia="zh-CN" w:bidi="ar"/>
              </w:rPr>
              <w:t>万</w:t>
            </w:r>
          </w:p>
        </w:tc>
        <w:tc>
          <w:tcPr>
            <w:tcW w:w="1323" w:type="dxa"/>
            <w:noWrap w:val="0"/>
            <w:vAlign w:val="center"/>
          </w:tcPr>
          <w:p w14:paraId="166B570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0.1836</w:t>
            </w:r>
            <w:r>
              <w:rPr>
                <w:rFonts w:hint="eastAsia" w:ascii="宋体" w:hAnsi="宋体" w:eastAsia="宋体" w:cs="宋体"/>
                <w:i w:val="0"/>
                <w:iCs w:val="0"/>
                <w:color w:val="0000FF"/>
                <w:kern w:val="0"/>
                <w:sz w:val="21"/>
                <w:szCs w:val="21"/>
                <w:u w:val="none"/>
                <w:lang w:val="en-US" w:eastAsia="zh-CN" w:bidi="ar"/>
              </w:rPr>
              <w:t>万</w:t>
            </w:r>
          </w:p>
        </w:tc>
        <w:tc>
          <w:tcPr>
            <w:tcW w:w="1468" w:type="dxa"/>
            <w:noWrap w:val="0"/>
            <w:vAlign w:val="center"/>
          </w:tcPr>
          <w:p w14:paraId="323883F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0.48</w:t>
            </w:r>
            <w:r>
              <w:rPr>
                <w:rFonts w:hint="eastAsia" w:ascii="宋体" w:hAnsi="宋体" w:eastAsia="宋体" w:cs="宋体"/>
                <w:i w:val="0"/>
                <w:iCs w:val="0"/>
                <w:color w:val="0000FF"/>
                <w:kern w:val="0"/>
                <w:sz w:val="21"/>
                <w:szCs w:val="21"/>
                <w:u w:val="none"/>
                <w:lang w:val="en-US" w:eastAsia="zh-CN" w:bidi="ar"/>
              </w:rPr>
              <w:t>万</w:t>
            </w:r>
          </w:p>
        </w:tc>
        <w:tc>
          <w:tcPr>
            <w:tcW w:w="1542" w:type="dxa"/>
            <w:noWrap w:val="0"/>
            <w:vAlign w:val="center"/>
          </w:tcPr>
          <w:p w14:paraId="1EA5D3A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+0.2964</w:t>
            </w:r>
            <w:r>
              <w:rPr>
                <w:rFonts w:hint="eastAsia" w:ascii="宋体" w:hAnsi="宋体" w:eastAsia="宋体" w:cs="宋体"/>
                <w:i w:val="0"/>
                <w:iCs w:val="0"/>
                <w:color w:val="0000FF"/>
                <w:kern w:val="0"/>
                <w:sz w:val="21"/>
                <w:szCs w:val="21"/>
                <w:u w:val="none"/>
                <w:lang w:val="en-US" w:eastAsia="zh-CN" w:bidi="ar"/>
              </w:rPr>
              <w:t>万</w:t>
            </w:r>
          </w:p>
        </w:tc>
        <w:tc>
          <w:tcPr>
            <w:tcW w:w="1167" w:type="dxa"/>
            <w:noWrap w:val="0"/>
            <w:vAlign w:val="center"/>
          </w:tcPr>
          <w:p w14:paraId="44AF95E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173" w:type="dxa"/>
            <w:noWrap w:val="0"/>
            <w:vAlign w:val="center"/>
          </w:tcPr>
          <w:p w14:paraId="0B47EF8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r>
      <w:tr w14:paraId="559BB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3" w:type="dxa"/>
            <w:vMerge w:val="continue"/>
            <w:noWrap w:val="0"/>
            <w:vAlign w:val="center"/>
          </w:tcPr>
          <w:p w14:paraId="1BAFE185">
            <w:pPr>
              <w:jc w:val="center"/>
              <w:rPr>
                <w:rFonts w:hint="default" w:ascii="Times New Roman" w:hAnsi="Times New Roman" w:eastAsia="宋体" w:cs="Times New Roman"/>
                <w:i w:val="0"/>
                <w:iCs w:val="0"/>
                <w:color w:val="0000FF"/>
                <w:sz w:val="21"/>
                <w:szCs w:val="21"/>
                <w:u w:val="none"/>
              </w:rPr>
            </w:pPr>
          </w:p>
        </w:tc>
        <w:tc>
          <w:tcPr>
            <w:tcW w:w="1725" w:type="dxa"/>
            <w:vMerge w:val="continue"/>
            <w:noWrap w:val="0"/>
            <w:vAlign w:val="center"/>
          </w:tcPr>
          <w:p w14:paraId="70D1E76E">
            <w:pPr>
              <w:jc w:val="center"/>
              <w:rPr>
                <w:rFonts w:hint="default" w:ascii="Times New Roman" w:hAnsi="Times New Roman" w:eastAsia="宋体" w:cs="Times New Roman"/>
                <w:i w:val="0"/>
                <w:iCs w:val="0"/>
                <w:color w:val="0000FF"/>
                <w:sz w:val="21"/>
                <w:szCs w:val="21"/>
                <w:u w:val="none"/>
              </w:rPr>
            </w:pPr>
          </w:p>
        </w:tc>
        <w:tc>
          <w:tcPr>
            <w:tcW w:w="1725" w:type="dxa"/>
            <w:noWrap w:val="0"/>
            <w:vAlign w:val="center"/>
          </w:tcPr>
          <w:p w14:paraId="6EEB95B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SS</w:t>
            </w:r>
          </w:p>
        </w:tc>
        <w:tc>
          <w:tcPr>
            <w:tcW w:w="1425" w:type="dxa"/>
            <w:noWrap w:val="0"/>
            <w:vAlign w:val="center"/>
          </w:tcPr>
          <w:p w14:paraId="29CB1F5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0.018t/a</w:t>
            </w:r>
          </w:p>
        </w:tc>
        <w:tc>
          <w:tcPr>
            <w:tcW w:w="1256" w:type="dxa"/>
            <w:noWrap w:val="0"/>
            <w:vAlign w:val="center"/>
          </w:tcPr>
          <w:p w14:paraId="3A74638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0.048t/a</w:t>
            </w:r>
          </w:p>
        </w:tc>
        <w:tc>
          <w:tcPr>
            <w:tcW w:w="1323" w:type="dxa"/>
            <w:noWrap w:val="0"/>
            <w:vAlign w:val="center"/>
          </w:tcPr>
          <w:p w14:paraId="420A890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0.018t/a</w:t>
            </w:r>
          </w:p>
        </w:tc>
        <w:tc>
          <w:tcPr>
            <w:tcW w:w="1468" w:type="dxa"/>
            <w:noWrap w:val="0"/>
            <w:vAlign w:val="center"/>
          </w:tcPr>
          <w:p w14:paraId="52E6921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0.048t/a</w:t>
            </w:r>
          </w:p>
        </w:tc>
        <w:tc>
          <w:tcPr>
            <w:tcW w:w="1542" w:type="dxa"/>
            <w:noWrap w:val="0"/>
            <w:vAlign w:val="center"/>
          </w:tcPr>
          <w:p w14:paraId="7756505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+0.03t/a</w:t>
            </w:r>
          </w:p>
        </w:tc>
        <w:tc>
          <w:tcPr>
            <w:tcW w:w="1167" w:type="dxa"/>
            <w:noWrap w:val="0"/>
            <w:vAlign w:val="center"/>
          </w:tcPr>
          <w:p w14:paraId="649801A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173" w:type="dxa"/>
            <w:noWrap w:val="0"/>
            <w:vAlign w:val="center"/>
          </w:tcPr>
          <w:p w14:paraId="4DB9A26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r>
      <w:tr w14:paraId="5E1AE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3" w:type="dxa"/>
            <w:vMerge w:val="continue"/>
            <w:noWrap w:val="0"/>
            <w:vAlign w:val="center"/>
          </w:tcPr>
          <w:p w14:paraId="5137AD97">
            <w:pPr>
              <w:jc w:val="center"/>
              <w:rPr>
                <w:rFonts w:hint="default" w:ascii="Times New Roman" w:hAnsi="Times New Roman" w:eastAsia="宋体" w:cs="Times New Roman"/>
                <w:i w:val="0"/>
                <w:iCs w:val="0"/>
                <w:color w:val="0000FF"/>
                <w:sz w:val="21"/>
                <w:szCs w:val="21"/>
                <w:u w:val="none"/>
              </w:rPr>
            </w:pPr>
          </w:p>
        </w:tc>
        <w:tc>
          <w:tcPr>
            <w:tcW w:w="1725" w:type="dxa"/>
            <w:vMerge w:val="continue"/>
            <w:noWrap w:val="0"/>
            <w:vAlign w:val="center"/>
          </w:tcPr>
          <w:p w14:paraId="0F6C2A1D">
            <w:pPr>
              <w:jc w:val="center"/>
              <w:rPr>
                <w:rFonts w:hint="default" w:ascii="Times New Roman" w:hAnsi="Times New Roman" w:eastAsia="宋体" w:cs="Times New Roman"/>
                <w:i w:val="0"/>
                <w:iCs w:val="0"/>
                <w:color w:val="0000FF"/>
                <w:sz w:val="21"/>
                <w:szCs w:val="21"/>
                <w:u w:val="none"/>
              </w:rPr>
            </w:pPr>
          </w:p>
        </w:tc>
        <w:tc>
          <w:tcPr>
            <w:tcW w:w="1725" w:type="dxa"/>
            <w:noWrap/>
            <w:vAlign w:val="center"/>
          </w:tcPr>
          <w:p w14:paraId="19863B2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COD</w:t>
            </w:r>
          </w:p>
        </w:tc>
        <w:tc>
          <w:tcPr>
            <w:tcW w:w="1425" w:type="dxa"/>
            <w:noWrap w:val="0"/>
            <w:vAlign w:val="center"/>
          </w:tcPr>
          <w:p w14:paraId="7C8C78E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0.092t/a</w:t>
            </w:r>
          </w:p>
        </w:tc>
        <w:tc>
          <w:tcPr>
            <w:tcW w:w="1256" w:type="dxa"/>
            <w:noWrap w:val="0"/>
            <w:vAlign w:val="center"/>
          </w:tcPr>
          <w:p w14:paraId="2395EAE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0.24t/a</w:t>
            </w:r>
          </w:p>
        </w:tc>
        <w:tc>
          <w:tcPr>
            <w:tcW w:w="1323" w:type="dxa"/>
            <w:noWrap w:val="0"/>
            <w:vAlign w:val="center"/>
          </w:tcPr>
          <w:p w14:paraId="22223C1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0.092t/a</w:t>
            </w:r>
          </w:p>
        </w:tc>
        <w:tc>
          <w:tcPr>
            <w:tcW w:w="1468" w:type="dxa"/>
            <w:noWrap w:val="0"/>
            <w:vAlign w:val="center"/>
          </w:tcPr>
          <w:p w14:paraId="2AA5F6C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0.24t/a</w:t>
            </w:r>
          </w:p>
        </w:tc>
        <w:tc>
          <w:tcPr>
            <w:tcW w:w="1542" w:type="dxa"/>
            <w:noWrap w:val="0"/>
            <w:vAlign w:val="center"/>
          </w:tcPr>
          <w:p w14:paraId="6886FE1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+0.148t/a</w:t>
            </w:r>
          </w:p>
        </w:tc>
        <w:tc>
          <w:tcPr>
            <w:tcW w:w="1167" w:type="dxa"/>
            <w:noWrap w:val="0"/>
            <w:vAlign w:val="center"/>
          </w:tcPr>
          <w:p w14:paraId="1B50F28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173" w:type="dxa"/>
            <w:noWrap w:val="0"/>
            <w:vAlign w:val="center"/>
          </w:tcPr>
          <w:p w14:paraId="15C0786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r>
      <w:tr w14:paraId="3120D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3" w:type="dxa"/>
            <w:vMerge w:val="continue"/>
            <w:noWrap w:val="0"/>
            <w:vAlign w:val="center"/>
          </w:tcPr>
          <w:p w14:paraId="4C49285E">
            <w:pPr>
              <w:jc w:val="center"/>
              <w:rPr>
                <w:rFonts w:hint="default" w:ascii="Times New Roman" w:hAnsi="Times New Roman" w:eastAsia="宋体" w:cs="Times New Roman"/>
                <w:i w:val="0"/>
                <w:iCs w:val="0"/>
                <w:color w:val="0000FF"/>
                <w:sz w:val="21"/>
                <w:szCs w:val="21"/>
                <w:u w:val="none"/>
              </w:rPr>
            </w:pPr>
          </w:p>
        </w:tc>
        <w:tc>
          <w:tcPr>
            <w:tcW w:w="1725" w:type="dxa"/>
            <w:vMerge w:val="continue"/>
            <w:noWrap w:val="0"/>
            <w:vAlign w:val="center"/>
          </w:tcPr>
          <w:p w14:paraId="7CA8F542">
            <w:pPr>
              <w:jc w:val="center"/>
              <w:rPr>
                <w:rFonts w:hint="default" w:ascii="Times New Roman" w:hAnsi="Times New Roman" w:eastAsia="宋体" w:cs="Times New Roman"/>
                <w:i w:val="0"/>
                <w:iCs w:val="0"/>
                <w:color w:val="0000FF"/>
                <w:sz w:val="21"/>
                <w:szCs w:val="21"/>
                <w:u w:val="none"/>
              </w:rPr>
            </w:pPr>
          </w:p>
        </w:tc>
        <w:tc>
          <w:tcPr>
            <w:tcW w:w="1725" w:type="dxa"/>
            <w:noWrap w:val="0"/>
            <w:vAlign w:val="center"/>
          </w:tcPr>
          <w:p w14:paraId="44B8F76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BOD</w:t>
            </w:r>
            <w:r>
              <w:rPr>
                <w:rFonts w:hint="default" w:ascii="Times New Roman" w:hAnsi="Times New Roman" w:eastAsia="宋体" w:cs="Times New Roman"/>
                <w:i w:val="0"/>
                <w:iCs w:val="0"/>
                <w:color w:val="0000FF"/>
                <w:kern w:val="0"/>
                <w:sz w:val="21"/>
                <w:szCs w:val="21"/>
                <w:u w:val="none"/>
                <w:vertAlign w:val="subscript"/>
                <w:lang w:val="en-US" w:eastAsia="zh-CN" w:bidi="ar"/>
              </w:rPr>
              <w:t>5</w:t>
            </w:r>
          </w:p>
        </w:tc>
        <w:tc>
          <w:tcPr>
            <w:tcW w:w="1425" w:type="dxa"/>
            <w:noWrap w:val="0"/>
            <w:vAlign w:val="center"/>
          </w:tcPr>
          <w:p w14:paraId="2A201D2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0.018t/a</w:t>
            </w:r>
          </w:p>
        </w:tc>
        <w:tc>
          <w:tcPr>
            <w:tcW w:w="1256" w:type="dxa"/>
            <w:noWrap w:val="0"/>
            <w:vAlign w:val="center"/>
          </w:tcPr>
          <w:p w14:paraId="7EAE652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0.048t/a</w:t>
            </w:r>
          </w:p>
        </w:tc>
        <w:tc>
          <w:tcPr>
            <w:tcW w:w="1323" w:type="dxa"/>
            <w:noWrap w:val="0"/>
            <w:vAlign w:val="center"/>
          </w:tcPr>
          <w:p w14:paraId="3B65A26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0.018t/a</w:t>
            </w:r>
          </w:p>
        </w:tc>
        <w:tc>
          <w:tcPr>
            <w:tcW w:w="1468" w:type="dxa"/>
            <w:noWrap w:val="0"/>
            <w:vAlign w:val="center"/>
          </w:tcPr>
          <w:p w14:paraId="22936BB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0.048t/a</w:t>
            </w:r>
          </w:p>
        </w:tc>
        <w:tc>
          <w:tcPr>
            <w:tcW w:w="1542" w:type="dxa"/>
            <w:noWrap w:val="0"/>
            <w:vAlign w:val="center"/>
          </w:tcPr>
          <w:p w14:paraId="3B9A511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+0.03t/a</w:t>
            </w:r>
          </w:p>
        </w:tc>
        <w:tc>
          <w:tcPr>
            <w:tcW w:w="1167" w:type="dxa"/>
            <w:noWrap w:val="0"/>
            <w:vAlign w:val="center"/>
          </w:tcPr>
          <w:p w14:paraId="6DEAC5E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173" w:type="dxa"/>
            <w:noWrap w:val="0"/>
            <w:vAlign w:val="center"/>
          </w:tcPr>
          <w:p w14:paraId="0648893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r>
      <w:tr w14:paraId="02910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3" w:type="dxa"/>
            <w:vMerge w:val="continue"/>
            <w:noWrap w:val="0"/>
            <w:vAlign w:val="center"/>
          </w:tcPr>
          <w:p w14:paraId="15EA8C4C">
            <w:pPr>
              <w:jc w:val="center"/>
              <w:rPr>
                <w:rFonts w:hint="default" w:ascii="Times New Roman" w:hAnsi="Times New Roman" w:eastAsia="宋体" w:cs="Times New Roman"/>
                <w:i w:val="0"/>
                <w:iCs w:val="0"/>
                <w:color w:val="0000FF"/>
                <w:sz w:val="21"/>
                <w:szCs w:val="21"/>
                <w:u w:val="none"/>
              </w:rPr>
            </w:pPr>
          </w:p>
        </w:tc>
        <w:tc>
          <w:tcPr>
            <w:tcW w:w="1725" w:type="dxa"/>
            <w:vMerge w:val="continue"/>
            <w:noWrap w:val="0"/>
            <w:vAlign w:val="center"/>
          </w:tcPr>
          <w:p w14:paraId="1A7731C9">
            <w:pPr>
              <w:jc w:val="center"/>
              <w:rPr>
                <w:rFonts w:hint="default" w:ascii="Times New Roman" w:hAnsi="Times New Roman" w:eastAsia="宋体" w:cs="Times New Roman"/>
                <w:i w:val="0"/>
                <w:iCs w:val="0"/>
                <w:color w:val="0000FF"/>
                <w:sz w:val="21"/>
                <w:szCs w:val="21"/>
                <w:u w:val="none"/>
              </w:rPr>
            </w:pPr>
          </w:p>
        </w:tc>
        <w:tc>
          <w:tcPr>
            <w:tcW w:w="1725" w:type="dxa"/>
            <w:noWrap w:val="0"/>
            <w:vAlign w:val="center"/>
          </w:tcPr>
          <w:p w14:paraId="5BF5B3D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NH</w:t>
            </w:r>
            <w:r>
              <w:rPr>
                <w:rFonts w:hint="default" w:ascii="Times New Roman" w:hAnsi="Times New Roman" w:eastAsia="宋体" w:cs="Times New Roman"/>
                <w:i w:val="0"/>
                <w:iCs w:val="0"/>
                <w:color w:val="0000FF"/>
                <w:kern w:val="0"/>
                <w:sz w:val="21"/>
                <w:szCs w:val="21"/>
                <w:u w:val="none"/>
                <w:vertAlign w:val="subscript"/>
                <w:lang w:val="en-US" w:eastAsia="zh-CN" w:bidi="ar"/>
              </w:rPr>
              <w:t>3</w:t>
            </w:r>
            <w:r>
              <w:rPr>
                <w:rFonts w:hint="default" w:ascii="Times New Roman" w:hAnsi="Times New Roman" w:eastAsia="宋体" w:cs="Times New Roman"/>
                <w:i w:val="0"/>
                <w:iCs w:val="0"/>
                <w:color w:val="0000FF"/>
                <w:kern w:val="0"/>
                <w:sz w:val="21"/>
                <w:szCs w:val="21"/>
                <w:u w:val="none"/>
                <w:lang w:val="en-US" w:eastAsia="zh-CN" w:bidi="ar"/>
              </w:rPr>
              <w:t>-N</w:t>
            </w:r>
          </w:p>
        </w:tc>
        <w:tc>
          <w:tcPr>
            <w:tcW w:w="1425" w:type="dxa"/>
            <w:noWrap w:val="0"/>
            <w:vAlign w:val="center"/>
          </w:tcPr>
          <w:p w14:paraId="63696DE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0.009t/a</w:t>
            </w:r>
          </w:p>
        </w:tc>
        <w:tc>
          <w:tcPr>
            <w:tcW w:w="1256" w:type="dxa"/>
            <w:noWrap w:val="0"/>
            <w:vAlign w:val="center"/>
          </w:tcPr>
          <w:p w14:paraId="3E82D08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w:t>
            </w:r>
            <w:r>
              <w:rPr>
                <w:rFonts w:hint="eastAsia" w:cs="Times New Roman"/>
                <w:i w:val="0"/>
                <w:iCs w:val="0"/>
                <w:color w:val="0000FF"/>
                <w:kern w:val="0"/>
                <w:sz w:val="21"/>
                <w:szCs w:val="21"/>
                <w:u w:val="none"/>
                <w:lang w:val="en-US" w:eastAsia="zh-CN" w:bidi="ar"/>
              </w:rPr>
              <w:t>0</w:t>
            </w:r>
            <w:r>
              <w:rPr>
                <w:rFonts w:hint="default" w:ascii="Times New Roman" w:hAnsi="Times New Roman" w:eastAsia="宋体" w:cs="Times New Roman"/>
                <w:i w:val="0"/>
                <w:iCs w:val="0"/>
                <w:color w:val="0000FF"/>
                <w:kern w:val="0"/>
                <w:sz w:val="21"/>
                <w:szCs w:val="21"/>
                <w:u w:val="none"/>
                <w:lang w:val="en-US" w:eastAsia="zh-CN" w:bidi="ar"/>
              </w:rPr>
              <w:t>24t/a</w:t>
            </w:r>
          </w:p>
        </w:tc>
        <w:tc>
          <w:tcPr>
            <w:tcW w:w="1323" w:type="dxa"/>
            <w:noWrap w:val="0"/>
            <w:vAlign w:val="center"/>
          </w:tcPr>
          <w:p w14:paraId="4812088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0.009t/a</w:t>
            </w:r>
          </w:p>
        </w:tc>
        <w:tc>
          <w:tcPr>
            <w:tcW w:w="1468" w:type="dxa"/>
            <w:noWrap w:val="0"/>
            <w:vAlign w:val="center"/>
          </w:tcPr>
          <w:p w14:paraId="092B48C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w:t>
            </w:r>
            <w:r>
              <w:rPr>
                <w:rFonts w:hint="eastAsia" w:cs="Times New Roman"/>
                <w:i w:val="0"/>
                <w:iCs w:val="0"/>
                <w:color w:val="0000FF"/>
                <w:kern w:val="0"/>
                <w:sz w:val="21"/>
                <w:szCs w:val="21"/>
                <w:u w:val="none"/>
                <w:lang w:val="en-US" w:eastAsia="zh-CN" w:bidi="ar"/>
              </w:rPr>
              <w:t>0</w:t>
            </w:r>
            <w:r>
              <w:rPr>
                <w:rFonts w:hint="default" w:ascii="Times New Roman" w:hAnsi="Times New Roman" w:eastAsia="宋体" w:cs="Times New Roman"/>
                <w:i w:val="0"/>
                <w:iCs w:val="0"/>
                <w:color w:val="0000FF"/>
                <w:kern w:val="0"/>
                <w:sz w:val="21"/>
                <w:szCs w:val="21"/>
                <w:u w:val="none"/>
                <w:lang w:val="en-US" w:eastAsia="zh-CN" w:bidi="ar"/>
              </w:rPr>
              <w:t>24t/a</w:t>
            </w:r>
          </w:p>
        </w:tc>
        <w:tc>
          <w:tcPr>
            <w:tcW w:w="1542" w:type="dxa"/>
            <w:noWrap w:val="0"/>
            <w:vAlign w:val="center"/>
          </w:tcPr>
          <w:p w14:paraId="736D2B2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w:t>
            </w:r>
            <w:r>
              <w:rPr>
                <w:rFonts w:hint="eastAsia" w:cs="Times New Roman"/>
                <w:i w:val="0"/>
                <w:iCs w:val="0"/>
                <w:color w:val="0000FF"/>
                <w:kern w:val="0"/>
                <w:sz w:val="21"/>
                <w:szCs w:val="21"/>
                <w:u w:val="none"/>
                <w:lang w:val="en-US" w:eastAsia="zh-CN" w:bidi="ar"/>
              </w:rPr>
              <w:t>015</w:t>
            </w:r>
            <w:r>
              <w:rPr>
                <w:rFonts w:hint="default" w:ascii="Times New Roman" w:hAnsi="Times New Roman" w:eastAsia="宋体" w:cs="Times New Roman"/>
                <w:i w:val="0"/>
                <w:iCs w:val="0"/>
                <w:color w:val="0000FF"/>
                <w:kern w:val="0"/>
                <w:sz w:val="21"/>
                <w:szCs w:val="21"/>
                <w:u w:val="none"/>
                <w:lang w:val="en-US" w:eastAsia="zh-CN" w:bidi="ar"/>
              </w:rPr>
              <w:t>t/a</w:t>
            </w:r>
          </w:p>
        </w:tc>
        <w:tc>
          <w:tcPr>
            <w:tcW w:w="1167" w:type="dxa"/>
            <w:noWrap w:val="0"/>
            <w:vAlign w:val="center"/>
          </w:tcPr>
          <w:p w14:paraId="6F971BD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173" w:type="dxa"/>
            <w:noWrap w:val="0"/>
            <w:vAlign w:val="center"/>
          </w:tcPr>
          <w:p w14:paraId="4553F5A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r>
      <w:tr w14:paraId="64689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3" w:type="dxa"/>
            <w:vMerge w:val="continue"/>
            <w:noWrap w:val="0"/>
            <w:vAlign w:val="center"/>
          </w:tcPr>
          <w:p w14:paraId="0B4ECCF1">
            <w:pPr>
              <w:jc w:val="center"/>
              <w:rPr>
                <w:rFonts w:hint="default" w:ascii="Times New Roman" w:hAnsi="Times New Roman" w:eastAsia="宋体" w:cs="Times New Roman"/>
                <w:i w:val="0"/>
                <w:iCs w:val="0"/>
                <w:color w:val="0000FF"/>
                <w:sz w:val="21"/>
                <w:szCs w:val="21"/>
                <w:u w:val="none"/>
              </w:rPr>
            </w:pPr>
          </w:p>
        </w:tc>
        <w:tc>
          <w:tcPr>
            <w:tcW w:w="1725" w:type="dxa"/>
            <w:vMerge w:val="continue"/>
            <w:noWrap w:val="0"/>
            <w:vAlign w:val="center"/>
          </w:tcPr>
          <w:p w14:paraId="253F70CA">
            <w:pPr>
              <w:jc w:val="center"/>
              <w:rPr>
                <w:rFonts w:hint="default" w:ascii="Times New Roman" w:hAnsi="Times New Roman" w:eastAsia="宋体" w:cs="Times New Roman"/>
                <w:i w:val="0"/>
                <w:iCs w:val="0"/>
                <w:color w:val="0000FF"/>
                <w:sz w:val="21"/>
                <w:szCs w:val="21"/>
                <w:u w:val="none"/>
              </w:rPr>
            </w:pPr>
          </w:p>
        </w:tc>
        <w:tc>
          <w:tcPr>
            <w:tcW w:w="1725" w:type="dxa"/>
            <w:noWrap w:val="0"/>
            <w:vAlign w:val="center"/>
          </w:tcPr>
          <w:p w14:paraId="31E76AC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总磷</w:t>
            </w:r>
          </w:p>
        </w:tc>
        <w:tc>
          <w:tcPr>
            <w:tcW w:w="1425" w:type="dxa"/>
            <w:noWrap w:val="0"/>
            <w:vAlign w:val="center"/>
          </w:tcPr>
          <w:p w14:paraId="471D771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0.0009t/a</w:t>
            </w:r>
          </w:p>
        </w:tc>
        <w:tc>
          <w:tcPr>
            <w:tcW w:w="1256" w:type="dxa"/>
            <w:noWrap w:val="0"/>
            <w:vAlign w:val="center"/>
          </w:tcPr>
          <w:p w14:paraId="473DF9C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0.0024t/a</w:t>
            </w:r>
          </w:p>
        </w:tc>
        <w:tc>
          <w:tcPr>
            <w:tcW w:w="1323" w:type="dxa"/>
            <w:noWrap w:val="0"/>
            <w:vAlign w:val="center"/>
          </w:tcPr>
          <w:p w14:paraId="5FBFA10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lang w:val="en-US"/>
              </w:rPr>
            </w:pPr>
            <w:r>
              <w:rPr>
                <w:rFonts w:hint="default" w:ascii="Times New Roman" w:hAnsi="Times New Roman" w:eastAsia="宋体" w:cs="Times New Roman"/>
                <w:i w:val="0"/>
                <w:iCs w:val="0"/>
                <w:color w:val="0000FF"/>
                <w:kern w:val="0"/>
                <w:sz w:val="21"/>
                <w:szCs w:val="21"/>
                <w:u w:val="none"/>
                <w:lang w:val="en-US" w:eastAsia="zh-CN" w:bidi="ar"/>
              </w:rPr>
              <w:t>0.0009t/a</w:t>
            </w:r>
          </w:p>
        </w:tc>
        <w:tc>
          <w:tcPr>
            <w:tcW w:w="1468" w:type="dxa"/>
            <w:noWrap w:val="0"/>
            <w:vAlign w:val="center"/>
          </w:tcPr>
          <w:p w14:paraId="504B4BD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0.0024t/a</w:t>
            </w:r>
          </w:p>
        </w:tc>
        <w:tc>
          <w:tcPr>
            <w:tcW w:w="1542" w:type="dxa"/>
            <w:noWrap w:val="0"/>
            <w:vAlign w:val="center"/>
          </w:tcPr>
          <w:p w14:paraId="2B2A23B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lang w:val="en-US"/>
              </w:rPr>
            </w:pPr>
            <w:r>
              <w:rPr>
                <w:rFonts w:hint="default" w:ascii="Times New Roman" w:hAnsi="Times New Roman" w:eastAsia="宋体" w:cs="Times New Roman"/>
                <w:i w:val="0"/>
                <w:iCs w:val="0"/>
                <w:color w:val="0000FF"/>
                <w:kern w:val="0"/>
                <w:sz w:val="21"/>
                <w:szCs w:val="21"/>
                <w:u w:val="none"/>
                <w:lang w:val="en-US" w:eastAsia="zh-CN" w:bidi="ar"/>
              </w:rPr>
              <w:t>+0.0015t/a</w:t>
            </w:r>
          </w:p>
        </w:tc>
        <w:tc>
          <w:tcPr>
            <w:tcW w:w="1167" w:type="dxa"/>
            <w:noWrap w:val="0"/>
            <w:vAlign w:val="center"/>
          </w:tcPr>
          <w:p w14:paraId="3D07B7E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173" w:type="dxa"/>
            <w:noWrap w:val="0"/>
            <w:vAlign w:val="center"/>
          </w:tcPr>
          <w:p w14:paraId="7406E81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r>
      <w:tr w14:paraId="0CAD1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3" w:type="dxa"/>
            <w:vMerge w:val="restart"/>
            <w:noWrap w:val="0"/>
            <w:vAlign w:val="center"/>
          </w:tcPr>
          <w:p w14:paraId="46769B4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固废（产生量）</w:t>
            </w:r>
          </w:p>
        </w:tc>
        <w:tc>
          <w:tcPr>
            <w:tcW w:w="1725" w:type="dxa"/>
            <w:noWrap w:val="0"/>
            <w:vAlign w:val="center"/>
          </w:tcPr>
          <w:p w14:paraId="3E5B5AF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生活垃圾</w:t>
            </w:r>
          </w:p>
        </w:tc>
        <w:tc>
          <w:tcPr>
            <w:tcW w:w="1725" w:type="dxa"/>
            <w:noWrap w:val="0"/>
            <w:vAlign w:val="center"/>
          </w:tcPr>
          <w:p w14:paraId="009AFB1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生活垃圾</w:t>
            </w:r>
          </w:p>
        </w:tc>
        <w:tc>
          <w:tcPr>
            <w:tcW w:w="1425" w:type="dxa"/>
            <w:noWrap w:val="0"/>
            <w:vAlign w:val="center"/>
          </w:tcPr>
          <w:p w14:paraId="4EC1075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0.04</w:t>
            </w:r>
          </w:p>
        </w:tc>
        <w:tc>
          <w:tcPr>
            <w:tcW w:w="1256" w:type="dxa"/>
            <w:noWrap w:val="0"/>
            <w:vAlign w:val="center"/>
          </w:tcPr>
          <w:p w14:paraId="5C52EA0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60</w:t>
            </w:r>
          </w:p>
        </w:tc>
        <w:tc>
          <w:tcPr>
            <w:tcW w:w="1323" w:type="dxa"/>
            <w:noWrap w:val="0"/>
            <w:vAlign w:val="center"/>
          </w:tcPr>
          <w:p w14:paraId="7DD6D17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0.04</w:t>
            </w:r>
          </w:p>
        </w:tc>
        <w:tc>
          <w:tcPr>
            <w:tcW w:w="1468" w:type="dxa"/>
            <w:noWrap w:val="0"/>
            <w:vAlign w:val="center"/>
          </w:tcPr>
          <w:p w14:paraId="66C3161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60</w:t>
            </w:r>
          </w:p>
        </w:tc>
        <w:tc>
          <w:tcPr>
            <w:tcW w:w="1542" w:type="dxa"/>
            <w:noWrap w:val="0"/>
            <w:vAlign w:val="center"/>
          </w:tcPr>
          <w:p w14:paraId="5E60242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+59.96t/a</w:t>
            </w:r>
          </w:p>
        </w:tc>
        <w:tc>
          <w:tcPr>
            <w:tcW w:w="1167" w:type="dxa"/>
            <w:noWrap w:val="0"/>
            <w:vAlign w:val="center"/>
          </w:tcPr>
          <w:p w14:paraId="0789E88C">
            <w:pPr>
              <w:jc w:val="center"/>
              <w:rPr>
                <w:rFonts w:hint="default" w:ascii="Times New Roman" w:hAnsi="Times New Roman" w:eastAsia="宋体" w:cs="Times New Roman"/>
                <w:i w:val="0"/>
                <w:iCs w:val="0"/>
                <w:color w:val="0000FF"/>
                <w:sz w:val="21"/>
                <w:szCs w:val="21"/>
                <w:u w:val="none"/>
              </w:rPr>
            </w:pPr>
          </w:p>
        </w:tc>
        <w:tc>
          <w:tcPr>
            <w:tcW w:w="1173" w:type="dxa"/>
            <w:noWrap w:val="0"/>
            <w:vAlign w:val="center"/>
          </w:tcPr>
          <w:p w14:paraId="35722779">
            <w:pPr>
              <w:jc w:val="center"/>
              <w:rPr>
                <w:rFonts w:hint="default" w:ascii="Times New Roman" w:hAnsi="Times New Roman" w:eastAsia="宋体" w:cs="Times New Roman"/>
                <w:i w:val="0"/>
                <w:iCs w:val="0"/>
                <w:color w:val="0000FF"/>
                <w:sz w:val="21"/>
                <w:szCs w:val="21"/>
                <w:u w:val="none"/>
              </w:rPr>
            </w:pPr>
          </w:p>
        </w:tc>
      </w:tr>
      <w:tr w14:paraId="36029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3" w:type="dxa"/>
            <w:vMerge w:val="continue"/>
            <w:noWrap w:val="0"/>
            <w:vAlign w:val="center"/>
          </w:tcPr>
          <w:p w14:paraId="097105E0">
            <w:pPr>
              <w:jc w:val="center"/>
              <w:rPr>
                <w:rFonts w:hint="default" w:ascii="Times New Roman" w:hAnsi="Times New Roman" w:eastAsia="宋体" w:cs="Times New Roman"/>
                <w:i w:val="0"/>
                <w:iCs w:val="0"/>
                <w:color w:val="0000FF"/>
                <w:sz w:val="21"/>
                <w:szCs w:val="21"/>
                <w:u w:val="none"/>
              </w:rPr>
            </w:pPr>
          </w:p>
        </w:tc>
        <w:tc>
          <w:tcPr>
            <w:tcW w:w="1725" w:type="dxa"/>
            <w:vMerge w:val="restart"/>
            <w:noWrap w:val="0"/>
            <w:vAlign w:val="center"/>
          </w:tcPr>
          <w:p w14:paraId="496F09B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一般工业固体废物</w:t>
            </w:r>
          </w:p>
        </w:tc>
        <w:tc>
          <w:tcPr>
            <w:tcW w:w="1725" w:type="dxa"/>
            <w:noWrap w:val="0"/>
            <w:vAlign w:val="center"/>
          </w:tcPr>
          <w:p w14:paraId="6A2E2FD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废包装材料</w:t>
            </w:r>
          </w:p>
        </w:tc>
        <w:tc>
          <w:tcPr>
            <w:tcW w:w="1425" w:type="dxa"/>
            <w:noWrap w:val="0"/>
            <w:vAlign w:val="center"/>
          </w:tcPr>
          <w:p w14:paraId="40BC602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0.0003t/a</w:t>
            </w:r>
          </w:p>
        </w:tc>
        <w:tc>
          <w:tcPr>
            <w:tcW w:w="1256" w:type="dxa"/>
            <w:noWrap w:val="0"/>
            <w:vAlign w:val="center"/>
          </w:tcPr>
          <w:p w14:paraId="71E8DCD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2.326t/a</w:t>
            </w:r>
          </w:p>
        </w:tc>
        <w:tc>
          <w:tcPr>
            <w:tcW w:w="1323" w:type="dxa"/>
            <w:noWrap w:val="0"/>
            <w:vAlign w:val="center"/>
          </w:tcPr>
          <w:p w14:paraId="5BCA9E4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0.0003t/a</w:t>
            </w:r>
          </w:p>
        </w:tc>
        <w:tc>
          <w:tcPr>
            <w:tcW w:w="1468" w:type="dxa"/>
            <w:noWrap w:val="0"/>
            <w:vAlign w:val="center"/>
          </w:tcPr>
          <w:p w14:paraId="342F565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2.326t/a</w:t>
            </w:r>
          </w:p>
        </w:tc>
        <w:tc>
          <w:tcPr>
            <w:tcW w:w="1542" w:type="dxa"/>
            <w:noWrap w:val="0"/>
            <w:vAlign w:val="center"/>
          </w:tcPr>
          <w:p w14:paraId="6E6712F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+2.3257t/a</w:t>
            </w:r>
          </w:p>
        </w:tc>
        <w:tc>
          <w:tcPr>
            <w:tcW w:w="1167" w:type="dxa"/>
            <w:noWrap w:val="0"/>
            <w:vAlign w:val="center"/>
          </w:tcPr>
          <w:p w14:paraId="7D8F5C06">
            <w:pPr>
              <w:jc w:val="center"/>
              <w:rPr>
                <w:rFonts w:hint="default" w:ascii="Times New Roman" w:hAnsi="Times New Roman" w:eastAsia="宋体" w:cs="Times New Roman"/>
                <w:i w:val="0"/>
                <w:iCs w:val="0"/>
                <w:color w:val="0000FF"/>
                <w:sz w:val="21"/>
                <w:szCs w:val="21"/>
                <w:u w:val="none"/>
              </w:rPr>
            </w:pPr>
          </w:p>
        </w:tc>
        <w:tc>
          <w:tcPr>
            <w:tcW w:w="1173" w:type="dxa"/>
            <w:noWrap w:val="0"/>
            <w:vAlign w:val="center"/>
          </w:tcPr>
          <w:p w14:paraId="647D7000">
            <w:pPr>
              <w:jc w:val="center"/>
              <w:rPr>
                <w:rFonts w:hint="default" w:ascii="Times New Roman" w:hAnsi="Times New Roman" w:eastAsia="宋体" w:cs="Times New Roman"/>
                <w:i w:val="0"/>
                <w:iCs w:val="0"/>
                <w:color w:val="0000FF"/>
                <w:sz w:val="21"/>
                <w:szCs w:val="21"/>
                <w:u w:val="none"/>
              </w:rPr>
            </w:pPr>
          </w:p>
        </w:tc>
      </w:tr>
      <w:tr w14:paraId="216E4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3" w:type="dxa"/>
            <w:vMerge w:val="continue"/>
            <w:noWrap w:val="0"/>
            <w:vAlign w:val="center"/>
          </w:tcPr>
          <w:p w14:paraId="16909F20">
            <w:pPr>
              <w:jc w:val="center"/>
              <w:rPr>
                <w:rFonts w:hint="default" w:ascii="Times New Roman" w:hAnsi="Times New Roman" w:eastAsia="宋体" w:cs="Times New Roman"/>
                <w:i w:val="0"/>
                <w:iCs w:val="0"/>
                <w:color w:val="0000FF"/>
                <w:sz w:val="21"/>
                <w:szCs w:val="21"/>
                <w:u w:val="none"/>
              </w:rPr>
            </w:pPr>
          </w:p>
        </w:tc>
        <w:tc>
          <w:tcPr>
            <w:tcW w:w="1725" w:type="dxa"/>
            <w:vMerge w:val="continue"/>
            <w:noWrap w:val="0"/>
            <w:vAlign w:val="center"/>
          </w:tcPr>
          <w:p w14:paraId="150CEAFE">
            <w:pPr>
              <w:jc w:val="center"/>
              <w:rPr>
                <w:rFonts w:hint="default" w:ascii="Times New Roman" w:hAnsi="Times New Roman" w:eastAsia="宋体" w:cs="Times New Roman"/>
                <w:i w:val="0"/>
                <w:iCs w:val="0"/>
                <w:color w:val="0000FF"/>
                <w:sz w:val="21"/>
                <w:szCs w:val="21"/>
                <w:u w:val="none"/>
              </w:rPr>
            </w:pPr>
          </w:p>
        </w:tc>
        <w:tc>
          <w:tcPr>
            <w:tcW w:w="1725" w:type="dxa"/>
            <w:noWrap w:val="0"/>
            <w:vAlign w:val="center"/>
          </w:tcPr>
          <w:p w14:paraId="0616169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不合格品、塑胶边角料</w:t>
            </w:r>
          </w:p>
        </w:tc>
        <w:tc>
          <w:tcPr>
            <w:tcW w:w="1425" w:type="dxa"/>
            <w:noWrap w:val="0"/>
            <w:vAlign w:val="center"/>
          </w:tcPr>
          <w:p w14:paraId="203E37E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0.003t/a</w:t>
            </w:r>
          </w:p>
        </w:tc>
        <w:tc>
          <w:tcPr>
            <w:tcW w:w="1256" w:type="dxa"/>
            <w:noWrap w:val="0"/>
            <w:vAlign w:val="center"/>
          </w:tcPr>
          <w:p w14:paraId="015202B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cs="Times New Roman"/>
                <w:i w:val="0"/>
                <w:iCs w:val="0"/>
                <w:color w:val="0000FF"/>
                <w:kern w:val="0"/>
                <w:sz w:val="21"/>
                <w:szCs w:val="21"/>
                <w:u w:val="none"/>
                <w:lang w:val="en-US" w:eastAsia="zh-CN" w:bidi="ar"/>
              </w:rPr>
              <w:t>55.9762</w:t>
            </w:r>
            <w:r>
              <w:rPr>
                <w:rFonts w:hint="default" w:ascii="Times New Roman" w:hAnsi="Times New Roman" w:eastAsia="宋体" w:cs="Times New Roman"/>
                <w:i w:val="0"/>
                <w:iCs w:val="0"/>
                <w:color w:val="0000FF"/>
                <w:kern w:val="0"/>
                <w:sz w:val="21"/>
                <w:szCs w:val="21"/>
                <w:u w:val="none"/>
                <w:lang w:val="en-US" w:eastAsia="zh-CN" w:bidi="ar"/>
              </w:rPr>
              <w:t>t/a</w:t>
            </w:r>
          </w:p>
        </w:tc>
        <w:tc>
          <w:tcPr>
            <w:tcW w:w="1323" w:type="dxa"/>
            <w:noWrap w:val="0"/>
            <w:vAlign w:val="center"/>
          </w:tcPr>
          <w:p w14:paraId="25970AE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0.003t/a</w:t>
            </w:r>
          </w:p>
        </w:tc>
        <w:tc>
          <w:tcPr>
            <w:tcW w:w="1468" w:type="dxa"/>
            <w:noWrap w:val="0"/>
            <w:vAlign w:val="center"/>
          </w:tcPr>
          <w:p w14:paraId="59F81A6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cs="Times New Roman"/>
                <w:i w:val="0"/>
                <w:iCs w:val="0"/>
                <w:color w:val="0000FF"/>
                <w:kern w:val="0"/>
                <w:sz w:val="21"/>
                <w:szCs w:val="21"/>
                <w:u w:val="none"/>
                <w:lang w:val="en-US" w:eastAsia="zh-CN" w:bidi="ar"/>
              </w:rPr>
              <w:t>55.9762</w:t>
            </w:r>
            <w:r>
              <w:rPr>
                <w:rFonts w:hint="default" w:ascii="Times New Roman" w:hAnsi="Times New Roman" w:eastAsia="宋体" w:cs="Times New Roman"/>
                <w:i w:val="0"/>
                <w:iCs w:val="0"/>
                <w:color w:val="0000FF"/>
                <w:kern w:val="0"/>
                <w:sz w:val="21"/>
                <w:szCs w:val="21"/>
                <w:u w:val="none"/>
                <w:lang w:val="en-US" w:eastAsia="zh-CN" w:bidi="ar"/>
              </w:rPr>
              <w:t>t/a</w:t>
            </w:r>
          </w:p>
        </w:tc>
        <w:tc>
          <w:tcPr>
            <w:tcW w:w="1542" w:type="dxa"/>
            <w:noWrap w:val="0"/>
            <w:vAlign w:val="center"/>
          </w:tcPr>
          <w:p w14:paraId="5ACA70F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r>
              <w:rPr>
                <w:rFonts w:hint="eastAsia" w:cs="Times New Roman"/>
                <w:i w:val="0"/>
                <w:iCs w:val="0"/>
                <w:color w:val="0000FF"/>
                <w:kern w:val="0"/>
                <w:sz w:val="21"/>
                <w:szCs w:val="21"/>
                <w:u w:val="none"/>
                <w:lang w:val="en-US" w:eastAsia="zh-CN" w:bidi="ar"/>
              </w:rPr>
              <w:t>55.9732</w:t>
            </w:r>
            <w:r>
              <w:rPr>
                <w:rFonts w:hint="default" w:ascii="Times New Roman" w:hAnsi="Times New Roman" w:eastAsia="宋体" w:cs="Times New Roman"/>
                <w:i w:val="0"/>
                <w:iCs w:val="0"/>
                <w:color w:val="0000FF"/>
                <w:kern w:val="0"/>
                <w:sz w:val="21"/>
                <w:szCs w:val="21"/>
                <w:u w:val="none"/>
                <w:lang w:val="en-US" w:eastAsia="zh-CN" w:bidi="ar"/>
              </w:rPr>
              <w:t>t/a</w:t>
            </w:r>
          </w:p>
        </w:tc>
        <w:tc>
          <w:tcPr>
            <w:tcW w:w="1167" w:type="dxa"/>
            <w:noWrap w:val="0"/>
            <w:vAlign w:val="center"/>
          </w:tcPr>
          <w:p w14:paraId="40F96B69">
            <w:pPr>
              <w:jc w:val="center"/>
              <w:rPr>
                <w:rFonts w:hint="default" w:ascii="Times New Roman" w:hAnsi="Times New Roman" w:eastAsia="宋体" w:cs="Times New Roman"/>
                <w:i w:val="0"/>
                <w:iCs w:val="0"/>
                <w:color w:val="0000FF"/>
                <w:sz w:val="21"/>
                <w:szCs w:val="21"/>
                <w:u w:val="none"/>
              </w:rPr>
            </w:pPr>
          </w:p>
        </w:tc>
        <w:tc>
          <w:tcPr>
            <w:tcW w:w="1173" w:type="dxa"/>
            <w:noWrap w:val="0"/>
            <w:vAlign w:val="center"/>
          </w:tcPr>
          <w:p w14:paraId="57D44A3D">
            <w:pPr>
              <w:jc w:val="center"/>
              <w:rPr>
                <w:rFonts w:hint="default" w:ascii="Times New Roman" w:hAnsi="Times New Roman" w:eastAsia="宋体" w:cs="Times New Roman"/>
                <w:i w:val="0"/>
                <w:iCs w:val="0"/>
                <w:color w:val="0000FF"/>
                <w:sz w:val="21"/>
                <w:szCs w:val="21"/>
                <w:u w:val="none"/>
              </w:rPr>
            </w:pPr>
          </w:p>
        </w:tc>
      </w:tr>
      <w:tr w14:paraId="37A6D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3" w:type="dxa"/>
            <w:vMerge w:val="continue"/>
            <w:noWrap w:val="0"/>
            <w:vAlign w:val="center"/>
          </w:tcPr>
          <w:p w14:paraId="5BB9DBDD">
            <w:pPr>
              <w:jc w:val="center"/>
              <w:rPr>
                <w:rFonts w:hint="default" w:ascii="Times New Roman" w:hAnsi="Times New Roman" w:eastAsia="宋体" w:cs="Times New Roman"/>
                <w:i w:val="0"/>
                <w:iCs w:val="0"/>
                <w:color w:val="0000FF"/>
                <w:sz w:val="21"/>
                <w:szCs w:val="21"/>
                <w:u w:val="none"/>
              </w:rPr>
            </w:pPr>
          </w:p>
        </w:tc>
        <w:tc>
          <w:tcPr>
            <w:tcW w:w="1725" w:type="dxa"/>
            <w:vMerge w:val="continue"/>
            <w:noWrap w:val="0"/>
            <w:vAlign w:val="center"/>
          </w:tcPr>
          <w:p w14:paraId="01C3EAB8">
            <w:pPr>
              <w:jc w:val="center"/>
              <w:rPr>
                <w:rFonts w:hint="default" w:ascii="Times New Roman" w:hAnsi="Times New Roman" w:eastAsia="宋体" w:cs="Times New Roman"/>
                <w:i w:val="0"/>
                <w:iCs w:val="0"/>
                <w:color w:val="0000FF"/>
                <w:sz w:val="21"/>
                <w:szCs w:val="21"/>
                <w:u w:val="none"/>
              </w:rPr>
            </w:pPr>
          </w:p>
        </w:tc>
        <w:tc>
          <w:tcPr>
            <w:tcW w:w="1725" w:type="dxa"/>
            <w:noWrap w:val="0"/>
            <w:vAlign w:val="center"/>
          </w:tcPr>
          <w:p w14:paraId="78E499D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印刷不合格品</w:t>
            </w:r>
          </w:p>
        </w:tc>
        <w:tc>
          <w:tcPr>
            <w:tcW w:w="1425" w:type="dxa"/>
            <w:noWrap w:val="0"/>
            <w:vAlign w:val="center"/>
          </w:tcPr>
          <w:p w14:paraId="0E5667B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56" w:type="dxa"/>
            <w:noWrap w:val="0"/>
            <w:vAlign w:val="center"/>
          </w:tcPr>
          <w:p w14:paraId="352F4B6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5t/a</w:t>
            </w:r>
          </w:p>
        </w:tc>
        <w:tc>
          <w:tcPr>
            <w:tcW w:w="1323" w:type="dxa"/>
            <w:noWrap w:val="0"/>
            <w:vAlign w:val="center"/>
          </w:tcPr>
          <w:p w14:paraId="4E63D29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468" w:type="dxa"/>
            <w:noWrap w:val="0"/>
            <w:vAlign w:val="center"/>
          </w:tcPr>
          <w:p w14:paraId="2D7121B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5t/a</w:t>
            </w:r>
          </w:p>
        </w:tc>
        <w:tc>
          <w:tcPr>
            <w:tcW w:w="1542" w:type="dxa"/>
            <w:noWrap w:val="0"/>
            <w:vAlign w:val="center"/>
          </w:tcPr>
          <w:p w14:paraId="579BE0A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+5t/a</w:t>
            </w:r>
          </w:p>
        </w:tc>
        <w:tc>
          <w:tcPr>
            <w:tcW w:w="1167" w:type="dxa"/>
            <w:noWrap w:val="0"/>
            <w:vAlign w:val="center"/>
          </w:tcPr>
          <w:p w14:paraId="4E98F799">
            <w:pPr>
              <w:jc w:val="center"/>
              <w:rPr>
                <w:rFonts w:hint="default" w:ascii="Times New Roman" w:hAnsi="Times New Roman" w:eastAsia="宋体" w:cs="Times New Roman"/>
                <w:i w:val="0"/>
                <w:iCs w:val="0"/>
                <w:color w:val="0000FF"/>
                <w:sz w:val="21"/>
                <w:szCs w:val="21"/>
                <w:u w:val="none"/>
              </w:rPr>
            </w:pPr>
          </w:p>
        </w:tc>
        <w:tc>
          <w:tcPr>
            <w:tcW w:w="1173" w:type="dxa"/>
            <w:noWrap w:val="0"/>
            <w:vAlign w:val="center"/>
          </w:tcPr>
          <w:p w14:paraId="4C7B66FC">
            <w:pPr>
              <w:jc w:val="center"/>
              <w:rPr>
                <w:rFonts w:hint="default" w:ascii="Times New Roman" w:hAnsi="Times New Roman" w:eastAsia="宋体" w:cs="Times New Roman"/>
                <w:i w:val="0"/>
                <w:iCs w:val="0"/>
                <w:color w:val="0000FF"/>
                <w:sz w:val="21"/>
                <w:szCs w:val="21"/>
                <w:u w:val="none"/>
              </w:rPr>
            </w:pPr>
          </w:p>
        </w:tc>
      </w:tr>
      <w:tr w14:paraId="635B8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843" w:type="dxa"/>
            <w:vMerge w:val="continue"/>
            <w:noWrap w:val="0"/>
            <w:vAlign w:val="center"/>
          </w:tcPr>
          <w:p w14:paraId="78B1E71B">
            <w:pPr>
              <w:jc w:val="center"/>
              <w:rPr>
                <w:rFonts w:hint="default" w:ascii="Times New Roman" w:hAnsi="Times New Roman" w:eastAsia="宋体" w:cs="Times New Roman"/>
                <w:i w:val="0"/>
                <w:iCs w:val="0"/>
                <w:color w:val="0000FF"/>
                <w:sz w:val="21"/>
                <w:szCs w:val="21"/>
                <w:u w:val="none"/>
              </w:rPr>
            </w:pPr>
          </w:p>
        </w:tc>
        <w:tc>
          <w:tcPr>
            <w:tcW w:w="1725" w:type="dxa"/>
            <w:vMerge w:val="continue"/>
            <w:noWrap w:val="0"/>
            <w:vAlign w:val="center"/>
          </w:tcPr>
          <w:p w14:paraId="4ACC1740">
            <w:pPr>
              <w:jc w:val="center"/>
              <w:rPr>
                <w:rFonts w:hint="default" w:ascii="Times New Roman" w:hAnsi="Times New Roman" w:eastAsia="宋体" w:cs="Times New Roman"/>
                <w:i w:val="0"/>
                <w:iCs w:val="0"/>
                <w:color w:val="0000FF"/>
                <w:sz w:val="21"/>
                <w:szCs w:val="21"/>
                <w:u w:val="none"/>
              </w:rPr>
            </w:pPr>
          </w:p>
        </w:tc>
        <w:tc>
          <w:tcPr>
            <w:tcW w:w="1725" w:type="dxa"/>
            <w:noWrap w:val="0"/>
            <w:vAlign w:val="center"/>
          </w:tcPr>
          <w:p w14:paraId="1BF0F74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金属边角料</w:t>
            </w:r>
          </w:p>
        </w:tc>
        <w:tc>
          <w:tcPr>
            <w:tcW w:w="1425" w:type="dxa"/>
            <w:noWrap w:val="0"/>
            <w:vAlign w:val="center"/>
          </w:tcPr>
          <w:p w14:paraId="508F8D7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56" w:type="dxa"/>
            <w:noWrap w:val="0"/>
            <w:vAlign w:val="center"/>
          </w:tcPr>
          <w:p w14:paraId="4D60596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0.001t/a</w:t>
            </w:r>
          </w:p>
        </w:tc>
        <w:tc>
          <w:tcPr>
            <w:tcW w:w="1323" w:type="dxa"/>
            <w:noWrap w:val="0"/>
            <w:vAlign w:val="center"/>
          </w:tcPr>
          <w:p w14:paraId="796D56F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468" w:type="dxa"/>
            <w:noWrap w:val="0"/>
            <w:vAlign w:val="center"/>
          </w:tcPr>
          <w:p w14:paraId="2D36157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0.001t/a</w:t>
            </w:r>
          </w:p>
        </w:tc>
        <w:tc>
          <w:tcPr>
            <w:tcW w:w="1542" w:type="dxa"/>
            <w:noWrap w:val="0"/>
            <w:vAlign w:val="center"/>
          </w:tcPr>
          <w:p w14:paraId="6111D27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+0.001t/a</w:t>
            </w:r>
          </w:p>
        </w:tc>
        <w:tc>
          <w:tcPr>
            <w:tcW w:w="1167" w:type="dxa"/>
            <w:noWrap w:val="0"/>
            <w:vAlign w:val="center"/>
          </w:tcPr>
          <w:p w14:paraId="563133E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173" w:type="dxa"/>
            <w:noWrap w:val="0"/>
            <w:vAlign w:val="center"/>
          </w:tcPr>
          <w:p w14:paraId="2339EEC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r>
      <w:tr w14:paraId="380E1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43" w:type="dxa"/>
            <w:vMerge w:val="continue"/>
            <w:noWrap w:val="0"/>
            <w:vAlign w:val="center"/>
          </w:tcPr>
          <w:p w14:paraId="1E542DCC">
            <w:pPr>
              <w:jc w:val="center"/>
              <w:rPr>
                <w:rFonts w:hint="default" w:ascii="Times New Roman" w:hAnsi="Times New Roman" w:eastAsia="宋体" w:cs="Times New Roman"/>
                <w:i w:val="0"/>
                <w:iCs w:val="0"/>
                <w:color w:val="0000FF"/>
                <w:sz w:val="21"/>
                <w:szCs w:val="21"/>
                <w:u w:val="none"/>
              </w:rPr>
            </w:pPr>
          </w:p>
        </w:tc>
        <w:tc>
          <w:tcPr>
            <w:tcW w:w="1725" w:type="dxa"/>
            <w:vMerge w:val="restart"/>
            <w:noWrap w:val="0"/>
            <w:vAlign w:val="center"/>
          </w:tcPr>
          <w:p w14:paraId="7814588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危险废物</w:t>
            </w:r>
          </w:p>
        </w:tc>
        <w:tc>
          <w:tcPr>
            <w:tcW w:w="1725" w:type="dxa"/>
            <w:noWrap w:val="0"/>
            <w:vAlign w:val="center"/>
          </w:tcPr>
          <w:p w14:paraId="4B9B4F7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废含油棉纱手套</w:t>
            </w:r>
          </w:p>
        </w:tc>
        <w:tc>
          <w:tcPr>
            <w:tcW w:w="1425" w:type="dxa"/>
            <w:noWrap w:val="0"/>
            <w:vAlign w:val="center"/>
          </w:tcPr>
          <w:p w14:paraId="67AC21B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56" w:type="dxa"/>
            <w:noWrap w:val="0"/>
            <w:vAlign w:val="center"/>
          </w:tcPr>
          <w:p w14:paraId="62F3558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0.03t/a</w:t>
            </w:r>
          </w:p>
        </w:tc>
        <w:tc>
          <w:tcPr>
            <w:tcW w:w="1323" w:type="dxa"/>
            <w:noWrap w:val="0"/>
            <w:vAlign w:val="center"/>
          </w:tcPr>
          <w:p w14:paraId="121DCF6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468" w:type="dxa"/>
            <w:noWrap w:val="0"/>
            <w:vAlign w:val="center"/>
          </w:tcPr>
          <w:p w14:paraId="6578724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0.03t/a</w:t>
            </w:r>
          </w:p>
        </w:tc>
        <w:tc>
          <w:tcPr>
            <w:tcW w:w="1542" w:type="dxa"/>
            <w:noWrap w:val="0"/>
            <w:vAlign w:val="center"/>
          </w:tcPr>
          <w:p w14:paraId="5DDC3B3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+0.03t/a</w:t>
            </w:r>
          </w:p>
        </w:tc>
        <w:tc>
          <w:tcPr>
            <w:tcW w:w="1167" w:type="dxa"/>
            <w:noWrap w:val="0"/>
            <w:vAlign w:val="center"/>
          </w:tcPr>
          <w:p w14:paraId="5885D5E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173" w:type="dxa"/>
            <w:noWrap w:val="0"/>
            <w:vAlign w:val="center"/>
          </w:tcPr>
          <w:p w14:paraId="3C5EE7B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r>
      <w:tr w14:paraId="44D5D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43" w:type="dxa"/>
            <w:vMerge w:val="continue"/>
            <w:noWrap w:val="0"/>
            <w:vAlign w:val="center"/>
          </w:tcPr>
          <w:p w14:paraId="61C91068">
            <w:pPr>
              <w:jc w:val="center"/>
              <w:rPr>
                <w:rFonts w:hint="default" w:ascii="Times New Roman" w:hAnsi="Times New Roman" w:eastAsia="宋体" w:cs="Times New Roman"/>
                <w:i w:val="0"/>
                <w:iCs w:val="0"/>
                <w:color w:val="0000FF"/>
                <w:sz w:val="21"/>
                <w:szCs w:val="21"/>
                <w:u w:val="none"/>
              </w:rPr>
            </w:pPr>
          </w:p>
        </w:tc>
        <w:tc>
          <w:tcPr>
            <w:tcW w:w="1725" w:type="dxa"/>
            <w:vMerge w:val="continue"/>
            <w:noWrap w:val="0"/>
            <w:vAlign w:val="center"/>
          </w:tcPr>
          <w:p w14:paraId="071C49CE">
            <w:pPr>
              <w:jc w:val="center"/>
              <w:rPr>
                <w:rFonts w:hint="default" w:ascii="Times New Roman" w:hAnsi="Times New Roman" w:eastAsia="宋体" w:cs="Times New Roman"/>
                <w:i w:val="0"/>
                <w:iCs w:val="0"/>
                <w:color w:val="0000FF"/>
                <w:sz w:val="21"/>
                <w:szCs w:val="21"/>
                <w:u w:val="none"/>
              </w:rPr>
            </w:pPr>
          </w:p>
        </w:tc>
        <w:tc>
          <w:tcPr>
            <w:tcW w:w="1725" w:type="dxa"/>
            <w:noWrap w:val="0"/>
            <w:vAlign w:val="center"/>
          </w:tcPr>
          <w:p w14:paraId="63630759">
            <w:pPr>
              <w:keepNext w:val="0"/>
              <w:keepLines w:val="0"/>
              <w:widowControl/>
              <w:suppressLineNumbers w:val="0"/>
              <w:jc w:val="center"/>
              <w:textAlignment w:val="center"/>
              <w:rPr>
                <w:rFonts w:hint="eastAsia" w:ascii="宋体" w:hAnsi="宋体" w:eastAsia="宋体" w:cs="宋体"/>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废包装桶</w:t>
            </w:r>
          </w:p>
        </w:tc>
        <w:tc>
          <w:tcPr>
            <w:tcW w:w="1425" w:type="dxa"/>
            <w:noWrap w:val="0"/>
            <w:vAlign w:val="center"/>
          </w:tcPr>
          <w:p w14:paraId="037C5745">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56" w:type="dxa"/>
            <w:noWrap w:val="0"/>
            <w:vAlign w:val="center"/>
          </w:tcPr>
          <w:p w14:paraId="515D97AA">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0.0156t/a</w:t>
            </w:r>
          </w:p>
        </w:tc>
        <w:tc>
          <w:tcPr>
            <w:tcW w:w="1323" w:type="dxa"/>
            <w:noWrap w:val="0"/>
            <w:vAlign w:val="center"/>
          </w:tcPr>
          <w:p w14:paraId="70E273C9">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468" w:type="dxa"/>
            <w:noWrap w:val="0"/>
            <w:vAlign w:val="center"/>
          </w:tcPr>
          <w:p w14:paraId="6BEB2901">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0.0156t/a</w:t>
            </w:r>
          </w:p>
        </w:tc>
        <w:tc>
          <w:tcPr>
            <w:tcW w:w="1542" w:type="dxa"/>
            <w:noWrap w:val="0"/>
            <w:vAlign w:val="center"/>
          </w:tcPr>
          <w:p w14:paraId="32D42068">
            <w:pPr>
              <w:keepNext w:val="0"/>
              <w:keepLines w:val="0"/>
              <w:widowControl/>
              <w:suppressLineNumbers w:val="0"/>
              <w:jc w:val="center"/>
              <w:textAlignment w:val="center"/>
              <w:rPr>
                <w:rFonts w:hint="eastAsia"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+0.0156t/a</w:t>
            </w:r>
          </w:p>
        </w:tc>
        <w:tc>
          <w:tcPr>
            <w:tcW w:w="1167" w:type="dxa"/>
            <w:noWrap w:val="0"/>
            <w:vAlign w:val="center"/>
          </w:tcPr>
          <w:p w14:paraId="65EB1AA8">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173" w:type="dxa"/>
            <w:noWrap w:val="0"/>
            <w:vAlign w:val="center"/>
          </w:tcPr>
          <w:p w14:paraId="67EDB15F">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r>
      <w:tr w14:paraId="14D96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43" w:type="dxa"/>
            <w:vMerge w:val="continue"/>
            <w:noWrap w:val="0"/>
            <w:vAlign w:val="center"/>
          </w:tcPr>
          <w:p w14:paraId="642FDB97">
            <w:pPr>
              <w:jc w:val="center"/>
              <w:rPr>
                <w:rFonts w:hint="default" w:ascii="Times New Roman" w:hAnsi="Times New Roman" w:eastAsia="宋体" w:cs="Times New Roman"/>
                <w:i w:val="0"/>
                <w:iCs w:val="0"/>
                <w:color w:val="0000FF"/>
                <w:sz w:val="21"/>
                <w:szCs w:val="21"/>
                <w:u w:val="none"/>
              </w:rPr>
            </w:pPr>
          </w:p>
        </w:tc>
        <w:tc>
          <w:tcPr>
            <w:tcW w:w="1725" w:type="dxa"/>
            <w:vMerge w:val="continue"/>
            <w:noWrap w:val="0"/>
            <w:vAlign w:val="center"/>
          </w:tcPr>
          <w:p w14:paraId="5CD61EF7">
            <w:pPr>
              <w:jc w:val="center"/>
              <w:rPr>
                <w:rFonts w:hint="default" w:ascii="Times New Roman" w:hAnsi="Times New Roman" w:eastAsia="宋体" w:cs="Times New Roman"/>
                <w:i w:val="0"/>
                <w:iCs w:val="0"/>
                <w:color w:val="0000FF"/>
                <w:sz w:val="21"/>
                <w:szCs w:val="21"/>
                <w:u w:val="none"/>
              </w:rPr>
            </w:pPr>
          </w:p>
        </w:tc>
        <w:tc>
          <w:tcPr>
            <w:tcW w:w="1725" w:type="dxa"/>
            <w:noWrap w:val="0"/>
            <w:vAlign w:val="center"/>
          </w:tcPr>
          <w:p w14:paraId="33797944">
            <w:pPr>
              <w:keepNext w:val="0"/>
              <w:keepLines w:val="0"/>
              <w:widowControl/>
              <w:suppressLineNumbers w:val="0"/>
              <w:jc w:val="center"/>
              <w:textAlignment w:val="center"/>
              <w:rPr>
                <w:color w:val="0000FF"/>
                <w:szCs w:val="21"/>
              </w:rPr>
            </w:pPr>
            <w:r>
              <w:rPr>
                <w:rFonts w:hint="eastAsia" w:ascii="宋体" w:hAnsi="宋体" w:eastAsia="宋体" w:cs="宋体"/>
                <w:i w:val="0"/>
                <w:iCs w:val="0"/>
                <w:color w:val="0000FF"/>
                <w:kern w:val="0"/>
                <w:sz w:val="21"/>
                <w:szCs w:val="21"/>
                <w:u w:val="none"/>
                <w:lang w:val="en-US" w:eastAsia="zh-CN" w:bidi="ar"/>
              </w:rPr>
              <w:t>废油墨桶</w:t>
            </w:r>
          </w:p>
        </w:tc>
        <w:tc>
          <w:tcPr>
            <w:tcW w:w="1425" w:type="dxa"/>
            <w:noWrap w:val="0"/>
            <w:vAlign w:val="center"/>
          </w:tcPr>
          <w:p w14:paraId="404A20C6">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56" w:type="dxa"/>
            <w:noWrap w:val="0"/>
            <w:vAlign w:val="center"/>
          </w:tcPr>
          <w:p w14:paraId="08EE6B14">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0.01t/a</w:t>
            </w:r>
          </w:p>
        </w:tc>
        <w:tc>
          <w:tcPr>
            <w:tcW w:w="1323" w:type="dxa"/>
            <w:noWrap w:val="0"/>
            <w:vAlign w:val="center"/>
          </w:tcPr>
          <w:p w14:paraId="6CA1E3EF">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468" w:type="dxa"/>
            <w:noWrap w:val="0"/>
            <w:vAlign w:val="center"/>
          </w:tcPr>
          <w:p w14:paraId="3BF03E2A">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0.01t/a</w:t>
            </w:r>
          </w:p>
        </w:tc>
        <w:tc>
          <w:tcPr>
            <w:tcW w:w="1542" w:type="dxa"/>
            <w:noWrap w:val="0"/>
            <w:vAlign w:val="center"/>
          </w:tcPr>
          <w:p w14:paraId="49BACF1A">
            <w:pPr>
              <w:keepNext w:val="0"/>
              <w:keepLines w:val="0"/>
              <w:widowControl/>
              <w:suppressLineNumbers w:val="0"/>
              <w:jc w:val="center"/>
              <w:textAlignment w:val="center"/>
              <w:rPr>
                <w:rFonts w:hint="eastAsia"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+0.01t/a</w:t>
            </w:r>
          </w:p>
        </w:tc>
        <w:tc>
          <w:tcPr>
            <w:tcW w:w="1167" w:type="dxa"/>
            <w:noWrap w:val="0"/>
            <w:vAlign w:val="center"/>
          </w:tcPr>
          <w:p w14:paraId="0E39E14B">
            <w:pPr>
              <w:jc w:val="center"/>
              <w:rPr>
                <w:rFonts w:hint="default" w:ascii="Times New Roman" w:hAnsi="Times New Roman" w:eastAsia="宋体" w:cs="Times New Roman"/>
                <w:i w:val="0"/>
                <w:iCs w:val="0"/>
                <w:color w:val="0000FF"/>
                <w:kern w:val="0"/>
                <w:sz w:val="21"/>
                <w:szCs w:val="21"/>
                <w:u w:val="none"/>
                <w:lang w:val="en-US" w:eastAsia="zh-CN" w:bidi="ar"/>
              </w:rPr>
            </w:pPr>
          </w:p>
        </w:tc>
        <w:tc>
          <w:tcPr>
            <w:tcW w:w="1173" w:type="dxa"/>
            <w:noWrap w:val="0"/>
            <w:vAlign w:val="center"/>
          </w:tcPr>
          <w:p w14:paraId="0EE241A8">
            <w:pPr>
              <w:jc w:val="center"/>
              <w:rPr>
                <w:rFonts w:hint="default" w:ascii="Times New Roman" w:hAnsi="Times New Roman" w:eastAsia="宋体" w:cs="Times New Roman"/>
                <w:i w:val="0"/>
                <w:iCs w:val="0"/>
                <w:color w:val="0000FF"/>
                <w:kern w:val="0"/>
                <w:sz w:val="21"/>
                <w:szCs w:val="21"/>
                <w:u w:val="none"/>
                <w:lang w:val="en-US" w:eastAsia="zh-CN" w:bidi="ar"/>
              </w:rPr>
            </w:pPr>
          </w:p>
        </w:tc>
      </w:tr>
      <w:tr w14:paraId="6687E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43" w:type="dxa"/>
            <w:vMerge w:val="continue"/>
            <w:noWrap w:val="0"/>
            <w:vAlign w:val="center"/>
          </w:tcPr>
          <w:p w14:paraId="32D3C89C">
            <w:pPr>
              <w:jc w:val="center"/>
              <w:rPr>
                <w:rFonts w:hint="default" w:ascii="Times New Roman" w:hAnsi="Times New Roman" w:eastAsia="宋体" w:cs="Times New Roman"/>
                <w:i w:val="0"/>
                <w:iCs w:val="0"/>
                <w:color w:val="0000FF"/>
                <w:sz w:val="21"/>
                <w:szCs w:val="21"/>
                <w:u w:val="none"/>
              </w:rPr>
            </w:pPr>
          </w:p>
        </w:tc>
        <w:tc>
          <w:tcPr>
            <w:tcW w:w="1725" w:type="dxa"/>
            <w:vMerge w:val="continue"/>
            <w:noWrap w:val="0"/>
            <w:vAlign w:val="center"/>
          </w:tcPr>
          <w:p w14:paraId="108A405E">
            <w:pPr>
              <w:jc w:val="center"/>
              <w:rPr>
                <w:rFonts w:hint="default" w:ascii="Times New Roman" w:hAnsi="Times New Roman" w:eastAsia="宋体" w:cs="Times New Roman"/>
                <w:i w:val="0"/>
                <w:iCs w:val="0"/>
                <w:color w:val="0000FF"/>
                <w:sz w:val="21"/>
                <w:szCs w:val="21"/>
                <w:u w:val="none"/>
              </w:rPr>
            </w:pPr>
          </w:p>
        </w:tc>
        <w:tc>
          <w:tcPr>
            <w:tcW w:w="1725" w:type="dxa"/>
            <w:noWrap w:val="0"/>
            <w:vAlign w:val="center"/>
          </w:tcPr>
          <w:p w14:paraId="290878ED">
            <w:pPr>
              <w:keepNext w:val="0"/>
              <w:keepLines w:val="0"/>
              <w:widowControl/>
              <w:suppressLineNumbers w:val="0"/>
              <w:jc w:val="center"/>
              <w:textAlignment w:val="center"/>
              <w:rPr>
                <w:rFonts w:hint="eastAsia" w:ascii="宋体" w:hAnsi="宋体" w:eastAsia="宋体" w:cs="宋体"/>
                <w:i w:val="0"/>
                <w:iCs w:val="0"/>
                <w:color w:val="00B050"/>
                <w:kern w:val="0"/>
                <w:sz w:val="21"/>
                <w:szCs w:val="21"/>
                <w:u w:val="none"/>
                <w:lang w:val="en-US" w:eastAsia="zh-CN" w:bidi="ar"/>
              </w:rPr>
            </w:pPr>
            <w:r>
              <w:rPr>
                <w:rFonts w:hint="eastAsia" w:ascii="宋体" w:hAnsi="宋体" w:eastAsia="宋体" w:cs="宋体"/>
                <w:i w:val="0"/>
                <w:iCs w:val="0"/>
                <w:color w:val="00B050"/>
                <w:kern w:val="0"/>
                <w:sz w:val="21"/>
                <w:szCs w:val="21"/>
                <w:u w:val="none"/>
                <w:lang w:val="en-US" w:eastAsia="zh-CN" w:bidi="ar"/>
              </w:rPr>
              <w:t>废活性炭</w:t>
            </w:r>
          </w:p>
        </w:tc>
        <w:tc>
          <w:tcPr>
            <w:tcW w:w="1425" w:type="dxa"/>
            <w:noWrap w:val="0"/>
            <w:vAlign w:val="center"/>
          </w:tcPr>
          <w:p w14:paraId="48D84C47">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w:t>
            </w:r>
          </w:p>
        </w:tc>
        <w:tc>
          <w:tcPr>
            <w:tcW w:w="1256" w:type="dxa"/>
            <w:noWrap w:val="0"/>
            <w:vAlign w:val="center"/>
          </w:tcPr>
          <w:p w14:paraId="4B114A56">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eastAsia" w:cs="Times New Roman"/>
                <w:i w:val="0"/>
                <w:iCs w:val="0"/>
                <w:color w:val="00B050"/>
                <w:kern w:val="0"/>
                <w:sz w:val="21"/>
                <w:szCs w:val="21"/>
                <w:u w:val="none"/>
                <w:lang w:val="en-US" w:eastAsia="zh-CN" w:bidi="ar"/>
              </w:rPr>
              <w:t>5.3168</w:t>
            </w:r>
            <w:r>
              <w:rPr>
                <w:rFonts w:hint="default" w:ascii="Times New Roman" w:hAnsi="Times New Roman" w:eastAsia="宋体" w:cs="Times New Roman"/>
                <w:i w:val="0"/>
                <w:iCs w:val="0"/>
                <w:color w:val="00B050"/>
                <w:kern w:val="0"/>
                <w:sz w:val="21"/>
                <w:szCs w:val="21"/>
                <w:u w:val="none"/>
                <w:lang w:val="en-US" w:eastAsia="zh-CN" w:bidi="ar"/>
              </w:rPr>
              <w:t>t/a</w:t>
            </w:r>
          </w:p>
        </w:tc>
        <w:tc>
          <w:tcPr>
            <w:tcW w:w="1323" w:type="dxa"/>
            <w:noWrap w:val="0"/>
            <w:vAlign w:val="center"/>
          </w:tcPr>
          <w:p w14:paraId="7C5B71FC">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w:t>
            </w:r>
          </w:p>
        </w:tc>
        <w:tc>
          <w:tcPr>
            <w:tcW w:w="1468" w:type="dxa"/>
            <w:noWrap w:val="0"/>
            <w:vAlign w:val="center"/>
          </w:tcPr>
          <w:p w14:paraId="255905EC">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eastAsia" w:cs="Times New Roman"/>
                <w:i w:val="0"/>
                <w:iCs w:val="0"/>
                <w:color w:val="00B050"/>
                <w:kern w:val="0"/>
                <w:sz w:val="21"/>
                <w:szCs w:val="21"/>
                <w:u w:val="none"/>
                <w:lang w:val="en-US" w:eastAsia="zh-CN" w:bidi="ar"/>
              </w:rPr>
              <w:t>5.3168</w:t>
            </w:r>
            <w:r>
              <w:rPr>
                <w:rFonts w:hint="default" w:ascii="Times New Roman" w:hAnsi="Times New Roman" w:eastAsia="宋体" w:cs="Times New Roman"/>
                <w:i w:val="0"/>
                <w:iCs w:val="0"/>
                <w:color w:val="00B050"/>
                <w:kern w:val="0"/>
                <w:sz w:val="21"/>
                <w:szCs w:val="21"/>
                <w:u w:val="none"/>
                <w:lang w:val="en-US" w:eastAsia="zh-CN" w:bidi="ar"/>
              </w:rPr>
              <w:t>t/a</w:t>
            </w:r>
          </w:p>
        </w:tc>
        <w:tc>
          <w:tcPr>
            <w:tcW w:w="1542" w:type="dxa"/>
            <w:noWrap w:val="0"/>
            <w:vAlign w:val="center"/>
          </w:tcPr>
          <w:p w14:paraId="442C5C1D">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w:t>
            </w:r>
            <w:r>
              <w:rPr>
                <w:rFonts w:hint="eastAsia" w:cs="Times New Roman"/>
                <w:i w:val="0"/>
                <w:iCs w:val="0"/>
                <w:color w:val="00B050"/>
                <w:kern w:val="0"/>
                <w:sz w:val="21"/>
                <w:szCs w:val="21"/>
                <w:u w:val="none"/>
                <w:lang w:val="en-US" w:eastAsia="zh-CN" w:bidi="ar"/>
              </w:rPr>
              <w:t>5.3168</w:t>
            </w:r>
            <w:r>
              <w:rPr>
                <w:rFonts w:hint="default" w:ascii="Times New Roman" w:hAnsi="Times New Roman" w:eastAsia="宋体" w:cs="Times New Roman"/>
                <w:i w:val="0"/>
                <w:iCs w:val="0"/>
                <w:color w:val="00B050"/>
                <w:kern w:val="0"/>
                <w:sz w:val="21"/>
                <w:szCs w:val="21"/>
                <w:u w:val="none"/>
                <w:lang w:val="en-US" w:eastAsia="zh-CN" w:bidi="ar"/>
              </w:rPr>
              <w:t>t/a</w:t>
            </w:r>
          </w:p>
        </w:tc>
        <w:tc>
          <w:tcPr>
            <w:tcW w:w="1167" w:type="dxa"/>
            <w:noWrap w:val="0"/>
            <w:vAlign w:val="center"/>
          </w:tcPr>
          <w:p w14:paraId="79CB7D13">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173" w:type="dxa"/>
            <w:noWrap w:val="0"/>
            <w:vAlign w:val="center"/>
          </w:tcPr>
          <w:p w14:paraId="2478F856">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r>
      <w:tr w14:paraId="7CF23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43" w:type="dxa"/>
            <w:vMerge w:val="continue"/>
            <w:noWrap w:val="0"/>
            <w:vAlign w:val="center"/>
          </w:tcPr>
          <w:p w14:paraId="29D19759">
            <w:pPr>
              <w:jc w:val="center"/>
              <w:rPr>
                <w:rFonts w:hint="default" w:ascii="Times New Roman" w:hAnsi="Times New Roman" w:eastAsia="宋体" w:cs="Times New Roman"/>
                <w:i w:val="0"/>
                <w:iCs w:val="0"/>
                <w:color w:val="0000FF"/>
                <w:sz w:val="21"/>
                <w:szCs w:val="21"/>
                <w:u w:val="none"/>
              </w:rPr>
            </w:pPr>
          </w:p>
        </w:tc>
        <w:tc>
          <w:tcPr>
            <w:tcW w:w="1725" w:type="dxa"/>
            <w:vMerge w:val="continue"/>
            <w:noWrap w:val="0"/>
            <w:vAlign w:val="center"/>
          </w:tcPr>
          <w:p w14:paraId="545F87E7">
            <w:pPr>
              <w:jc w:val="center"/>
              <w:rPr>
                <w:rFonts w:hint="default" w:ascii="Times New Roman" w:hAnsi="Times New Roman" w:eastAsia="宋体" w:cs="Times New Roman"/>
                <w:i w:val="0"/>
                <w:iCs w:val="0"/>
                <w:color w:val="0000FF"/>
                <w:sz w:val="21"/>
                <w:szCs w:val="21"/>
                <w:u w:val="none"/>
              </w:rPr>
            </w:pPr>
          </w:p>
        </w:tc>
        <w:tc>
          <w:tcPr>
            <w:tcW w:w="1725" w:type="dxa"/>
            <w:noWrap w:val="0"/>
            <w:vAlign w:val="center"/>
          </w:tcPr>
          <w:p w14:paraId="3B31A285">
            <w:pPr>
              <w:keepNext w:val="0"/>
              <w:keepLines w:val="0"/>
              <w:widowControl/>
              <w:suppressLineNumbers w:val="0"/>
              <w:jc w:val="center"/>
              <w:textAlignment w:val="center"/>
              <w:rPr>
                <w:rFonts w:hint="eastAsia" w:ascii="宋体" w:hAnsi="宋体" w:eastAsia="宋体" w:cs="宋体"/>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废润滑油</w:t>
            </w:r>
          </w:p>
        </w:tc>
        <w:tc>
          <w:tcPr>
            <w:tcW w:w="1425" w:type="dxa"/>
            <w:noWrap w:val="0"/>
            <w:vAlign w:val="center"/>
          </w:tcPr>
          <w:p w14:paraId="473E6675">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56" w:type="dxa"/>
            <w:noWrap w:val="0"/>
            <w:vAlign w:val="center"/>
          </w:tcPr>
          <w:p w14:paraId="00DC65AC">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0.08t/a</w:t>
            </w:r>
          </w:p>
        </w:tc>
        <w:tc>
          <w:tcPr>
            <w:tcW w:w="1323" w:type="dxa"/>
            <w:noWrap w:val="0"/>
            <w:vAlign w:val="center"/>
          </w:tcPr>
          <w:p w14:paraId="015E9FFE">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468" w:type="dxa"/>
            <w:noWrap w:val="0"/>
            <w:vAlign w:val="center"/>
          </w:tcPr>
          <w:p w14:paraId="7642E048">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0.08t/a</w:t>
            </w:r>
          </w:p>
        </w:tc>
        <w:tc>
          <w:tcPr>
            <w:tcW w:w="1542" w:type="dxa"/>
            <w:noWrap w:val="0"/>
            <w:vAlign w:val="center"/>
          </w:tcPr>
          <w:p w14:paraId="7990FDA4">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+0.08t/a</w:t>
            </w:r>
          </w:p>
        </w:tc>
        <w:tc>
          <w:tcPr>
            <w:tcW w:w="1167" w:type="dxa"/>
            <w:noWrap w:val="0"/>
            <w:vAlign w:val="center"/>
          </w:tcPr>
          <w:p w14:paraId="794CDF37">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173" w:type="dxa"/>
            <w:noWrap w:val="0"/>
            <w:vAlign w:val="center"/>
          </w:tcPr>
          <w:p w14:paraId="5343B68C">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r>
      <w:tr w14:paraId="710BD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43" w:type="dxa"/>
            <w:vMerge w:val="continue"/>
            <w:noWrap w:val="0"/>
            <w:vAlign w:val="center"/>
          </w:tcPr>
          <w:p w14:paraId="721F02FB">
            <w:pPr>
              <w:jc w:val="center"/>
              <w:rPr>
                <w:rFonts w:hint="default" w:ascii="Times New Roman" w:hAnsi="Times New Roman" w:eastAsia="宋体" w:cs="Times New Roman"/>
                <w:i w:val="0"/>
                <w:iCs w:val="0"/>
                <w:color w:val="0000FF"/>
                <w:sz w:val="21"/>
                <w:szCs w:val="21"/>
                <w:u w:val="none"/>
              </w:rPr>
            </w:pPr>
          </w:p>
        </w:tc>
        <w:tc>
          <w:tcPr>
            <w:tcW w:w="1725" w:type="dxa"/>
            <w:vMerge w:val="continue"/>
            <w:noWrap w:val="0"/>
            <w:vAlign w:val="center"/>
          </w:tcPr>
          <w:p w14:paraId="609B8CB4">
            <w:pPr>
              <w:jc w:val="center"/>
              <w:rPr>
                <w:rFonts w:hint="default" w:ascii="Times New Roman" w:hAnsi="Times New Roman" w:eastAsia="宋体" w:cs="Times New Roman"/>
                <w:i w:val="0"/>
                <w:iCs w:val="0"/>
                <w:color w:val="0000FF"/>
                <w:sz w:val="21"/>
                <w:szCs w:val="21"/>
                <w:u w:val="none"/>
              </w:rPr>
            </w:pPr>
          </w:p>
        </w:tc>
        <w:tc>
          <w:tcPr>
            <w:tcW w:w="1725" w:type="dxa"/>
            <w:noWrap w:val="0"/>
            <w:vAlign w:val="center"/>
          </w:tcPr>
          <w:p w14:paraId="1BE7D71D">
            <w:pPr>
              <w:keepNext w:val="0"/>
              <w:keepLines w:val="0"/>
              <w:widowControl/>
              <w:suppressLineNumbers w:val="0"/>
              <w:jc w:val="center"/>
              <w:textAlignment w:val="center"/>
              <w:rPr>
                <w:rFonts w:hint="eastAsia" w:ascii="宋体" w:hAnsi="宋体" w:eastAsia="宋体" w:cs="宋体"/>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空压机产生的油</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水混合物</w:t>
            </w:r>
          </w:p>
        </w:tc>
        <w:tc>
          <w:tcPr>
            <w:tcW w:w="1425" w:type="dxa"/>
            <w:noWrap w:val="0"/>
            <w:vAlign w:val="center"/>
          </w:tcPr>
          <w:p w14:paraId="1DC6B9A0">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56" w:type="dxa"/>
            <w:noWrap w:val="0"/>
            <w:vAlign w:val="center"/>
          </w:tcPr>
          <w:p w14:paraId="73967135">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0.01t/a</w:t>
            </w:r>
          </w:p>
        </w:tc>
        <w:tc>
          <w:tcPr>
            <w:tcW w:w="1323" w:type="dxa"/>
            <w:noWrap w:val="0"/>
            <w:vAlign w:val="center"/>
          </w:tcPr>
          <w:p w14:paraId="2ADD5360">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468" w:type="dxa"/>
            <w:noWrap w:val="0"/>
            <w:vAlign w:val="center"/>
          </w:tcPr>
          <w:p w14:paraId="738B7626">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0.01t/a</w:t>
            </w:r>
          </w:p>
        </w:tc>
        <w:tc>
          <w:tcPr>
            <w:tcW w:w="1542" w:type="dxa"/>
            <w:noWrap w:val="0"/>
            <w:vAlign w:val="center"/>
          </w:tcPr>
          <w:p w14:paraId="780F9DF9">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+0.01t/a</w:t>
            </w:r>
          </w:p>
        </w:tc>
        <w:tc>
          <w:tcPr>
            <w:tcW w:w="1167" w:type="dxa"/>
            <w:noWrap w:val="0"/>
            <w:vAlign w:val="center"/>
          </w:tcPr>
          <w:p w14:paraId="0AA4EBC7">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173" w:type="dxa"/>
            <w:noWrap w:val="0"/>
            <w:vAlign w:val="center"/>
          </w:tcPr>
          <w:p w14:paraId="1E22569B">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r>
      <w:tr w14:paraId="1EF3B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43" w:type="dxa"/>
            <w:vMerge w:val="continue"/>
            <w:noWrap w:val="0"/>
            <w:vAlign w:val="center"/>
          </w:tcPr>
          <w:p w14:paraId="44682A86">
            <w:pPr>
              <w:jc w:val="center"/>
              <w:rPr>
                <w:rFonts w:hint="default" w:ascii="Times New Roman" w:hAnsi="Times New Roman" w:eastAsia="宋体" w:cs="Times New Roman"/>
                <w:i w:val="0"/>
                <w:iCs w:val="0"/>
                <w:color w:val="0000FF"/>
                <w:sz w:val="21"/>
                <w:szCs w:val="21"/>
                <w:u w:val="none"/>
              </w:rPr>
            </w:pPr>
          </w:p>
        </w:tc>
        <w:tc>
          <w:tcPr>
            <w:tcW w:w="1725" w:type="dxa"/>
            <w:vMerge w:val="continue"/>
            <w:noWrap w:val="0"/>
            <w:vAlign w:val="center"/>
          </w:tcPr>
          <w:p w14:paraId="437DE300">
            <w:pPr>
              <w:jc w:val="center"/>
              <w:rPr>
                <w:rFonts w:hint="default" w:ascii="Times New Roman" w:hAnsi="Times New Roman" w:eastAsia="宋体" w:cs="Times New Roman"/>
                <w:i w:val="0"/>
                <w:iCs w:val="0"/>
                <w:color w:val="0000FF"/>
                <w:sz w:val="21"/>
                <w:szCs w:val="21"/>
                <w:u w:val="none"/>
              </w:rPr>
            </w:pPr>
          </w:p>
        </w:tc>
        <w:tc>
          <w:tcPr>
            <w:tcW w:w="1725" w:type="dxa"/>
            <w:noWrap w:val="0"/>
            <w:vAlign w:val="center"/>
          </w:tcPr>
          <w:p w14:paraId="3D05C0E6">
            <w:pPr>
              <w:keepNext w:val="0"/>
              <w:keepLines w:val="0"/>
              <w:widowControl/>
              <w:suppressLineNumbers w:val="0"/>
              <w:jc w:val="center"/>
              <w:textAlignment w:val="center"/>
              <w:rPr>
                <w:rFonts w:hint="eastAsia" w:ascii="宋体" w:hAnsi="宋体" w:eastAsia="宋体" w:cs="宋体"/>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废空压机油</w:t>
            </w:r>
          </w:p>
        </w:tc>
        <w:tc>
          <w:tcPr>
            <w:tcW w:w="1425" w:type="dxa"/>
            <w:noWrap w:val="0"/>
            <w:vAlign w:val="center"/>
          </w:tcPr>
          <w:p w14:paraId="3B364C84">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56" w:type="dxa"/>
            <w:noWrap w:val="0"/>
            <w:vAlign w:val="center"/>
          </w:tcPr>
          <w:p w14:paraId="00DD1E5F">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0.002t/a</w:t>
            </w:r>
          </w:p>
        </w:tc>
        <w:tc>
          <w:tcPr>
            <w:tcW w:w="1323" w:type="dxa"/>
            <w:noWrap w:val="0"/>
            <w:vAlign w:val="center"/>
          </w:tcPr>
          <w:p w14:paraId="0C2DB07E">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468" w:type="dxa"/>
            <w:noWrap w:val="0"/>
            <w:vAlign w:val="center"/>
          </w:tcPr>
          <w:p w14:paraId="6237326D">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0.002t/a</w:t>
            </w:r>
          </w:p>
        </w:tc>
        <w:tc>
          <w:tcPr>
            <w:tcW w:w="1542" w:type="dxa"/>
            <w:noWrap w:val="0"/>
            <w:vAlign w:val="center"/>
          </w:tcPr>
          <w:p w14:paraId="0548999B">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+0.002t/a</w:t>
            </w:r>
          </w:p>
        </w:tc>
        <w:tc>
          <w:tcPr>
            <w:tcW w:w="1167" w:type="dxa"/>
            <w:noWrap w:val="0"/>
            <w:vAlign w:val="center"/>
          </w:tcPr>
          <w:p w14:paraId="38BB5388">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173" w:type="dxa"/>
            <w:noWrap w:val="0"/>
            <w:vAlign w:val="center"/>
          </w:tcPr>
          <w:p w14:paraId="59D73D79">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r>
    </w:tbl>
    <w:p w14:paraId="1A8E6E55">
      <w:pPr>
        <w:pStyle w:val="31"/>
        <w:spacing w:before="0" w:beforeAutospacing="0" w:after="0" w:afterAutospacing="0" w:line="360" w:lineRule="auto"/>
        <w:ind w:firstLine="480" w:firstLineChars="200"/>
        <w:jc w:val="both"/>
        <w:rPr>
          <w:rFonts w:hint="default" w:ascii="Times New Roman" w:hAnsi="Times New Roman" w:cs="Times New Roman"/>
          <w:color w:val="auto"/>
          <w:szCs w:val="24"/>
        </w:rPr>
        <w:sectPr>
          <w:pgSz w:w="16838" w:h="11906" w:orient="landscape"/>
          <w:pgMar w:top="1531" w:right="1701" w:bottom="1531" w:left="1701" w:header="851" w:footer="851" w:gutter="0"/>
          <w:pgNumType w:fmt="decimal"/>
          <w:cols w:space="720" w:num="1"/>
          <w:docGrid w:linePitch="312" w:charSpace="0"/>
        </w:sectPr>
      </w:pP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21"/>
        <w:gridCol w:w="8739"/>
      </w:tblGrid>
      <w:tr w14:paraId="6D5E7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jc w:val="center"/>
        </w:trPr>
        <w:tc>
          <w:tcPr>
            <w:tcW w:w="177" w:type="pct"/>
            <w:shd w:val="clear" w:color="auto" w:fill="auto"/>
            <w:noWrap/>
            <w:vAlign w:val="center"/>
          </w:tcPr>
          <w:p w14:paraId="64879C23">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运营</w:t>
            </w:r>
          </w:p>
          <w:p w14:paraId="023CF522">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期环</w:t>
            </w:r>
          </w:p>
          <w:p w14:paraId="63F53334">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境影</w:t>
            </w:r>
          </w:p>
          <w:p w14:paraId="7E043D81">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响和</w:t>
            </w:r>
          </w:p>
          <w:p w14:paraId="7A42324E">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保护</w:t>
            </w:r>
          </w:p>
          <w:p w14:paraId="3C5FA831">
            <w:pPr>
              <w:rPr>
                <w:rFonts w:hint="eastAsia" w:ascii="宋体" w:hAnsi="宋体" w:eastAsia="宋体" w:cs="宋体"/>
                <w:i w:val="0"/>
                <w:iCs w:val="0"/>
                <w:color w:val="000000"/>
                <w:sz w:val="22"/>
                <w:szCs w:val="22"/>
                <w:u w:val="none"/>
              </w:rPr>
            </w:pPr>
            <w:r>
              <w:rPr>
                <w:rFonts w:hint="default" w:ascii="Times New Roman" w:hAnsi="Times New Roman" w:cs="Times New Roman"/>
                <w:bCs/>
                <w:color w:val="auto"/>
                <w:sz w:val="21"/>
                <w:szCs w:val="21"/>
              </w:rPr>
              <w:t>措施</w:t>
            </w:r>
          </w:p>
        </w:tc>
        <w:tc>
          <w:tcPr>
            <w:tcW w:w="4822" w:type="pct"/>
            <w:shd w:val="clear" w:color="auto" w:fill="auto"/>
            <w:noWrap/>
            <w:vAlign w:val="center"/>
          </w:tcPr>
          <w:p w14:paraId="2B373382">
            <w:pPr>
              <w:keepNext w:val="0"/>
              <w:keepLines w:val="0"/>
              <w:pageBreakBefore w:val="0"/>
              <w:widowControl w:val="0"/>
              <w:kinsoku/>
              <w:wordWrap/>
              <w:topLinePunct w:val="0"/>
              <w:autoSpaceDE w:val="0"/>
              <w:autoSpaceDN w:val="0"/>
              <w:bidi w:val="0"/>
              <w:adjustRightInd w:val="0"/>
              <w:snapToGrid w:val="0"/>
              <w:spacing w:line="360" w:lineRule="auto"/>
              <w:rPr>
                <w:rFonts w:hint="eastAsia" w:cs="Times New Roman"/>
                <w:b/>
                <w:color w:val="0000FF"/>
                <w:kern w:val="0"/>
                <w:sz w:val="28"/>
                <w:szCs w:val="28"/>
                <w:lang w:val="en-US" w:eastAsia="zh-CN"/>
              </w:rPr>
            </w:pPr>
            <w:r>
              <w:rPr>
                <w:rFonts w:hint="default" w:ascii="Times New Roman" w:hAnsi="Times New Roman" w:cs="Times New Roman"/>
                <w:b/>
                <w:color w:val="0000FF"/>
                <w:kern w:val="0"/>
                <w:sz w:val="28"/>
                <w:szCs w:val="28"/>
              </w:rPr>
              <w:t>4.</w:t>
            </w:r>
            <w:r>
              <w:rPr>
                <w:rFonts w:hint="eastAsia" w:cs="Times New Roman"/>
                <w:b/>
                <w:color w:val="0000FF"/>
                <w:kern w:val="0"/>
                <w:sz w:val="28"/>
                <w:szCs w:val="28"/>
                <w:lang w:val="en-US" w:eastAsia="zh-CN"/>
              </w:rPr>
              <w:t>7项目环保投资核算</w:t>
            </w:r>
          </w:p>
          <w:p w14:paraId="59E80A2D">
            <w:pPr>
              <w:keepNext w:val="0"/>
              <w:keepLines w:val="0"/>
              <w:pageBreakBefore w:val="0"/>
              <w:widowControl w:val="0"/>
              <w:kinsoku/>
              <w:wordWrap/>
              <w:topLinePunct w:val="0"/>
              <w:autoSpaceDE w:val="0"/>
              <w:autoSpaceDN w:val="0"/>
              <w:bidi w:val="0"/>
              <w:adjustRightInd w:val="0"/>
              <w:snapToGrid w:val="0"/>
              <w:spacing w:line="360" w:lineRule="auto"/>
              <w:ind w:firstLine="480" w:firstLineChars="200"/>
              <w:rPr>
                <w:rFonts w:hint="eastAsia" w:cs="Times New Roman"/>
                <w:b w:val="0"/>
                <w:bCs/>
                <w:color w:val="0000FF"/>
                <w:kern w:val="0"/>
                <w:sz w:val="24"/>
                <w:szCs w:val="24"/>
                <w:lang w:val="en-US" w:eastAsia="zh-CN"/>
              </w:rPr>
            </w:pPr>
            <w:r>
              <w:rPr>
                <w:rFonts w:hint="eastAsia" w:cs="Times New Roman"/>
                <w:b w:val="0"/>
                <w:bCs/>
                <w:color w:val="0000FF"/>
                <w:kern w:val="0"/>
                <w:sz w:val="24"/>
                <w:szCs w:val="24"/>
                <w:lang w:val="en-US" w:eastAsia="zh-CN"/>
              </w:rPr>
              <w:t>本项目环保投资核算见下表。</w:t>
            </w:r>
          </w:p>
          <w:p w14:paraId="461E170C">
            <w:pPr>
              <w:adjustRightInd w:val="0"/>
              <w:snapToGrid w:val="0"/>
              <w:spacing w:line="240" w:lineRule="auto"/>
              <w:jc w:val="center"/>
              <w:rPr>
                <w:rFonts w:hint="default" w:ascii="Times New Roman" w:hAnsi="Times New Roman" w:cs="Times New Roman"/>
                <w:b/>
                <w:bCs/>
                <w:color w:val="0000FF"/>
                <w:sz w:val="24"/>
                <w:lang w:val="en-US" w:eastAsia="zh-CN"/>
              </w:rPr>
            </w:pPr>
            <w:r>
              <w:rPr>
                <w:rFonts w:hint="eastAsia" w:ascii="Times New Roman" w:hAnsi="Times New Roman" w:cs="Times New Roman"/>
                <w:b/>
                <w:bCs/>
                <w:color w:val="0000FF"/>
                <w:sz w:val="24"/>
                <w:lang w:val="en-US" w:eastAsia="zh-CN"/>
              </w:rPr>
              <w:t>表4.7-1环保投资核算表</w:t>
            </w:r>
          </w:p>
          <w:tbl>
            <w:tblPr>
              <w:tblStyle w:val="35"/>
              <w:tblW w:w="842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4"/>
              <w:gridCol w:w="1587"/>
              <w:gridCol w:w="5063"/>
              <w:gridCol w:w="1071"/>
            </w:tblGrid>
            <w:tr w14:paraId="6B02E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737F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时段</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70C2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项目类别</w:t>
                  </w:r>
                </w:p>
              </w:tc>
              <w:tc>
                <w:tcPr>
                  <w:tcW w:w="5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2739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内容</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335F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投资</w:t>
                  </w:r>
                </w:p>
              </w:tc>
            </w:tr>
            <w:tr w14:paraId="11329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CA332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施工期</w:t>
                  </w: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89DF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噪声治理</w:t>
                  </w:r>
                </w:p>
              </w:tc>
              <w:tc>
                <w:tcPr>
                  <w:tcW w:w="5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40A19">
                  <w:pPr>
                    <w:keepNext w:val="0"/>
                    <w:keepLines w:val="0"/>
                    <w:widowControl/>
                    <w:suppressLineNumbers w:val="0"/>
                    <w:jc w:val="left"/>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建设单位在安装过程中文明施工、严禁抛掷使用低噪设备等有效降噪措施。</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931C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0.5</w:t>
                  </w:r>
                </w:p>
              </w:tc>
            </w:tr>
            <w:tr w14:paraId="3755C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B8F7B">
                  <w:pPr>
                    <w:jc w:val="center"/>
                    <w:rPr>
                      <w:rFonts w:hint="default" w:ascii="Times New Roman" w:hAnsi="Times New Roman" w:eastAsia="宋体" w:cs="Times New Roman"/>
                      <w:i w:val="0"/>
                      <w:iCs w:val="0"/>
                      <w:color w:val="0000FF"/>
                      <w:sz w:val="21"/>
                      <w:szCs w:val="21"/>
                      <w:u w:val="none"/>
                    </w:rPr>
                  </w:pP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7CD8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废水治理</w:t>
                  </w:r>
                </w:p>
              </w:tc>
              <w:tc>
                <w:tcPr>
                  <w:tcW w:w="5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E989B">
                  <w:pPr>
                    <w:keepNext w:val="0"/>
                    <w:keepLines w:val="0"/>
                    <w:widowControl/>
                    <w:suppressLineNumbers w:val="0"/>
                    <w:jc w:val="left"/>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经园区生化池处理后排入园区污水管网，经园区污水处理厂后，排入东柳河</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E17C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r>
            <w:tr w14:paraId="0F3E6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1E6607">
                  <w:pPr>
                    <w:jc w:val="center"/>
                    <w:rPr>
                      <w:rFonts w:hint="default" w:ascii="Times New Roman" w:hAnsi="Times New Roman" w:eastAsia="宋体" w:cs="Times New Roman"/>
                      <w:i w:val="0"/>
                      <w:iCs w:val="0"/>
                      <w:color w:val="0000FF"/>
                      <w:sz w:val="21"/>
                      <w:szCs w:val="21"/>
                      <w:u w:val="none"/>
                    </w:rPr>
                  </w:pP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8F82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固体废物处置</w:t>
                  </w:r>
                </w:p>
              </w:tc>
              <w:tc>
                <w:tcPr>
                  <w:tcW w:w="5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66B4F">
                  <w:pPr>
                    <w:keepNext w:val="0"/>
                    <w:keepLines w:val="0"/>
                    <w:widowControl/>
                    <w:suppressLineNumbers w:val="0"/>
                    <w:jc w:val="left"/>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由市政环卫部门统一清运</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0EF54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0.5</w:t>
                  </w:r>
                </w:p>
              </w:tc>
            </w:tr>
            <w:tr w14:paraId="76B66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FB15D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运营期</w:t>
                  </w:r>
                </w:p>
              </w:tc>
              <w:tc>
                <w:tcPr>
                  <w:tcW w:w="1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1E825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大气治理</w:t>
                  </w:r>
                </w:p>
              </w:tc>
              <w:tc>
                <w:tcPr>
                  <w:tcW w:w="5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5FDBA">
                  <w:pPr>
                    <w:keepNext w:val="0"/>
                    <w:keepLines w:val="0"/>
                    <w:widowControl/>
                    <w:suppressLineNumbers w:val="0"/>
                    <w:jc w:val="left"/>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挥发性有机废气：通过管道经两级活性炭处理设施处理后由</w:t>
                  </w:r>
                  <w:r>
                    <w:rPr>
                      <w:rFonts w:hint="default" w:ascii="Times New Roman" w:hAnsi="Times New Roman" w:eastAsia="宋体" w:cs="Times New Roman"/>
                      <w:i w:val="0"/>
                      <w:iCs w:val="0"/>
                      <w:color w:val="0000FF"/>
                      <w:kern w:val="0"/>
                      <w:sz w:val="21"/>
                      <w:szCs w:val="21"/>
                      <w:u w:val="none"/>
                      <w:lang w:val="en-US" w:eastAsia="zh-CN" w:bidi="ar"/>
                    </w:rPr>
                    <w:t>32m</w:t>
                  </w:r>
                  <w:r>
                    <w:rPr>
                      <w:rFonts w:hint="eastAsia" w:ascii="宋体" w:hAnsi="宋体" w:eastAsia="宋体" w:cs="宋体"/>
                      <w:i w:val="0"/>
                      <w:iCs w:val="0"/>
                      <w:color w:val="0000FF"/>
                      <w:kern w:val="0"/>
                      <w:sz w:val="21"/>
                      <w:szCs w:val="21"/>
                      <w:u w:val="none"/>
                      <w:lang w:val="en-US" w:eastAsia="zh-CN" w:bidi="ar"/>
                    </w:rPr>
                    <w:t>排气筒排放。</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4AC2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20</w:t>
                  </w:r>
                </w:p>
              </w:tc>
            </w:tr>
            <w:tr w14:paraId="356B0A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66FF04">
                  <w:pPr>
                    <w:jc w:val="center"/>
                    <w:rPr>
                      <w:rFonts w:hint="default" w:ascii="Times New Roman" w:hAnsi="Times New Roman" w:eastAsia="宋体" w:cs="Times New Roman"/>
                      <w:i w:val="0"/>
                      <w:iCs w:val="0"/>
                      <w:color w:val="0000FF"/>
                      <w:sz w:val="21"/>
                      <w:szCs w:val="21"/>
                      <w:u w:val="none"/>
                    </w:rPr>
                  </w:pPr>
                </w:p>
              </w:tc>
              <w:tc>
                <w:tcPr>
                  <w:tcW w:w="1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D6A20B">
                  <w:pPr>
                    <w:jc w:val="center"/>
                    <w:rPr>
                      <w:rFonts w:hint="default" w:ascii="Times New Roman" w:hAnsi="Times New Roman" w:eastAsia="宋体" w:cs="Times New Roman"/>
                      <w:i w:val="0"/>
                      <w:iCs w:val="0"/>
                      <w:color w:val="0000FF"/>
                      <w:sz w:val="21"/>
                      <w:szCs w:val="21"/>
                      <w:u w:val="none"/>
                    </w:rPr>
                  </w:pPr>
                </w:p>
              </w:tc>
              <w:tc>
                <w:tcPr>
                  <w:tcW w:w="5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1F29E">
                  <w:pPr>
                    <w:keepNext w:val="0"/>
                    <w:keepLines w:val="0"/>
                    <w:widowControl/>
                    <w:suppressLineNumbers w:val="0"/>
                    <w:jc w:val="left"/>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破碎粉尘：车间无组织排放</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F20C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r>
            <w:tr w14:paraId="35236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1046FB">
                  <w:pPr>
                    <w:jc w:val="center"/>
                    <w:rPr>
                      <w:rFonts w:hint="default" w:ascii="Times New Roman" w:hAnsi="Times New Roman" w:eastAsia="宋体" w:cs="Times New Roman"/>
                      <w:i w:val="0"/>
                      <w:iCs w:val="0"/>
                      <w:color w:val="0000FF"/>
                      <w:sz w:val="21"/>
                      <w:szCs w:val="21"/>
                      <w:u w:val="none"/>
                    </w:rPr>
                  </w:pPr>
                </w:p>
              </w:tc>
              <w:tc>
                <w:tcPr>
                  <w:tcW w:w="1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D53B9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废水治理</w:t>
                  </w:r>
                </w:p>
              </w:tc>
              <w:tc>
                <w:tcPr>
                  <w:tcW w:w="5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4F940">
                  <w:pPr>
                    <w:keepNext w:val="0"/>
                    <w:keepLines w:val="0"/>
                    <w:widowControl/>
                    <w:suppressLineNumbers w:val="0"/>
                    <w:jc w:val="left"/>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生活污水和盐雾试验废水经园区生化池处理后排污污水处理厂</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EC16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w:t>
                  </w:r>
                </w:p>
              </w:tc>
            </w:tr>
            <w:tr w14:paraId="091C0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8C517">
                  <w:pPr>
                    <w:jc w:val="center"/>
                    <w:rPr>
                      <w:rFonts w:hint="default" w:ascii="Times New Roman" w:hAnsi="Times New Roman" w:eastAsia="宋体" w:cs="Times New Roman"/>
                      <w:i w:val="0"/>
                      <w:iCs w:val="0"/>
                      <w:color w:val="0000FF"/>
                      <w:sz w:val="21"/>
                      <w:szCs w:val="21"/>
                      <w:u w:val="none"/>
                    </w:rPr>
                  </w:pPr>
                </w:p>
              </w:tc>
              <w:tc>
                <w:tcPr>
                  <w:tcW w:w="1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B8CF89">
                  <w:pPr>
                    <w:jc w:val="center"/>
                    <w:rPr>
                      <w:rFonts w:hint="default" w:ascii="Times New Roman" w:hAnsi="Times New Roman" w:eastAsia="宋体" w:cs="Times New Roman"/>
                      <w:i w:val="0"/>
                      <w:iCs w:val="0"/>
                      <w:color w:val="0000FF"/>
                      <w:sz w:val="21"/>
                      <w:szCs w:val="21"/>
                      <w:u w:val="none"/>
                    </w:rPr>
                  </w:pPr>
                </w:p>
              </w:tc>
              <w:tc>
                <w:tcPr>
                  <w:tcW w:w="5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DF2DD">
                  <w:pPr>
                    <w:keepNext w:val="0"/>
                    <w:keepLines w:val="0"/>
                    <w:widowControl/>
                    <w:suppressLineNumbers w:val="0"/>
                    <w:jc w:val="left"/>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循环冷却水不外排</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7FB4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r>
            <w:tr w14:paraId="2F152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F45CE2">
                  <w:pPr>
                    <w:jc w:val="center"/>
                    <w:rPr>
                      <w:rFonts w:hint="default" w:ascii="Times New Roman" w:hAnsi="Times New Roman" w:eastAsia="宋体" w:cs="Times New Roman"/>
                      <w:i w:val="0"/>
                      <w:iCs w:val="0"/>
                      <w:color w:val="0000FF"/>
                      <w:sz w:val="21"/>
                      <w:szCs w:val="21"/>
                      <w:u w:val="none"/>
                    </w:rPr>
                  </w:pPr>
                </w:p>
              </w:tc>
              <w:tc>
                <w:tcPr>
                  <w:tcW w:w="1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854B8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噪声治理</w:t>
                  </w:r>
                </w:p>
              </w:tc>
              <w:tc>
                <w:tcPr>
                  <w:tcW w:w="5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47B3C">
                  <w:pPr>
                    <w:keepNext w:val="0"/>
                    <w:keepLines w:val="0"/>
                    <w:widowControl/>
                    <w:suppressLineNumbers w:val="0"/>
                    <w:jc w:val="left"/>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选用低噪声设备、合理进行平面布置、距离衰减、设备隔声、减震、消声，设备房密闭、隔声</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E3D6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w:t>
                  </w:r>
                </w:p>
              </w:tc>
            </w:tr>
            <w:tr w14:paraId="1F3434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jc w:val="center"/>
              </w:trPr>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67D9F9">
                  <w:pPr>
                    <w:jc w:val="center"/>
                    <w:rPr>
                      <w:rFonts w:hint="default" w:ascii="Times New Roman" w:hAnsi="Times New Roman" w:eastAsia="宋体" w:cs="Times New Roman"/>
                      <w:i w:val="0"/>
                      <w:iCs w:val="0"/>
                      <w:color w:val="0000FF"/>
                      <w:sz w:val="21"/>
                      <w:szCs w:val="21"/>
                      <w:u w:val="none"/>
                    </w:rPr>
                  </w:pPr>
                </w:p>
              </w:tc>
              <w:tc>
                <w:tcPr>
                  <w:tcW w:w="1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8D531">
                  <w:pPr>
                    <w:jc w:val="center"/>
                    <w:rPr>
                      <w:rFonts w:hint="default" w:ascii="Times New Roman" w:hAnsi="Times New Roman" w:eastAsia="宋体" w:cs="Times New Roman"/>
                      <w:i w:val="0"/>
                      <w:iCs w:val="0"/>
                      <w:color w:val="0000FF"/>
                      <w:sz w:val="21"/>
                      <w:szCs w:val="21"/>
                      <w:u w:val="none"/>
                    </w:rPr>
                  </w:pPr>
                </w:p>
              </w:tc>
              <w:tc>
                <w:tcPr>
                  <w:tcW w:w="5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1CCD9">
                  <w:pPr>
                    <w:keepNext w:val="0"/>
                    <w:keepLines w:val="0"/>
                    <w:widowControl/>
                    <w:suppressLineNumbers w:val="0"/>
                    <w:jc w:val="left"/>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水泵、风机等设备降噪：采取安装橡胶减震接头及减震垫、进出口设软接头、进出口风管处安装消声设备、设置半围合挡声板等一系列减震、隔声措施</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A0E1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0389D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9FED2C">
                  <w:pPr>
                    <w:jc w:val="center"/>
                    <w:rPr>
                      <w:rFonts w:hint="default" w:ascii="Times New Roman" w:hAnsi="Times New Roman" w:eastAsia="宋体" w:cs="Times New Roman"/>
                      <w:i w:val="0"/>
                      <w:iCs w:val="0"/>
                      <w:color w:val="0000FF"/>
                      <w:sz w:val="21"/>
                      <w:szCs w:val="21"/>
                      <w:u w:val="none"/>
                    </w:rPr>
                  </w:pPr>
                </w:p>
              </w:tc>
              <w:tc>
                <w:tcPr>
                  <w:tcW w:w="1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A9BD71">
                  <w:pPr>
                    <w:jc w:val="center"/>
                    <w:rPr>
                      <w:rFonts w:hint="default" w:ascii="Times New Roman" w:hAnsi="Times New Roman" w:eastAsia="宋体" w:cs="Times New Roman"/>
                      <w:i w:val="0"/>
                      <w:iCs w:val="0"/>
                      <w:color w:val="0000FF"/>
                      <w:sz w:val="21"/>
                      <w:szCs w:val="21"/>
                      <w:u w:val="none"/>
                    </w:rPr>
                  </w:pPr>
                </w:p>
              </w:tc>
              <w:tc>
                <w:tcPr>
                  <w:tcW w:w="5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EC067">
                  <w:pPr>
                    <w:keepNext w:val="0"/>
                    <w:keepLines w:val="0"/>
                    <w:widowControl/>
                    <w:suppressLineNumbers w:val="0"/>
                    <w:jc w:val="left"/>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空压机房密闭，机房四周加隔声板，安装消声器减小排气的气流声，机器底座安装减振垫</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9B54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4000D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6B72D9">
                  <w:pPr>
                    <w:jc w:val="center"/>
                    <w:rPr>
                      <w:rFonts w:hint="default" w:ascii="Times New Roman" w:hAnsi="Times New Roman" w:eastAsia="宋体" w:cs="Times New Roman"/>
                      <w:i w:val="0"/>
                      <w:iCs w:val="0"/>
                      <w:color w:val="0000FF"/>
                      <w:sz w:val="21"/>
                      <w:szCs w:val="21"/>
                      <w:u w:val="none"/>
                    </w:rPr>
                  </w:pPr>
                </w:p>
              </w:tc>
              <w:tc>
                <w:tcPr>
                  <w:tcW w:w="1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0619E7">
                  <w:pPr>
                    <w:jc w:val="center"/>
                    <w:rPr>
                      <w:rFonts w:hint="default" w:ascii="Times New Roman" w:hAnsi="Times New Roman" w:eastAsia="宋体" w:cs="Times New Roman"/>
                      <w:i w:val="0"/>
                      <w:iCs w:val="0"/>
                      <w:color w:val="0000FF"/>
                      <w:sz w:val="21"/>
                      <w:szCs w:val="21"/>
                      <w:u w:val="none"/>
                    </w:rPr>
                  </w:pPr>
                </w:p>
              </w:tc>
              <w:tc>
                <w:tcPr>
                  <w:tcW w:w="5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A15D6">
                  <w:pPr>
                    <w:keepNext w:val="0"/>
                    <w:keepLines w:val="0"/>
                    <w:widowControl/>
                    <w:suppressLineNumbers w:val="0"/>
                    <w:jc w:val="left"/>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冷却塔脚座与地面间安装阻尼弹簧减震器，管路中安装橡胶软接头</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7583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1EB06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D2EC82">
                  <w:pPr>
                    <w:jc w:val="center"/>
                    <w:rPr>
                      <w:rFonts w:hint="default" w:ascii="Times New Roman" w:hAnsi="Times New Roman" w:eastAsia="宋体" w:cs="Times New Roman"/>
                      <w:i w:val="0"/>
                      <w:iCs w:val="0"/>
                      <w:color w:val="0000FF"/>
                      <w:sz w:val="21"/>
                      <w:szCs w:val="21"/>
                      <w:u w:val="none"/>
                    </w:rPr>
                  </w:pPr>
                </w:p>
              </w:tc>
              <w:tc>
                <w:tcPr>
                  <w:tcW w:w="1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31179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固废</w:t>
                  </w:r>
                </w:p>
              </w:tc>
              <w:tc>
                <w:tcPr>
                  <w:tcW w:w="5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6168B">
                  <w:pPr>
                    <w:keepNext w:val="0"/>
                    <w:keepLines w:val="0"/>
                    <w:widowControl/>
                    <w:suppressLineNumbers w:val="0"/>
                    <w:jc w:val="left"/>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不合格产品经破碎后回用于生产</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83C5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r>
            <w:tr w14:paraId="1AE0A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jc w:val="center"/>
              </w:trPr>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C8E285">
                  <w:pPr>
                    <w:jc w:val="center"/>
                    <w:rPr>
                      <w:rFonts w:hint="default" w:ascii="Times New Roman" w:hAnsi="Times New Roman" w:eastAsia="宋体" w:cs="Times New Roman"/>
                      <w:i w:val="0"/>
                      <w:iCs w:val="0"/>
                      <w:color w:val="0000FF"/>
                      <w:sz w:val="21"/>
                      <w:szCs w:val="21"/>
                      <w:u w:val="none"/>
                    </w:rPr>
                  </w:pPr>
                </w:p>
              </w:tc>
              <w:tc>
                <w:tcPr>
                  <w:tcW w:w="1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E830B3">
                  <w:pPr>
                    <w:jc w:val="center"/>
                    <w:rPr>
                      <w:rFonts w:hint="default" w:ascii="Times New Roman" w:hAnsi="Times New Roman" w:eastAsia="宋体" w:cs="Times New Roman"/>
                      <w:i w:val="0"/>
                      <w:iCs w:val="0"/>
                      <w:color w:val="0000FF"/>
                      <w:sz w:val="21"/>
                      <w:szCs w:val="21"/>
                      <w:u w:val="none"/>
                    </w:rPr>
                  </w:pPr>
                </w:p>
              </w:tc>
              <w:tc>
                <w:tcPr>
                  <w:tcW w:w="5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84877">
                  <w:pPr>
                    <w:keepNext w:val="0"/>
                    <w:keepLines w:val="0"/>
                    <w:widowControl/>
                    <w:suppressLineNumbers w:val="0"/>
                    <w:jc w:val="left"/>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一般固废暂存间（</w:t>
                  </w:r>
                  <w:r>
                    <w:rPr>
                      <w:rFonts w:hint="default" w:ascii="Times New Roman" w:hAnsi="Times New Roman" w:eastAsia="宋体" w:cs="Times New Roman"/>
                      <w:i w:val="0"/>
                      <w:iCs w:val="0"/>
                      <w:color w:val="0000FF"/>
                      <w:kern w:val="0"/>
                      <w:sz w:val="21"/>
                      <w:szCs w:val="21"/>
                      <w:u w:val="none"/>
                      <w:lang w:val="en-US" w:eastAsia="zh-CN" w:bidi="ar"/>
                    </w:rPr>
                    <w:t>200m</w:t>
                  </w:r>
                  <w:r>
                    <w:rPr>
                      <w:rFonts w:hint="default" w:ascii="Times New Roman" w:hAnsi="Times New Roman" w:eastAsia="宋体" w:cs="Times New Roman"/>
                      <w:i w:val="0"/>
                      <w:iCs w:val="0"/>
                      <w:color w:val="0000FF"/>
                      <w:kern w:val="0"/>
                      <w:sz w:val="21"/>
                      <w:szCs w:val="21"/>
                      <w:u w:val="none"/>
                      <w:vertAlign w:val="superscript"/>
                      <w:lang w:val="en-US" w:eastAsia="zh-CN" w:bidi="ar"/>
                    </w:rPr>
                    <w:t>2</w:t>
                  </w:r>
                  <w:r>
                    <w:rPr>
                      <w:rFonts w:hint="eastAsia" w:ascii="宋体" w:hAnsi="宋体" w:eastAsia="宋体" w:cs="宋体"/>
                      <w:i w:val="0"/>
                      <w:iCs w:val="0"/>
                      <w:color w:val="0000FF"/>
                      <w:kern w:val="0"/>
                      <w:sz w:val="21"/>
                      <w:szCs w:val="21"/>
                      <w:u w:val="none"/>
                      <w:lang w:val="en-US" w:eastAsia="zh-CN" w:bidi="ar"/>
                    </w:rPr>
                    <w:t>），由废品回收单位回收处理</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C375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r>
            <w:tr w14:paraId="392D4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DD02BA">
                  <w:pPr>
                    <w:jc w:val="center"/>
                    <w:rPr>
                      <w:rFonts w:hint="default" w:ascii="Times New Roman" w:hAnsi="Times New Roman" w:eastAsia="宋体" w:cs="Times New Roman"/>
                      <w:i w:val="0"/>
                      <w:iCs w:val="0"/>
                      <w:color w:val="0000FF"/>
                      <w:sz w:val="21"/>
                      <w:szCs w:val="21"/>
                      <w:u w:val="none"/>
                    </w:rPr>
                  </w:pPr>
                </w:p>
              </w:tc>
              <w:tc>
                <w:tcPr>
                  <w:tcW w:w="1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CDDA17">
                  <w:pPr>
                    <w:jc w:val="center"/>
                    <w:rPr>
                      <w:rFonts w:hint="default" w:ascii="Times New Roman" w:hAnsi="Times New Roman" w:eastAsia="宋体" w:cs="Times New Roman"/>
                      <w:i w:val="0"/>
                      <w:iCs w:val="0"/>
                      <w:color w:val="0000FF"/>
                      <w:sz w:val="21"/>
                      <w:szCs w:val="21"/>
                      <w:u w:val="none"/>
                    </w:rPr>
                  </w:pPr>
                </w:p>
              </w:tc>
              <w:tc>
                <w:tcPr>
                  <w:tcW w:w="5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5E916">
                  <w:pPr>
                    <w:keepNext w:val="0"/>
                    <w:keepLines w:val="0"/>
                    <w:widowControl/>
                    <w:suppressLineNumbers w:val="0"/>
                    <w:jc w:val="left"/>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生活垃圾由环卫统一清运</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3D41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r>
            <w:tr w14:paraId="48262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D9273A">
                  <w:pPr>
                    <w:jc w:val="center"/>
                    <w:rPr>
                      <w:rFonts w:hint="default" w:ascii="Times New Roman" w:hAnsi="Times New Roman" w:eastAsia="宋体" w:cs="Times New Roman"/>
                      <w:i w:val="0"/>
                      <w:iCs w:val="0"/>
                      <w:color w:val="0000FF"/>
                      <w:sz w:val="21"/>
                      <w:szCs w:val="21"/>
                      <w:u w:val="none"/>
                    </w:rPr>
                  </w:pPr>
                </w:p>
              </w:tc>
              <w:tc>
                <w:tcPr>
                  <w:tcW w:w="1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92E3C9">
                  <w:pPr>
                    <w:jc w:val="center"/>
                    <w:rPr>
                      <w:rFonts w:hint="default" w:ascii="Times New Roman" w:hAnsi="Times New Roman" w:eastAsia="宋体" w:cs="Times New Roman"/>
                      <w:i w:val="0"/>
                      <w:iCs w:val="0"/>
                      <w:color w:val="0000FF"/>
                      <w:sz w:val="21"/>
                      <w:szCs w:val="21"/>
                      <w:u w:val="none"/>
                    </w:rPr>
                  </w:pPr>
                </w:p>
              </w:tc>
              <w:tc>
                <w:tcPr>
                  <w:tcW w:w="5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CD076">
                  <w:pPr>
                    <w:keepNext w:val="0"/>
                    <w:keepLines w:val="0"/>
                    <w:widowControl/>
                    <w:suppressLineNumbers w:val="0"/>
                    <w:jc w:val="left"/>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危废暂存间（</w:t>
                  </w:r>
                  <w:r>
                    <w:rPr>
                      <w:rFonts w:hint="default" w:ascii="Times New Roman" w:hAnsi="Times New Roman" w:eastAsia="宋体" w:cs="Times New Roman"/>
                      <w:i w:val="0"/>
                      <w:iCs w:val="0"/>
                      <w:color w:val="0000FF"/>
                      <w:kern w:val="0"/>
                      <w:sz w:val="21"/>
                      <w:szCs w:val="21"/>
                      <w:u w:val="none"/>
                      <w:lang w:val="en-US" w:eastAsia="zh-CN" w:bidi="ar"/>
                    </w:rPr>
                    <w:t>30m</w:t>
                  </w:r>
                  <w:r>
                    <w:rPr>
                      <w:rFonts w:hint="default" w:ascii="Times New Roman" w:hAnsi="Times New Roman" w:eastAsia="宋体" w:cs="Times New Roman"/>
                      <w:i w:val="0"/>
                      <w:iCs w:val="0"/>
                      <w:color w:val="0000FF"/>
                      <w:kern w:val="0"/>
                      <w:sz w:val="21"/>
                      <w:szCs w:val="21"/>
                      <w:u w:val="none"/>
                      <w:vertAlign w:val="superscript"/>
                      <w:lang w:val="en-US" w:eastAsia="zh-CN" w:bidi="ar"/>
                    </w:rPr>
                    <w:t>2</w:t>
                  </w:r>
                  <w:r>
                    <w:rPr>
                      <w:rFonts w:hint="eastAsia" w:ascii="宋体" w:hAnsi="宋体" w:eastAsia="宋体" w:cs="宋体"/>
                      <w:i w:val="0"/>
                      <w:iCs w:val="0"/>
                      <w:color w:val="0000FF"/>
                      <w:kern w:val="0"/>
                      <w:sz w:val="21"/>
                      <w:szCs w:val="21"/>
                      <w:u w:val="none"/>
                      <w:lang w:val="en-US" w:eastAsia="zh-CN" w:bidi="ar"/>
                    </w:rPr>
                    <w:t>），由有资质处理单位运走</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C810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w:t>
                  </w:r>
                </w:p>
              </w:tc>
            </w:tr>
            <w:tr w14:paraId="4B8E5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4E913">
                  <w:pPr>
                    <w:jc w:val="center"/>
                    <w:rPr>
                      <w:rFonts w:hint="default" w:ascii="Times New Roman" w:hAnsi="Times New Roman" w:eastAsia="宋体" w:cs="Times New Roman"/>
                      <w:i w:val="0"/>
                      <w:iCs w:val="0"/>
                      <w:color w:val="0000FF"/>
                      <w:sz w:val="21"/>
                      <w:szCs w:val="21"/>
                      <w:u w:val="none"/>
                    </w:rPr>
                  </w:pP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82DF5">
                  <w:pPr>
                    <w:keepNext w:val="0"/>
                    <w:keepLines w:val="0"/>
                    <w:widowControl/>
                    <w:suppressLineNumbers w:val="0"/>
                    <w:jc w:val="left"/>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地下水污染防治措施</w:t>
                  </w:r>
                </w:p>
              </w:tc>
              <w:tc>
                <w:tcPr>
                  <w:tcW w:w="5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363C5">
                  <w:pPr>
                    <w:keepNext w:val="0"/>
                    <w:keepLines w:val="0"/>
                    <w:widowControl/>
                    <w:suppressLineNumbers w:val="0"/>
                    <w:jc w:val="left"/>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一般固废暂存间和危废暂存间进行防渗处理</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8CD4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w:t>
                  </w:r>
                </w:p>
              </w:tc>
            </w:tr>
            <w:tr w14:paraId="1FC29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A97078">
                  <w:pPr>
                    <w:jc w:val="center"/>
                    <w:rPr>
                      <w:rFonts w:hint="default" w:ascii="Times New Roman" w:hAnsi="Times New Roman" w:eastAsia="宋体" w:cs="Times New Roman"/>
                      <w:i w:val="0"/>
                      <w:iCs w:val="0"/>
                      <w:color w:val="0000FF"/>
                      <w:sz w:val="21"/>
                      <w:szCs w:val="21"/>
                      <w:u w:val="none"/>
                    </w:rPr>
                  </w:pPr>
                </w:p>
              </w:tc>
              <w:tc>
                <w:tcPr>
                  <w:tcW w:w="1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4F04D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环境风险防治</w:t>
                  </w:r>
                </w:p>
              </w:tc>
              <w:tc>
                <w:tcPr>
                  <w:tcW w:w="5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A70B1">
                  <w:pPr>
                    <w:keepNext w:val="0"/>
                    <w:keepLines w:val="0"/>
                    <w:widowControl/>
                    <w:suppressLineNumbers w:val="0"/>
                    <w:jc w:val="left"/>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配置灭火器，设置报警装置</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068E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12152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9B2FD4">
                  <w:pPr>
                    <w:jc w:val="center"/>
                    <w:rPr>
                      <w:rFonts w:hint="default" w:ascii="Times New Roman" w:hAnsi="Times New Roman" w:eastAsia="宋体" w:cs="Times New Roman"/>
                      <w:i w:val="0"/>
                      <w:iCs w:val="0"/>
                      <w:color w:val="0000FF"/>
                      <w:sz w:val="21"/>
                      <w:szCs w:val="21"/>
                      <w:u w:val="none"/>
                    </w:rPr>
                  </w:pPr>
                </w:p>
              </w:tc>
              <w:tc>
                <w:tcPr>
                  <w:tcW w:w="1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858272">
                  <w:pPr>
                    <w:jc w:val="center"/>
                    <w:rPr>
                      <w:rFonts w:hint="default" w:ascii="Times New Roman" w:hAnsi="Times New Roman" w:eastAsia="宋体" w:cs="Times New Roman"/>
                      <w:i w:val="0"/>
                      <w:iCs w:val="0"/>
                      <w:color w:val="0000FF"/>
                      <w:sz w:val="21"/>
                      <w:szCs w:val="21"/>
                      <w:u w:val="none"/>
                    </w:rPr>
                  </w:pPr>
                </w:p>
              </w:tc>
              <w:tc>
                <w:tcPr>
                  <w:tcW w:w="5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0E2E5">
                  <w:pPr>
                    <w:keepNext w:val="0"/>
                    <w:keepLines w:val="0"/>
                    <w:widowControl/>
                    <w:suppressLineNumbers w:val="0"/>
                    <w:jc w:val="left"/>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消防设置定期检查、维护，电器线路定期检查维修</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1B92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012E6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jc w:val="center"/>
              </w:trPr>
              <w:tc>
                <w:tcPr>
                  <w:tcW w:w="7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CAD417">
                  <w:pPr>
                    <w:jc w:val="center"/>
                    <w:rPr>
                      <w:rFonts w:hint="default" w:ascii="Times New Roman" w:hAnsi="Times New Roman" w:eastAsia="宋体" w:cs="Times New Roman"/>
                      <w:i w:val="0"/>
                      <w:iCs w:val="0"/>
                      <w:color w:val="0000FF"/>
                      <w:sz w:val="21"/>
                      <w:szCs w:val="21"/>
                      <w:u w:val="none"/>
                    </w:rPr>
                  </w:pPr>
                </w:p>
              </w:tc>
              <w:tc>
                <w:tcPr>
                  <w:tcW w:w="1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CCC16">
                  <w:pPr>
                    <w:keepNext w:val="0"/>
                    <w:keepLines w:val="0"/>
                    <w:widowControl/>
                    <w:suppressLineNumbers w:val="0"/>
                    <w:jc w:val="left"/>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环境管理</w:t>
                  </w:r>
                </w:p>
              </w:tc>
              <w:tc>
                <w:tcPr>
                  <w:tcW w:w="50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CB5E3">
                  <w:pPr>
                    <w:keepNext w:val="0"/>
                    <w:keepLines w:val="0"/>
                    <w:widowControl/>
                    <w:suppressLineNumbers w:val="0"/>
                    <w:jc w:val="left"/>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加强企业内部管理，确保各项污染物全面、稳定达标排放：建立健全环境保护组织机构和管理制度</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D550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1</w:t>
                  </w:r>
                </w:p>
              </w:tc>
            </w:tr>
            <w:tr w14:paraId="02A16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7354"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A037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合计</w:t>
                  </w:r>
                </w:p>
              </w:tc>
              <w:tc>
                <w:tcPr>
                  <w:tcW w:w="10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38D5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38</w:t>
                  </w:r>
                </w:p>
              </w:tc>
            </w:tr>
          </w:tbl>
          <w:p w14:paraId="0AFA44E3">
            <w:pPr>
              <w:keepNext w:val="0"/>
              <w:keepLines w:val="0"/>
              <w:pageBreakBefore w:val="0"/>
              <w:widowControl w:val="0"/>
              <w:kinsoku/>
              <w:wordWrap/>
              <w:topLinePunct w:val="0"/>
              <w:autoSpaceDE w:val="0"/>
              <w:autoSpaceDN w:val="0"/>
              <w:bidi w:val="0"/>
              <w:adjustRightInd w:val="0"/>
              <w:snapToGrid w:val="0"/>
              <w:spacing w:line="360" w:lineRule="auto"/>
              <w:rPr>
                <w:rFonts w:hint="default" w:cs="Times New Roman"/>
                <w:b w:val="0"/>
                <w:bCs/>
                <w:color w:val="auto"/>
                <w:kern w:val="0"/>
                <w:sz w:val="24"/>
                <w:szCs w:val="24"/>
                <w:lang w:val="en-US" w:eastAsia="zh-CN"/>
              </w:rPr>
            </w:pPr>
          </w:p>
          <w:p w14:paraId="6B17E435">
            <w:pPr>
              <w:rPr>
                <w:rFonts w:hint="default" w:ascii="宋体" w:hAnsi="宋体" w:eastAsia="宋体" w:cs="宋体"/>
                <w:i w:val="0"/>
                <w:iCs w:val="0"/>
                <w:color w:val="000000"/>
                <w:sz w:val="22"/>
                <w:szCs w:val="22"/>
                <w:u w:val="none"/>
                <w:lang w:val="en-US" w:eastAsia="zh-CN"/>
              </w:rPr>
            </w:pPr>
          </w:p>
          <w:p w14:paraId="031C0194">
            <w:pPr>
              <w:rPr>
                <w:rFonts w:hint="default" w:ascii="宋体" w:hAnsi="宋体" w:eastAsia="宋体" w:cs="宋体"/>
                <w:i w:val="0"/>
                <w:iCs w:val="0"/>
                <w:color w:val="000000"/>
                <w:sz w:val="22"/>
                <w:szCs w:val="22"/>
                <w:u w:val="none"/>
                <w:lang w:val="en-US" w:eastAsia="zh-CN"/>
              </w:rPr>
            </w:pPr>
          </w:p>
          <w:p w14:paraId="3B31016A">
            <w:pPr>
              <w:rPr>
                <w:rFonts w:hint="default" w:ascii="宋体" w:hAnsi="宋体" w:eastAsia="宋体" w:cs="宋体"/>
                <w:i w:val="0"/>
                <w:iCs w:val="0"/>
                <w:color w:val="000000"/>
                <w:sz w:val="22"/>
                <w:szCs w:val="22"/>
                <w:u w:val="none"/>
                <w:lang w:val="en-US" w:eastAsia="zh-CN"/>
              </w:rPr>
            </w:pPr>
          </w:p>
        </w:tc>
      </w:tr>
    </w:tbl>
    <w:p w14:paraId="6E45490F">
      <w:pPr>
        <w:pStyle w:val="31"/>
        <w:spacing w:before="0" w:beforeAutospacing="0" w:after="0" w:afterAutospacing="0" w:line="360" w:lineRule="auto"/>
        <w:ind w:firstLine="480" w:firstLineChars="200"/>
        <w:jc w:val="both"/>
        <w:rPr>
          <w:rFonts w:hint="default" w:ascii="Times New Roman" w:hAnsi="Times New Roman" w:cs="Times New Roman"/>
          <w:color w:val="auto"/>
          <w:szCs w:val="24"/>
        </w:rPr>
        <w:sectPr>
          <w:pgSz w:w="11906" w:h="16838"/>
          <w:pgMar w:top="1701" w:right="1531" w:bottom="1701" w:left="1531" w:header="851" w:footer="851" w:gutter="0"/>
          <w:pgNumType w:fmt="decimal"/>
          <w:cols w:space="720" w:num="1"/>
          <w:docGrid w:linePitch="312" w:charSpace="0"/>
        </w:sectPr>
      </w:pPr>
    </w:p>
    <w:p w14:paraId="19CE1880">
      <w:pPr>
        <w:pStyle w:val="31"/>
        <w:jc w:val="center"/>
        <w:outlineLvl w:val="0"/>
        <w:rPr>
          <w:rFonts w:hint="default" w:ascii="Times New Roman" w:hAnsi="Times New Roman" w:eastAsia="黑体" w:cs="Times New Roman"/>
          <w:snapToGrid w:val="0"/>
          <w:color w:val="auto"/>
          <w:sz w:val="30"/>
          <w:szCs w:val="30"/>
        </w:rPr>
      </w:pPr>
      <w:bookmarkStart w:id="15" w:name="_Toc24667"/>
      <w:bookmarkStart w:id="16" w:name="_Toc20147"/>
      <w:r>
        <w:rPr>
          <w:rFonts w:hint="default" w:ascii="Times New Roman" w:hAnsi="Times New Roman" w:eastAsia="黑体" w:cs="Times New Roman"/>
          <w:snapToGrid w:val="0"/>
          <w:color w:val="auto"/>
          <w:sz w:val="30"/>
          <w:szCs w:val="30"/>
        </w:rPr>
        <w:t>五、</w:t>
      </w:r>
      <w:bookmarkStart w:id="17" w:name="_Hlk54167917"/>
      <w:r>
        <w:rPr>
          <w:rFonts w:hint="default" w:ascii="Times New Roman" w:hAnsi="Times New Roman" w:eastAsia="黑体" w:cs="Times New Roman"/>
          <w:snapToGrid w:val="0"/>
          <w:color w:val="auto"/>
          <w:sz w:val="30"/>
          <w:szCs w:val="30"/>
        </w:rPr>
        <w:t>环境保护措施监督检查清单</w:t>
      </w:r>
      <w:bookmarkEnd w:id="15"/>
      <w:bookmarkEnd w:id="16"/>
      <w:bookmarkEnd w:id="17"/>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1063"/>
        <w:gridCol w:w="1120"/>
        <w:gridCol w:w="2068"/>
        <w:gridCol w:w="3134"/>
      </w:tblGrid>
      <w:tr w14:paraId="314A4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38" w:type="dxa"/>
            <w:tcBorders>
              <w:tl2br w:val="single" w:color="auto" w:sz="4" w:space="0"/>
            </w:tcBorders>
            <w:noWrap w:val="0"/>
            <w:vAlign w:val="top"/>
          </w:tcPr>
          <w:p w14:paraId="3E23722B">
            <w:pPr>
              <w:keepNext w:val="0"/>
              <w:keepLines w:val="0"/>
              <w:widowControl/>
              <w:suppressLineNumbers w:val="0"/>
              <w:spacing w:line="240" w:lineRule="auto"/>
              <w:ind w:firstLine="840" w:firstLineChars="400"/>
              <w:jc w:val="both"/>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内容</w:t>
            </w:r>
          </w:p>
          <w:p w14:paraId="17AF1927">
            <w:pPr>
              <w:keepNext w:val="0"/>
              <w:keepLines w:val="0"/>
              <w:widowControl/>
              <w:suppressLineNumbers w:val="0"/>
              <w:spacing w:line="240" w:lineRule="auto"/>
              <w:ind w:firstLine="630" w:firstLineChars="300"/>
              <w:jc w:val="both"/>
              <w:textAlignment w:val="top"/>
              <w:rPr>
                <w:rFonts w:hint="default" w:ascii="Times New Roman" w:hAnsi="Times New Roman" w:eastAsia="宋体" w:cs="Times New Roman"/>
                <w:i w:val="0"/>
                <w:iCs w:val="0"/>
                <w:color w:val="auto"/>
                <w:kern w:val="0"/>
                <w:sz w:val="21"/>
                <w:szCs w:val="21"/>
                <w:u w:val="none"/>
                <w:lang w:val="en-US" w:eastAsia="zh-CN" w:bidi="ar"/>
              </w:rPr>
            </w:pPr>
          </w:p>
          <w:p w14:paraId="78987889">
            <w:pPr>
              <w:keepNext w:val="0"/>
              <w:keepLines w:val="0"/>
              <w:widowControl/>
              <w:suppressLineNumbers w:val="0"/>
              <w:spacing w:line="240" w:lineRule="auto"/>
              <w:ind w:firstLine="630" w:firstLineChars="300"/>
              <w:jc w:val="both"/>
              <w:textAlignment w:val="top"/>
              <w:rPr>
                <w:rFonts w:hint="default" w:ascii="Times New Roman" w:hAnsi="Times New Roman" w:eastAsia="宋体" w:cs="Times New Roman"/>
                <w:i w:val="0"/>
                <w:iCs w:val="0"/>
                <w:color w:val="auto"/>
                <w:kern w:val="0"/>
                <w:sz w:val="21"/>
                <w:szCs w:val="21"/>
                <w:u w:val="none"/>
                <w:lang w:val="en-US" w:eastAsia="zh-CN" w:bidi="ar"/>
              </w:rPr>
            </w:pPr>
          </w:p>
          <w:p w14:paraId="340BF7E8">
            <w:pPr>
              <w:keepNext w:val="0"/>
              <w:keepLines w:val="0"/>
              <w:widowControl/>
              <w:suppressLineNumbers w:val="0"/>
              <w:spacing w:line="240" w:lineRule="auto"/>
              <w:jc w:val="both"/>
              <w:textAlignment w:val="top"/>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要素</w:t>
            </w:r>
          </w:p>
        </w:tc>
        <w:tc>
          <w:tcPr>
            <w:tcW w:w="1063" w:type="dxa"/>
            <w:noWrap w:val="0"/>
            <w:vAlign w:val="center"/>
          </w:tcPr>
          <w:p w14:paraId="5678773C">
            <w:pPr>
              <w:keepNext w:val="0"/>
              <w:keepLines w:val="0"/>
              <w:widowControl/>
              <w:suppressLineNumbers w:val="0"/>
              <w:spacing w:line="240" w:lineRule="auto"/>
              <w:jc w:val="both"/>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排放口(编号、名称)/污染源</w:t>
            </w:r>
          </w:p>
        </w:tc>
        <w:tc>
          <w:tcPr>
            <w:tcW w:w="1120" w:type="dxa"/>
            <w:noWrap w:val="0"/>
            <w:vAlign w:val="center"/>
          </w:tcPr>
          <w:p w14:paraId="1E6BA6BA">
            <w:pPr>
              <w:keepNext w:val="0"/>
              <w:keepLines w:val="0"/>
              <w:widowControl/>
              <w:suppressLineNumbers w:val="0"/>
              <w:spacing w:line="240" w:lineRule="auto"/>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污染物项目</w:t>
            </w:r>
          </w:p>
        </w:tc>
        <w:tc>
          <w:tcPr>
            <w:tcW w:w="2068" w:type="dxa"/>
            <w:noWrap w:val="0"/>
            <w:vAlign w:val="center"/>
          </w:tcPr>
          <w:p w14:paraId="04C5424F">
            <w:pPr>
              <w:keepNext w:val="0"/>
              <w:keepLines w:val="0"/>
              <w:widowControl/>
              <w:suppressLineNumbers w:val="0"/>
              <w:spacing w:line="240" w:lineRule="auto"/>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环境保护措施</w:t>
            </w:r>
          </w:p>
        </w:tc>
        <w:tc>
          <w:tcPr>
            <w:tcW w:w="3134" w:type="dxa"/>
            <w:noWrap w:val="0"/>
            <w:vAlign w:val="center"/>
          </w:tcPr>
          <w:p w14:paraId="6298DB6C">
            <w:pPr>
              <w:keepNext w:val="0"/>
              <w:keepLines w:val="0"/>
              <w:widowControl/>
              <w:suppressLineNumbers w:val="0"/>
              <w:spacing w:line="240" w:lineRule="auto"/>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执行标准</w:t>
            </w:r>
          </w:p>
        </w:tc>
      </w:tr>
      <w:tr w14:paraId="36672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538" w:type="dxa"/>
            <w:vMerge w:val="restart"/>
            <w:noWrap w:val="0"/>
            <w:vAlign w:val="center"/>
          </w:tcPr>
          <w:p w14:paraId="0523DB22">
            <w:pPr>
              <w:keepNext w:val="0"/>
              <w:keepLines w:val="0"/>
              <w:widowControl/>
              <w:suppressLineNumbers w:val="0"/>
              <w:spacing w:line="240" w:lineRule="auto"/>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大气环境</w:t>
            </w:r>
          </w:p>
        </w:tc>
        <w:tc>
          <w:tcPr>
            <w:tcW w:w="1063" w:type="dxa"/>
            <w:noWrap w:val="0"/>
            <w:vAlign w:val="center"/>
          </w:tcPr>
          <w:p w14:paraId="1F48AC11">
            <w:pPr>
              <w:keepNext w:val="0"/>
              <w:keepLines w:val="0"/>
              <w:widowControl/>
              <w:suppressLineNumbers w:val="0"/>
              <w:spacing w:line="240" w:lineRule="auto"/>
              <w:jc w:val="center"/>
              <w:textAlignment w:val="center"/>
              <w:rPr>
                <w:rFonts w:hint="default" w:ascii="Times New Roman" w:hAnsi="Times New Roman" w:cs="Times New Roman"/>
                <w:color w:val="auto"/>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DA001</w:t>
            </w:r>
          </w:p>
        </w:tc>
        <w:tc>
          <w:tcPr>
            <w:tcW w:w="1120" w:type="dxa"/>
            <w:noWrap w:val="0"/>
            <w:vAlign w:val="center"/>
          </w:tcPr>
          <w:p w14:paraId="56F93FEA">
            <w:pPr>
              <w:keepNext w:val="0"/>
              <w:keepLines w:val="0"/>
              <w:widowControl/>
              <w:suppressLineNumbers w:val="0"/>
              <w:spacing w:line="240" w:lineRule="auto"/>
              <w:jc w:val="both"/>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0000FF"/>
                <w:kern w:val="0"/>
                <w:sz w:val="21"/>
                <w:szCs w:val="21"/>
                <w:u w:val="none"/>
                <w:lang w:val="en-US" w:eastAsia="zh-CN" w:bidi="ar"/>
              </w:rPr>
              <w:t>非甲烷总烃</w:t>
            </w:r>
            <w:r>
              <w:rPr>
                <w:rFonts w:hint="eastAsia" w:cs="Times New Roman"/>
                <w:i w:val="0"/>
                <w:iCs w:val="0"/>
                <w:color w:val="0000FF"/>
                <w:kern w:val="0"/>
                <w:sz w:val="21"/>
                <w:szCs w:val="21"/>
                <w:u w:val="none"/>
                <w:lang w:val="en-US" w:eastAsia="zh-CN" w:bidi="ar"/>
              </w:rPr>
              <w:t>、三甲苯</w:t>
            </w:r>
            <w:r>
              <w:rPr>
                <w:rFonts w:hint="default" w:ascii="Times New Roman" w:hAnsi="Times New Roman" w:eastAsia="宋体" w:cs="Times New Roman"/>
                <w:i w:val="0"/>
                <w:iCs w:val="0"/>
                <w:color w:val="0000FF"/>
                <w:kern w:val="0"/>
                <w:sz w:val="21"/>
                <w:szCs w:val="21"/>
                <w:u w:val="none"/>
                <w:lang w:val="en-US" w:eastAsia="zh-CN" w:bidi="ar"/>
              </w:rPr>
              <w:t>、颗粒物</w:t>
            </w:r>
          </w:p>
        </w:tc>
        <w:tc>
          <w:tcPr>
            <w:tcW w:w="2068" w:type="dxa"/>
            <w:noWrap w:val="0"/>
            <w:vAlign w:val="center"/>
          </w:tcPr>
          <w:p w14:paraId="6532247A">
            <w:pPr>
              <w:keepNext w:val="0"/>
              <w:keepLines w:val="0"/>
              <w:widowControl/>
              <w:suppressLineNumbers w:val="0"/>
              <w:spacing w:line="240" w:lineRule="auto"/>
              <w:jc w:val="center"/>
              <w:textAlignment w:val="center"/>
              <w:rPr>
                <w:rFonts w:hint="default" w:ascii="Times New Roman" w:hAnsi="Times New Roman" w:cs="Times New Roman"/>
                <w:color w:val="0000FF"/>
                <w:kern w:val="0"/>
                <w:szCs w:val="21"/>
                <w:lang w:bidi="ar"/>
              </w:rPr>
            </w:pPr>
            <w:r>
              <w:rPr>
                <w:rFonts w:hint="default" w:ascii="Times New Roman" w:hAnsi="Times New Roman" w:eastAsia="宋体" w:cs="Times New Roman"/>
                <w:i w:val="0"/>
                <w:iCs w:val="0"/>
                <w:color w:val="0000FF"/>
                <w:kern w:val="0"/>
                <w:sz w:val="21"/>
                <w:szCs w:val="21"/>
                <w:u w:val="none"/>
                <w:lang w:val="en-US" w:eastAsia="zh-CN" w:bidi="ar"/>
              </w:rPr>
              <w:t>1套活性炭吸附装置+1根</w:t>
            </w:r>
            <w:r>
              <w:rPr>
                <w:rFonts w:hint="eastAsia" w:cs="Times New Roman"/>
                <w:i w:val="0"/>
                <w:iCs w:val="0"/>
                <w:color w:val="0000FF"/>
                <w:kern w:val="0"/>
                <w:sz w:val="21"/>
                <w:szCs w:val="21"/>
                <w:u w:val="none"/>
                <w:lang w:val="en-US" w:eastAsia="zh-CN" w:bidi="ar"/>
              </w:rPr>
              <w:t>32m</w:t>
            </w:r>
            <w:r>
              <w:rPr>
                <w:rFonts w:hint="default" w:ascii="Times New Roman" w:hAnsi="Times New Roman" w:eastAsia="宋体" w:cs="Times New Roman"/>
                <w:i w:val="0"/>
                <w:iCs w:val="0"/>
                <w:color w:val="0000FF"/>
                <w:kern w:val="0"/>
                <w:sz w:val="21"/>
                <w:szCs w:val="21"/>
                <w:u w:val="none"/>
                <w:lang w:val="en-US" w:eastAsia="zh-CN" w:bidi="ar"/>
              </w:rPr>
              <w:t>高排气筒</w:t>
            </w:r>
          </w:p>
        </w:tc>
        <w:tc>
          <w:tcPr>
            <w:tcW w:w="3134" w:type="dxa"/>
            <w:noWrap w:val="0"/>
            <w:vAlign w:val="center"/>
          </w:tcPr>
          <w:p w14:paraId="4F7CDE3E">
            <w:pPr>
              <w:keepNext w:val="0"/>
              <w:keepLines w:val="0"/>
              <w:widowControl/>
              <w:suppressLineNumbers w:val="0"/>
              <w:spacing w:line="240" w:lineRule="auto"/>
              <w:jc w:val="both"/>
              <w:textAlignment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《四川省固定污染源大气挥发性有机物排放标准》（DB51/2377-2017）</w:t>
            </w:r>
            <w:r>
              <w:rPr>
                <w:rFonts w:hint="default" w:ascii="Times New Roman" w:hAnsi="Times New Roman" w:cs="Times New Roman"/>
                <w:color w:val="auto"/>
                <w:szCs w:val="21"/>
                <w:lang w:val="en-US" w:eastAsia="zh-CN"/>
              </w:rPr>
              <w:t>、《合成树脂工业污染物排放标准》（GB 31572-2015）及“修改单”</w:t>
            </w:r>
          </w:p>
        </w:tc>
      </w:tr>
      <w:tr w14:paraId="23BB1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38" w:type="dxa"/>
            <w:vMerge w:val="continue"/>
            <w:noWrap w:val="0"/>
            <w:vAlign w:val="center"/>
          </w:tcPr>
          <w:p w14:paraId="474F488D">
            <w:pPr>
              <w:spacing w:line="240" w:lineRule="auto"/>
              <w:jc w:val="center"/>
              <w:rPr>
                <w:rFonts w:hint="default" w:ascii="Times New Roman" w:hAnsi="Times New Roman" w:cs="Times New Roman"/>
                <w:color w:val="auto"/>
                <w:szCs w:val="21"/>
              </w:rPr>
            </w:pPr>
          </w:p>
        </w:tc>
        <w:tc>
          <w:tcPr>
            <w:tcW w:w="1063" w:type="dxa"/>
            <w:noWrap w:val="0"/>
            <w:vAlign w:val="center"/>
          </w:tcPr>
          <w:p w14:paraId="0C72110A">
            <w:pPr>
              <w:keepNext w:val="0"/>
              <w:keepLines w:val="0"/>
              <w:widowControl/>
              <w:suppressLineNumbers w:val="0"/>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DA002</w:t>
            </w:r>
          </w:p>
        </w:tc>
        <w:tc>
          <w:tcPr>
            <w:tcW w:w="1120" w:type="dxa"/>
            <w:noWrap w:val="0"/>
            <w:vAlign w:val="center"/>
          </w:tcPr>
          <w:p w14:paraId="540D70EC">
            <w:pPr>
              <w:keepNext w:val="0"/>
              <w:keepLines w:val="0"/>
              <w:widowControl/>
              <w:suppressLineNumbers w:val="0"/>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非甲烷总烃、颗粒物</w:t>
            </w:r>
          </w:p>
        </w:tc>
        <w:tc>
          <w:tcPr>
            <w:tcW w:w="2068" w:type="dxa"/>
            <w:noWrap w:val="0"/>
            <w:vAlign w:val="center"/>
          </w:tcPr>
          <w:p w14:paraId="086D1176">
            <w:pPr>
              <w:spacing w:line="240" w:lineRule="auto"/>
              <w:jc w:val="center"/>
              <w:rPr>
                <w:rFonts w:hint="default" w:ascii="Times New Roman" w:hAnsi="Times New Roman" w:cs="Times New Roman"/>
                <w:color w:val="0000FF"/>
                <w:kern w:val="0"/>
                <w:szCs w:val="21"/>
                <w:lang w:bidi="ar"/>
              </w:rPr>
            </w:pPr>
            <w:r>
              <w:rPr>
                <w:rFonts w:hint="default" w:ascii="Times New Roman" w:hAnsi="Times New Roman" w:eastAsia="宋体" w:cs="Times New Roman"/>
                <w:i w:val="0"/>
                <w:iCs w:val="0"/>
                <w:color w:val="0000FF"/>
                <w:kern w:val="0"/>
                <w:sz w:val="21"/>
                <w:szCs w:val="21"/>
                <w:u w:val="none"/>
                <w:lang w:val="en-US" w:eastAsia="zh-CN" w:bidi="ar"/>
              </w:rPr>
              <w:t>1套活性炭吸附装置+1根</w:t>
            </w:r>
            <w:r>
              <w:rPr>
                <w:rFonts w:hint="eastAsia" w:ascii="Times New Roman" w:hAnsi="Times New Roman" w:eastAsia="宋体" w:cs="Times New Roman"/>
                <w:i w:val="0"/>
                <w:iCs w:val="0"/>
                <w:color w:val="0000FF"/>
                <w:kern w:val="0"/>
                <w:sz w:val="21"/>
                <w:szCs w:val="21"/>
                <w:u w:val="none"/>
                <w:lang w:val="en-US" w:eastAsia="zh-CN" w:bidi="ar"/>
              </w:rPr>
              <w:t>32m</w:t>
            </w:r>
            <w:r>
              <w:rPr>
                <w:rFonts w:hint="default" w:ascii="Times New Roman" w:hAnsi="Times New Roman" w:eastAsia="宋体" w:cs="Times New Roman"/>
                <w:i w:val="0"/>
                <w:iCs w:val="0"/>
                <w:color w:val="0000FF"/>
                <w:kern w:val="0"/>
                <w:sz w:val="21"/>
                <w:szCs w:val="21"/>
                <w:u w:val="none"/>
                <w:lang w:val="en-US" w:eastAsia="zh-CN" w:bidi="ar"/>
              </w:rPr>
              <w:t>高排气筒</w:t>
            </w:r>
          </w:p>
        </w:tc>
        <w:tc>
          <w:tcPr>
            <w:tcW w:w="3134" w:type="dxa"/>
            <w:noWrap w:val="0"/>
            <w:vAlign w:val="center"/>
          </w:tcPr>
          <w:p w14:paraId="6BFB6F64">
            <w:pPr>
              <w:keepNext w:val="0"/>
              <w:keepLines w:val="0"/>
              <w:widowControl/>
              <w:suppressLineNumbers w:val="0"/>
              <w:spacing w:line="240" w:lineRule="auto"/>
              <w:jc w:val="both"/>
              <w:textAlignment w:val="center"/>
              <w:rPr>
                <w:rFonts w:hint="default" w:ascii="Times New Roman" w:hAnsi="Times New Roman" w:cs="Times New Roman"/>
                <w:color w:val="auto"/>
              </w:rPr>
            </w:pPr>
            <w:r>
              <w:rPr>
                <w:rFonts w:hint="default" w:ascii="Times New Roman" w:hAnsi="Times New Roman" w:cs="Times New Roman"/>
                <w:color w:val="0000FF"/>
                <w:szCs w:val="21"/>
                <w:lang w:val="en-US" w:eastAsia="zh-CN"/>
              </w:rPr>
              <w:t>《合成树脂工业污染物排放标准》（GB 31572-2015）及“修改单”</w:t>
            </w:r>
          </w:p>
        </w:tc>
      </w:tr>
      <w:tr w14:paraId="725D4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38" w:type="dxa"/>
            <w:vMerge w:val="continue"/>
            <w:noWrap w:val="0"/>
            <w:vAlign w:val="center"/>
          </w:tcPr>
          <w:p w14:paraId="0726D08C">
            <w:pPr>
              <w:spacing w:line="240" w:lineRule="auto"/>
              <w:jc w:val="center"/>
              <w:rPr>
                <w:rFonts w:hint="default" w:ascii="Times New Roman" w:hAnsi="Times New Roman" w:cs="Times New Roman"/>
                <w:color w:val="auto"/>
                <w:szCs w:val="21"/>
              </w:rPr>
            </w:pPr>
          </w:p>
        </w:tc>
        <w:tc>
          <w:tcPr>
            <w:tcW w:w="1063" w:type="dxa"/>
            <w:noWrap w:val="0"/>
            <w:vAlign w:val="center"/>
          </w:tcPr>
          <w:p w14:paraId="6DBA198C">
            <w:pPr>
              <w:keepNext w:val="0"/>
              <w:keepLines w:val="0"/>
              <w:widowControl/>
              <w:suppressLineNumbers w:val="0"/>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厂区内</w:t>
            </w:r>
          </w:p>
        </w:tc>
        <w:tc>
          <w:tcPr>
            <w:tcW w:w="1120" w:type="dxa"/>
            <w:noWrap w:val="0"/>
            <w:vAlign w:val="center"/>
          </w:tcPr>
          <w:p w14:paraId="1F70A939">
            <w:pPr>
              <w:keepNext w:val="0"/>
              <w:keepLines w:val="0"/>
              <w:widowControl/>
              <w:suppressLineNumbers w:val="0"/>
              <w:spacing w:line="240" w:lineRule="auto"/>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i w:val="0"/>
                <w:iCs w:val="0"/>
                <w:color w:val="0000FF"/>
                <w:kern w:val="0"/>
                <w:sz w:val="21"/>
                <w:szCs w:val="21"/>
                <w:u w:val="none"/>
                <w:lang w:val="en-US" w:eastAsia="zh-CN" w:bidi="ar"/>
              </w:rPr>
              <w:t>非甲烷总烃</w:t>
            </w:r>
            <w:r>
              <w:rPr>
                <w:rFonts w:hint="eastAsia" w:cs="Times New Roman"/>
                <w:i w:val="0"/>
                <w:iCs w:val="0"/>
                <w:color w:val="0000FF"/>
                <w:kern w:val="0"/>
                <w:sz w:val="21"/>
                <w:szCs w:val="21"/>
                <w:u w:val="none"/>
                <w:lang w:val="en-US" w:eastAsia="zh-CN" w:bidi="ar"/>
              </w:rPr>
              <w:t>、三甲苯</w:t>
            </w:r>
          </w:p>
        </w:tc>
        <w:tc>
          <w:tcPr>
            <w:tcW w:w="2068" w:type="dxa"/>
            <w:noWrap w:val="0"/>
            <w:vAlign w:val="center"/>
          </w:tcPr>
          <w:p w14:paraId="48C0DB74">
            <w:pPr>
              <w:keepNext w:val="0"/>
              <w:keepLines w:val="0"/>
              <w:widowControl/>
              <w:suppressLineNumbers w:val="0"/>
              <w:spacing w:line="240" w:lineRule="auto"/>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无组织排放</w:t>
            </w:r>
          </w:p>
        </w:tc>
        <w:tc>
          <w:tcPr>
            <w:tcW w:w="3134" w:type="dxa"/>
            <w:noWrap w:val="0"/>
            <w:vAlign w:val="center"/>
          </w:tcPr>
          <w:p w14:paraId="25640525">
            <w:pPr>
              <w:keepNext w:val="0"/>
              <w:keepLines w:val="0"/>
              <w:widowControl/>
              <w:suppressLineNumbers w:val="0"/>
              <w:spacing w:line="240" w:lineRule="auto"/>
              <w:jc w:val="both"/>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《四川省固定污染源大气挥发性有机物排放标准》（DB51/2377-2017）</w:t>
            </w:r>
          </w:p>
        </w:tc>
      </w:tr>
      <w:tr w14:paraId="73A21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538" w:type="dxa"/>
            <w:vMerge w:val="continue"/>
            <w:noWrap w:val="0"/>
            <w:vAlign w:val="center"/>
          </w:tcPr>
          <w:p w14:paraId="2AFE8C51">
            <w:pPr>
              <w:spacing w:line="240" w:lineRule="auto"/>
              <w:jc w:val="center"/>
              <w:rPr>
                <w:rFonts w:hint="default" w:ascii="Times New Roman" w:hAnsi="Times New Roman" w:cs="Times New Roman"/>
                <w:color w:val="auto"/>
                <w:szCs w:val="21"/>
              </w:rPr>
            </w:pPr>
          </w:p>
        </w:tc>
        <w:tc>
          <w:tcPr>
            <w:tcW w:w="1063" w:type="dxa"/>
            <w:noWrap w:val="0"/>
            <w:vAlign w:val="center"/>
          </w:tcPr>
          <w:p w14:paraId="5BC83D1C">
            <w:pPr>
              <w:keepNext w:val="0"/>
              <w:keepLines w:val="0"/>
              <w:widowControl/>
              <w:suppressLineNumbers w:val="0"/>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厂界</w:t>
            </w:r>
          </w:p>
        </w:tc>
        <w:tc>
          <w:tcPr>
            <w:tcW w:w="1120" w:type="dxa"/>
            <w:noWrap w:val="0"/>
            <w:vAlign w:val="center"/>
          </w:tcPr>
          <w:p w14:paraId="20610CD8">
            <w:pPr>
              <w:keepNext w:val="0"/>
              <w:keepLines w:val="0"/>
              <w:widowControl/>
              <w:suppressLineNumbers w:val="0"/>
              <w:spacing w:line="240" w:lineRule="auto"/>
              <w:jc w:val="both"/>
              <w:textAlignment w:val="center"/>
              <w:rPr>
                <w:rFonts w:hint="default" w:ascii="Times New Roman" w:hAnsi="Times New Roman" w:cs="Times New Roman"/>
                <w:bCs/>
                <w:color w:val="auto"/>
                <w:szCs w:val="21"/>
              </w:rPr>
            </w:pPr>
            <w:r>
              <w:rPr>
                <w:rFonts w:hint="default" w:ascii="Times New Roman" w:hAnsi="Times New Roman" w:eastAsia="宋体" w:cs="Times New Roman"/>
                <w:i w:val="0"/>
                <w:iCs w:val="0"/>
                <w:color w:val="0000FF"/>
                <w:kern w:val="0"/>
                <w:sz w:val="21"/>
                <w:szCs w:val="21"/>
                <w:u w:val="none"/>
                <w:lang w:val="en-US" w:eastAsia="zh-CN" w:bidi="ar"/>
              </w:rPr>
              <w:t>非甲烷总烃</w:t>
            </w:r>
            <w:r>
              <w:rPr>
                <w:rFonts w:hint="eastAsia" w:cs="Times New Roman"/>
                <w:i w:val="0"/>
                <w:iCs w:val="0"/>
                <w:color w:val="0000FF"/>
                <w:kern w:val="0"/>
                <w:sz w:val="21"/>
                <w:szCs w:val="21"/>
                <w:u w:val="none"/>
                <w:lang w:val="en-US" w:eastAsia="zh-CN" w:bidi="ar"/>
              </w:rPr>
              <w:t>、三甲苯</w:t>
            </w:r>
            <w:r>
              <w:rPr>
                <w:rFonts w:hint="default" w:ascii="Times New Roman" w:hAnsi="Times New Roman" w:eastAsia="宋体" w:cs="Times New Roman"/>
                <w:i w:val="0"/>
                <w:iCs w:val="0"/>
                <w:color w:val="0000FF"/>
                <w:kern w:val="0"/>
                <w:sz w:val="21"/>
                <w:szCs w:val="21"/>
                <w:u w:val="none"/>
                <w:lang w:val="en-US" w:eastAsia="zh-CN" w:bidi="ar"/>
              </w:rPr>
              <w:t>、颗粒物</w:t>
            </w:r>
          </w:p>
        </w:tc>
        <w:tc>
          <w:tcPr>
            <w:tcW w:w="2068" w:type="dxa"/>
            <w:noWrap w:val="0"/>
            <w:vAlign w:val="center"/>
          </w:tcPr>
          <w:p w14:paraId="4C6DA075">
            <w:pPr>
              <w:keepNext w:val="0"/>
              <w:keepLines w:val="0"/>
              <w:widowControl/>
              <w:suppressLineNumbers w:val="0"/>
              <w:spacing w:line="240" w:lineRule="auto"/>
              <w:jc w:val="center"/>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无组织排放</w:t>
            </w:r>
          </w:p>
        </w:tc>
        <w:tc>
          <w:tcPr>
            <w:tcW w:w="3134" w:type="dxa"/>
            <w:noWrap w:val="0"/>
            <w:vAlign w:val="center"/>
          </w:tcPr>
          <w:p w14:paraId="2A4B0956">
            <w:pPr>
              <w:keepNext w:val="0"/>
              <w:keepLines w:val="0"/>
              <w:widowControl/>
              <w:suppressLineNumbers w:val="0"/>
              <w:spacing w:line="240" w:lineRule="auto"/>
              <w:jc w:val="both"/>
              <w:textAlignment w:val="center"/>
              <w:rPr>
                <w:rFonts w:hint="default" w:ascii="Times New Roman" w:hAnsi="Times New Roman" w:cs="Times New Roman"/>
                <w:color w:val="auto"/>
              </w:rPr>
            </w:pPr>
            <w:r>
              <w:rPr>
                <w:rFonts w:hint="default" w:ascii="Times New Roman" w:hAnsi="Times New Roman" w:cs="Times New Roman"/>
                <w:color w:val="auto"/>
                <w:szCs w:val="21"/>
              </w:rPr>
              <w:t>《四川省固定污染源大气挥发性有机物排放标准》（DB51/2377-2017）</w:t>
            </w:r>
            <w:r>
              <w:rPr>
                <w:rFonts w:hint="default" w:ascii="Times New Roman" w:hAnsi="Times New Roman" w:cs="Times New Roman"/>
                <w:color w:val="auto"/>
                <w:szCs w:val="21"/>
                <w:lang w:val="en-US" w:eastAsia="zh-CN"/>
              </w:rPr>
              <w:t>、《合成树脂工业污染物排放标准》（GB 31572-2015）及“修改单”</w:t>
            </w:r>
          </w:p>
        </w:tc>
      </w:tr>
      <w:tr w14:paraId="4C980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538" w:type="dxa"/>
            <w:noWrap w:val="0"/>
            <w:vAlign w:val="center"/>
          </w:tcPr>
          <w:p w14:paraId="66E7596F">
            <w:pPr>
              <w:keepNext w:val="0"/>
              <w:keepLines w:val="0"/>
              <w:widowControl/>
              <w:suppressLineNumbers w:val="0"/>
              <w:spacing w:line="240" w:lineRule="auto"/>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地表水环境</w:t>
            </w:r>
          </w:p>
        </w:tc>
        <w:tc>
          <w:tcPr>
            <w:tcW w:w="1063" w:type="dxa"/>
            <w:noWrap w:val="0"/>
            <w:vAlign w:val="center"/>
          </w:tcPr>
          <w:p w14:paraId="26C20AC8">
            <w:pPr>
              <w:keepNext w:val="0"/>
              <w:keepLines w:val="0"/>
              <w:widowControl/>
              <w:suppressLineNumbers w:val="0"/>
              <w:spacing w:line="240" w:lineRule="auto"/>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综合废水DW001（依托）</w:t>
            </w:r>
          </w:p>
        </w:tc>
        <w:tc>
          <w:tcPr>
            <w:tcW w:w="1120" w:type="dxa"/>
            <w:noWrap w:val="0"/>
            <w:vAlign w:val="center"/>
          </w:tcPr>
          <w:p w14:paraId="69464DDE">
            <w:pPr>
              <w:keepNext w:val="0"/>
              <w:keepLines w:val="0"/>
              <w:widowControl/>
              <w:suppressLineNumbers w:val="0"/>
              <w:spacing w:line="240" w:lineRule="auto"/>
              <w:jc w:val="both"/>
              <w:textAlignment w:val="center"/>
              <w:rPr>
                <w:rFonts w:hint="default" w:ascii="Times New Roman" w:hAnsi="Times New Roman" w:cs="Times New Roman"/>
                <w:color w:val="auto"/>
                <w:szCs w:val="21"/>
                <w:lang w:val="en-US"/>
              </w:rPr>
            </w:pPr>
            <w:r>
              <w:rPr>
                <w:rFonts w:hint="default" w:ascii="Times New Roman" w:hAnsi="Times New Roman" w:eastAsia="宋体" w:cs="Times New Roman"/>
                <w:i w:val="0"/>
                <w:iCs w:val="0"/>
                <w:color w:val="auto"/>
                <w:kern w:val="0"/>
                <w:sz w:val="21"/>
                <w:szCs w:val="21"/>
                <w:u w:val="none"/>
                <w:lang w:val="en-US" w:eastAsia="zh-CN" w:bidi="ar"/>
              </w:rPr>
              <w:t>pH、COD、BOD</w:t>
            </w:r>
            <w:r>
              <w:rPr>
                <w:rFonts w:hint="default" w:ascii="Times New Roman" w:hAnsi="Times New Roman" w:eastAsia="宋体" w:cs="Times New Roman"/>
                <w:i w:val="0"/>
                <w:iCs w:val="0"/>
                <w:color w:val="auto"/>
                <w:kern w:val="0"/>
                <w:sz w:val="21"/>
                <w:szCs w:val="21"/>
                <w:u w:val="none"/>
                <w:vertAlign w:val="subscript"/>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、SS、NH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r>
              <w:rPr>
                <w:rFonts w:hint="eastAsia" w:cs="Times New Roman"/>
                <w:i w:val="0"/>
                <w:iCs w:val="0"/>
                <w:color w:val="auto"/>
                <w:kern w:val="0"/>
                <w:sz w:val="21"/>
                <w:szCs w:val="21"/>
                <w:u w:val="none"/>
                <w:lang w:val="en-US" w:eastAsia="zh-CN" w:bidi="ar"/>
              </w:rPr>
              <w:t>、总磷</w:t>
            </w:r>
          </w:p>
        </w:tc>
        <w:tc>
          <w:tcPr>
            <w:tcW w:w="2068" w:type="dxa"/>
            <w:noWrap w:val="0"/>
            <w:vAlign w:val="center"/>
          </w:tcPr>
          <w:p w14:paraId="7063FB1C">
            <w:pPr>
              <w:keepNext w:val="0"/>
              <w:keepLines w:val="0"/>
              <w:widowControl/>
              <w:suppressLineNumbers w:val="0"/>
              <w:spacing w:line="240" w:lineRule="auto"/>
              <w:jc w:val="both"/>
              <w:textAlignment w:val="center"/>
              <w:rPr>
                <w:rFonts w:hint="default" w:ascii="Times New Roman" w:hAnsi="Times New Roman" w:cs="Times New Roman"/>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生活污水排入租赁厂房已建生化池（处理能力100m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/d）处理达标后排入园区污水管网；冷却塔废水经厂区总排口排入市政污水管网。</w:t>
            </w:r>
          </w:p>
        </w:tc>
        <w:tc>
          <w:tcPr>
            <w:tcW w:w="3134" w:type="dxa"/>
            <w:noWrap w:val="0"/>
            <w:vAlign w:val="center"/>
          </w:tcPr>
          <w:p w14:paraId="1D41C91D">
            <w:pPr>
              <w:keepNext w:val="0"/>
              <w:keepLines w:val="0"/>
              <w:widowControl/>
              <w:suppressLineNumbers w:val="0"/>
              <w:spacing w:line="240" w:lineRule="auto"/>
              <w:jc w:val="both"/>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进入市政污水管网：《污水综合排放标准》(GB8978-1996)三级标准</w:t>
            </w:r>
          </w:p>
        </w:tc>
      </w:tr>
      <w:tr w14:paraId="28C35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38" w:type="dxa"/>
            <w:noWrap w:val="0"/>
            <w:vAlign w:val="center"/>
          </w:tcPr>
          <w:p w14:paraId="0B9CE3C1">
            <w:pPr>
              <w:keepNext w:val="0"/>
              <w:keepLines w:val="0"/>
              <w:widowControl/>
              <w:suppressLineNumbers w:val="0"/>
              <w:spacing w:line="240" w:lineRule="auto"/>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声环境</w:t>
            </w:r>
          </w:p>
        </w:tc>
        <w:tc>
          <w:tcPr>
            <w:tcW w:w="1063" w:type="dxa"/>
            <w:noWrap w:val="0"/>
            <w:vAlign w:val="center"/>
          </w:tcPr>
          <w:p w14:paraId="0A9AD081">
            <w:pPr>
              <w:keepNext w:val="0"/>
              <w:keepLines w:val="0"/>
              <w:widowControl/>
              <w:suppressLineNumbers w:val="0"/>
              <w:spacing w:line="240" w:lineRule="auto"/>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厂界噪声</w:t>
            </w:r>
          </w:p>
        </w:tc>
        <w:tc>
          <w:tcPr>
            <w:tcW w:w="1120" w:type="dxa"/>
            <w:noWrap w:val="0"/>
            <w:vAlign w:val="center"/>
          </w:tcPr>
          <w:p w14:paraId="60030159">
            <w:pPr>
              <w:keepNext w:val="0"/>
              <w:keepLines w:val="0"/>
              <w:widowControl/>
              <w:suppressLineNumbers w:val="0"/>
              <w:spacing w:line="240" w:lineRule="auto"/>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噪声</w:t>
            </w:r>
          </w:p>
        </w:tc>
        <w:tc>
          <w:tcPr>
            <w:tcW w:w="2068" w:type="dxa"/>
            <w:noWrap w:val="0"/>
            <w:vAlign w:val="center"/>
          </w:tcPr>
          <w:p w14:paraId="66D5EAC6">
            <w:pPr>
              <w:keepNext w:val="0"/>
              <w:keepLines w:val="0"/>
              <w:widowControl/>
              <w:suppressLineNumbers w:val="0"/>
              <w:spacing w:line="240" w:lineRule="auto"/>
              <w:jc w:val="both"/>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基础减振、厂房隔声、距离衰减</w:t>
            </w:r>
          </w:p>
        </w:tc>
        <w:tc>
          <w:tcPr>
            <w:tcW w:w="3134" w:type="dxa"/>
            <w:noWrap w:val="0"/>
            <w:vAlign w:val="center"/>
          </w:tcPr>
          <w:p w14:paraId="5CA826A1">
            <w:pPr>
              <w:keepNext w:val="0"/>
              <w:keepLines w:val="0"/>
              <w:widowControl/>
              <w:suppressLineNumbers w:val="0"/>
              <w:spacing w:line="240" w:lineRule="auto"/>
              <w:jc w:val="both"/>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《工业企业厂界环境噪声排放标准》（GB12348-2008）3类标准</w:t>
            </w:r>
          </w:p>
        </w:tc>
      </w:tr>
      <w:tr w14:paraId="45C2C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noWrap w:val="0"/>
            <w:vAlign w:val="center"/>
          </w:tcPr>
          <w:p w14:paraId="17635097">
            <w:pPr>
              <w:keepNext w:val="0"/>
              <w:keepLines w:val="0"/>
              <w:widowControl/>
              <w:suppressLineNumbers w:val="0"/>
              <w:spacing w:line="240" w:lineRule="auto"/>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电磁辐射</w:t>
            </w:r>
          </w:p>
        </w:tc>
        <w:tc>
          <w:tcPr>
            <w:tcW w:w="7385" w:type="dxa"/>
            <w:gridSpan w:val="4"/>
            <w:noWrap w:val="0"/>
            <w:vAlign w:val="center"/>
          </w:tcPr>
          <w:p w14:paraId="2BE772E8">
            <w:pPr>
              <w:keepNext w:val="0"/>
              <w:keepLines w:val="0"/>
              <w:widowControl/>
              <w:suppressLineNumbers w:val="0"/>
              <w:spacing w:line="240" w:lineRule="auto"/>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w:t>
            </w:r>
          </w:p>
        </w:tc>
      </w:tr>
      <w:tr w14:paraId="6FB9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38" w:type="dxa"/>
            <w:noWrap w:val="0"/>
            <w:vAlign w:val="center"/>
          </w:tcPr>
          <w:p w14:paraId="129EABB9">
            <w:pPr>
              <w:keepNext w:val="0"/>
              <w:keepLines w:val="0"/>
              <w:widowControl/>
              <w:suppressLineNumbers w:val="0"/>
              <w:spacing w:line="240" w:lineRule="auto"/>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固体废物</w:t>
            </w:r>
          </w:p>
        </w:tc>
        <w:tc>
          <w:tcPr>
            <w:tcW w:w="7385" w:type="dxa"/>
            <w:gridSpan w:val="4"/>
            <w:noWrap w:val="0"/>
            <w:vAlign w:val="center"/>
          </w:tcPr>
          <w:p w14:paraId="26A977E9">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 一般工业固废：一般固废暂存间：位于</w:t>
            </w:r>
            <w:r>
              <w:rPr>
                <w:rFonts w:hint="eastAsia" w:cs="Times New Roman"/>
                <w:i w:val="0"/>
                <w:iCs w:val="0"/>
                <w:color w:val="auto"/>
                <w:kern w:val="0"/>
                <w:sz w:val="21"/>
                <w:szCs w:val="21"/>
                <w:u w:val="none"/>
                <w:lang w:val="en-US" w:eastAsia="zh-CN" w:bidi="ar"/>
              </w:rPr>
              <w:t>1号厂房</w:t>
            </w:r>
            <w:r>
              <w:rPr>
                <w:rFonts w:hint="default" w:ascii="Times New Roman" w:hAnsi="Times New Roman" w:eastAsia="宋体" w:cs="Times New Roman"/>
                <w:i w:val="0"/>
                <w:iCs w:val="0"/>
                <w:color w:val="auto"/>
                <w:kern w:val="0"/>
                <w:sz w:val="21"/>
                <w:szCs w:val="21"/>
                <w:u w:val="none"/>
                <w:lang w:val="en-US" w:eastAsia="zh-CN" w:bidi="ar"/>
              </w:rPr>
              <w:t>西侧，面积约200m</w:t>
            </w:r>
            <w:r>
              <w:rPr>
                <w:rFonts w:hint="default" w:ascii="Times New Roman" w:hAnsi="Times New Roman" w:eastAsia="宋体" w:cs="Times New Roman"/>
                <w:i w:val="0"/>
                <w:iCs w:val="0"/>
                <w:color w:val="auto"/>
                <w:kern w:val="0"/>
                <w:sz w:val="21"/>
                <w:szCs w:val="21"/>
                <w:u w:val="none"/>
                <w:vertAlign w:val="superscript"/>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，采取“三防”（防渗漏、防雨淋、防扬尘）措施，并设置标识标牌。废包装材料等暂存于一般固废暂存间，定期交物资回收部门处理。</w:t>
            </w:r>
          </w:p>
          <w:p w14:paraId="34A12FB3">
            <w:pPr>
              <w:keepNext w:val="0"/>
              <w:keepLines w:val="0"/>
              <w:widowControl/>
              <w:suppressLineNumbers w:val="0"/>
              <w:spacing w:line="240" w:lineRule="auto"/>
              <w:jc w:val="both"/>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2.危险废物：位于厂区西侧，面积约30m</w:t>
            </w:r>
            <w:r>
              <w:rPr>
                <w:rFonts w:hint="default" w:ascii="Times New Roman" w:hAnsi="Times New Roman" w:eastAsia="宋体" w:cs="Times New Roman"/>
                <w:i w:val="0"/>
                <w:iCs w:val="0"/>
                <w:color w:val="auto"/>
                <w:kern w:val="0"/>
                <w:sz w:val="21"/>
                <w:szCs w:val="21"/>
                <w:u w:val="none"/>
                <w:vertAlign w:val="superscript"/>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危废收集后定期交有资质的危废处置单位处理，危险废物贮存库采取必要的防风、防晒、防雨、防漏、防渗、防腐以及其他环境污染防治措施。按《危险废物识别标志设置技术规范》（HJ1276-2022）要求，设置危险废物识别标志，并明确规定危废标签需包含数字识别码和二维码，实现危险废物“一物一码”管理。</w:t>
            </w:r>
          </w:p>
          <w:p w14:paraId="78E9BC64">
            <w:pPr>
              <w:keepNext w:val="0"/>
              <w:keepLines w:val="0"/>
              <w:widowControl/>
              <w:suppressLineNumbers w:val="0"/>
              <w:spacing w:line="240" w:lineRule="auto"/>
              <w:jc w:val="both"/>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3.生活垃圾厂房内设置垃圾桶收集生活垃圾，生活垃圾由市政环卫部门统一收运处理。</w:t>
            </w:r>
          </w:p>
        </w:tc>
      </w:tr>
      <w:tr w14:paraId="06B03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38" w:type="dxa"/>
            <w:noWrap w:val="0"/>
            <w:vAlign w:val="center"/>
          </w:tcPr>
          <w:p w14:paraId="16541BA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土壤及地下水</w:t>
            </w:r>
          </w:p>
          <w:p w14:paraId="22189D72">
            <w:pPr>
              <w:keepNext w:val="0"/>
              <w:keepLines w:val="0"/>
              <w:widowControl/>
              <w:suppressLineNumbers w:val="0"/>
              <w:spacing w:line="240" w:lineRule="auto"/>
              <w:jc w:val="center"/>
              <w:textAlignment w:val="center"/>
              <w:rPr>
                <w:rFonts w:hint="default" w:ascii="Times New Roman" w:hAnsi="Times New Roman" w:cs="Times New Roman"/>
                <w:color w:val="auto"/>
                <w:spacing w:val="-8"/>
                <w:szCs w:val="21"/>
              </w:rPr>
            </w:pPr>
            <w:r>
              <w:rPr>
                <w:rFonts w:hint="default" w:ascii="Times New Roman" w:hAnsi="Times New Roman" w:eastAsia="宋体" w:cs="Times New Roman"/>
                <w:i w:val="0"/>
                <w:iCs w:val="0"/>
                <w:color w:val="auto"/>
                <w:kern w:val="0"/>
                <w:sz w:val="21"/>
                <w:szCs w:val="21"/>
                <w:u w:val="none"/>
                <w:lang w:val="en-US" w:eastAsia="zh-CN" w:bidi="ar"/>
              </w:rPr>
              <w:t>污染防治措施</w:t>
            </w:r>
          </w:p>
        </w:tc>
        <w:tc>
          <w:tcPr>
            <w:tcW w:w="7385" w:type="dxa"/>
            <w:gridSpan w:val="4"/>
            <w:noWrap w:val="0"/>
            <w:vAlign w:val="center"/>
          </w:tcPr>
          <w:p w14:paraId="19263336">
            <w:pPr>
              <w:keepNext w:val="0"/>
              <w:keepLines w:val="0"/>
              <w:widowControl/>
              <w:suppressLineNumbers w:val="0"/>
              <w:spacing w:line="240" w:lineRule="auto"/>
              <w:jc w:val="center"/>
              <w:textAlignment w:val="center"/>
              <w:rPr>
                <w:rFonts w:hint="default" w:ascii="Times New Roman" w:hAnsi="Times New Roman" w:cs="Times New Roman"/>
                <w:color w:val="auto"/>
              </w:rPr>
            </w:pPr>
            <w:r>
              <w:rPr>
                <w:rFonts w:hint="default" w:ascii="Times New Roman" w:hAnsi="Times New Roman" w:eastAsia="宋体" w:cs="Times New Roman"/>
                <w:i w:val="0"/>
                <w:iCs w:val="0"/>
                <w:color w:val="auto"/>
                <w:kern w:val="0"/>
                <w:sz w:val="21"/>
                <w:szCs w:val="21"/>
                <w:u w:val="none"/>
                <w:lang w:val="en-US" w:eastAsia="zh-CN" w:bidi="ar"/>
              </w:rPr>
              <w:t>分区防渗。</w:t>
            </w:r>
          </w:p>
        </w:tc>
      </w:tr>
      <w:tr w14:paraId="33259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1538" w:type="dxa"/>
            <w:noWrap w:val="0"/>
            <w:vAlign w:val="center"/>
          </w:tcPr>
          <w:p w14:paraId="5481374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生态保护措施</w:t>
            </w:r>
          </w:p>
        </w:tc>
        <w:tc>
          <w:tcPr>
            <w:tcW w:w="7385" w:type="dxa"/>
            <w:gridSpan w:val="4"/>
            <w:noWrap w:val="0"/>
            <w:vAlign w:val="center"/>
          </w:tcPr>
          <w:p w14:paraId="38EBCEB0">
            <w:pPr>
              <w:keepNext w:val="0"/>
              <w:keepLines w:val="0"/>
              <w:widowControl/>
              <w:suppressLineNumbers w:val="0"/>
              <w:spacing w:line="240" w:lineRule="auto"/>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w:t>
            </w:r>
          </w:p>
        </w:tc>
      </w:tr>
      <w:tr w14:paraId="61FD2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1538" w:type="dxa"/>
            <w:noWrap w:val="0"/>
            <w:vAlign w:val="center"/>
          </w:tcPr>
          <w:p w14:paraId="7C1A37C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环境风险</w:t>
            </w:r>
          </w:p>
          <w:p w14:paraId="13893FF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防范措施</w:t>
            </w:r>
          </w:p>
        </w:tc>
        <w:tc>
          <w:tcPr>
            <w:tcW w:w="7385" w:type="dxa"/>
            <w:gridSpan w:val="4"/>
            <w:noWrap w:val="0"/>
            <w:vAlign w:val="center"/>
          </w:tcPr>
          <w:p w14:paraId="2E400FD2">
            <w:pPr>
              <w:keepNext w:val="0"/>
              <w:keepLines w:val="0"/>
              <w:widowControl/>
              <w:suppressLineNumbers w:val="0"/>
              <w:spacing w:line="240" w:lineRule="auto"/>
              <w:jc w:val="both"/>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（1）储存的风险防范措施</w:t>
            </w:r>
          </w:p>
          <w:p w14:paraId="47D04777">
            <w:pPr>
              <w:keepNext w:val="0"/>
              <w:keepLines w:val="0"/>
              <w:widowControl/>
              <w:suppressLineNumbers w:val="0"/>
              <w:spacing w:line="240" w:lineRule="auto"/>
              <w:jc w:val="both"/>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原辅料暂存区（液态原料暂存区）：润滑油、防锈剂等采用桶装，储存桶下方设置有托盘。配备有消防沙、灭火器等应急物资。</w:t>
            </w:r>
          </w:p>
          <w:p w14:paraId="3A8DDDDA">
            <w:pPr>
              <w:keepNext w:val="0"/>
              <w:keepLines w:val="0"/>
              <w:widowControl/>
              <w:suppressLineNumbers w:val="0"/>
              <w:spacing w:line="240" w:lineRule="auto"/>
              <w:jc w:val="both"/>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危险废物贮存库：地面采取防腐防渗处理，设置截流沟和收集井，储存桶下方设置托盘，配备有消防沙、灭火器等应急物资。</w:t>
            </w:r>
          </w:p>
          <w:p w14:paraId="2A462FD8">
            <w:pPr>
              <w:keepNext w:val="0"/>
              <w:keepLines w:val="0"/>
              <w:widowControl/>
              <w:suppressLineNumbers w:val="0"/>
              <w:spacing w:line="240" w:lineRule="auto"/>
              <w:jc w:val="both"/>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（2）火灾事故及消防安全防范措施</w:t>
            </w:r>
          </w:p>
          <w:p w14:paraId="3E973E39">
            <w:pPr>
              <w:keepNext w:val="0"/>
              <w:keepLines w:val="0"/>
              <w:widowControl/>
              <w:suppressLineNumbers w:val="0"/>
              <w:spacing w:line="240" w:lineRule="auto"/>
              <w:jc w:val="both"/>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厂区配备一定数量的消防器材，预留必要的安全间距，远离火种和热源；定期对操作人员进行安全生产与安全知识培训，并制定严格的安全操作规程，熟悉灭火器材的位置和灭火器的使用方法。</w:t>
            </w:r>
          </w:p>
        </w:tc>
      </w:tr>
      <w:tr w14:paraId="61119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1" w:hRule="atLeast"/>
          <w:jc w:val="center"/>
        </w:trPr>
        <w:tc>
          <w:tcPr>
            <w:tcW w:w="1538" w:type="dxa"/>
            <w:noWrap w:val="0"/>
            <w:vAlign w:val="center"/>
          </w:tcPr>
          <w:p w14:paraId="60A0D0F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其他环境</w:t>
            </w:r>
          </w:p>
          <w:p w14:paraId="2E88E4C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管理要求</w:t>
            </w:r>
          </w:p>
        </w:tc>
        <w:tc>
          <w:tcPr>
            <w:tcW w:w="7385" w:type="dxa"/>
            <w:gridSpan w:val="4"/>
            <w:noWrap w:val="0"/>
            <w:vAlign w:val="top"/>
          </w:tcPr>
          <w:p w14:paraId="2439EF3B">
            <w:pPr>
              <w:keepNext w:val="0"/>
              <w:keepLines w:val="0"/>
              <w:widowControl/>
              <w:suppressLineNumbers w:val="0"/>
              <w:spacing w:line="240" w:lineRule="auto"/>
              <w:jc w:val="both"/>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1、安排兼职人员负责企业环保工作。加强工艺全过程的环保管理。</w:t>
            </w:r>
          </w:p>
          <w:p w14:paraId="49835BB9">
            <w:pPr>
              <w:keepNext w:val="0"/>
              <w:keepLines w:val="0"/>
              <w:widowControl/>
              <w:suppressLineNumbers w:val="0"/>
              <w:spacing w:line="240" w:lineRule="auto"/>
              <w:jc w:val="both"/>
              <w:textAlignment w:val="top"/>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2、排污许可制度：根据《排污许可管理条例》（中华人民共和国国务院令 第736号）、《排污许可证申请与核发技术规范 橡胶和塑料制品工业》（HJ1122-2020）和《排污许可证申请与核发技术规范 印刷工业》（HJ1066-2019）的相关要求，排污单位应取得排污许可证，未取得排污许可证，不得排放污染物。排污单位应当按照相关法律法规、标准和技术规范等要求运行大气及水污染防治设施，并进行维护和管理，保证设施正常运行。</w:t>
            </w:r>
          </w:p>
          <w:p w14:paraId="06F13892">
            <w:pPr>
              <w:keepNext w:val="0"/>
              <w:keepLines w:val="0"/>
              <w:widowControl/>
              <w:suppressLineNumbers w:val="0"/>
              <w:spacing w:line="240" w:lineRule="auto"/>
              <w:jc w:val="both"/>
              <w:textAlignment w:val="top"/>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3、企业投产前，根据《关于开展排污口规范化整治试点工作的意见</w:t>
            </w:r>
            <w:r>
              <w:rPr>
                <w:rFonts w:hint="eastAsia" w:cs="Times New Roman"/>
                <w:i w:val="0"/>
                <w:iCs w:val="0"/>
                <w:color w:val="auto"/>
                <w:kern w:val="0"/>
                <w:sz w:val="21"/>
                <w:szCs w:val="21"/>
                <w:u w:val="none"/>
                <w:lang w:val="en-US" w:eastAsia="zh-CN" w:bidi="ar"/>
              </w:rPr>
              <w:t>》《</w:t>
            </w:r>
            <w:r>
              <w:rPr>
                <w:rFonts w:hint="default" w:ascii="Times New Roman" w:hAnsi="Times New Roman" w:eastAsia="宋体" w:cs="Times New Roman"/>
                <w:i w:val="0"/>
                <w:iCs w:val="0"/>
                <w:color w:val="auto"/>
                <w:kern w:val="0"/>
                <w:sz w:val="21"/>
                <w:szCs w:val="21"/>
                <w:u w:val="none"/>
                <w:lang w:val="en-US" w:eastAsia="zh-CN" w:bidi="ar"/>
              </w:rPr>
              <w:t>关于加快排污口规范化整治试点工作的通知</w:t>
            </w:r>
            <w:r>
              <w:rPr>
                <w:rFonts w:hint="eastAsia" w:cs="Times New Roman"/>
                <w:i w:val="0"/>
                <w:iCs w:val="0"/>
                <w:color w:val="auto"/>
                <w:kern w:val="0"/>
                <w:sz w:val="21"/>
                <w:szCs w:val="21"/>
                <w:u w:val="none"/>
                <w:lang w:val="en-US" w:eastAsia="zh-CN" w:bidi="ar"/>
              </w:rPr>
              <w:t>》的</w:t>
            </w:r>
            <w:r>
              <w:rPr>
                <w:rFonts w:hint="default" w:ascii="Times New Roman" w:hAnsi="Times New Roman" w:eastAsia="宋体" w:cs="Times New Roman"/>
                <w:i w:val="0"/>
                <w:iCs w:val="0"/>
                <w:color w:val="auto"/>
                <w:kern w:val="0"/>
                <w:sz w:val="21"/>
                <w:szCs w:val="21"/>
                <w:u w:val="none"/>
                <w:lang w:val="en-US" w:eastAsia="zh-CN" w:bidi="ar"/>
              </w:rPr>
              <w:t>要求，规整排污口。</w:t>
            </w:r>
          </w:p>
          <w:p w14:paraId="53E089BC">
            <w:pPr>
              <w:keepNext w:val="0"/>
              <w:keepLines w:val="0"/>
              <w:widowControl/>
              <w:suppressLineNumbers w:val="0"/>
              <w:spacing w:line="240" w:lineRule="auto"/>
              <w:jc w:val="both"/>
              <w:textAlignment w:val="top"/>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1"/>
                <w:szCs w:val="21"/>
                <w:u w:val="none"/>
                <w:lang w:val="en-US" w:eastAsia="zh-CN" w:bidi="ar"/>
              </w:rPr>
              <w:t>4、企业应建立环境管理台账制度，落实环境管理台账记录的责任部门和责任人，明确工作职责，包括台账的记录、整理、维护和管理等，并对台账记录结果的真实性、完整性和</w:t>
            </w:r>
            <w:r>
              <w:rPr>
                <w:rFonts w:hint="eastAsia" w:ascii="Times New Roman" w:hAnsi="Times New Roman" w:eastAsia="宋体" w:cs="Times New Roman"/>
                <w:i w:val="0"/>
                <w:iCs w:val="0"/>
                <w:color w:val="auto"/>
                <w:kern w:val="0"/>
                <w:sz w:val="21"/>
                <w:szCs w:val="21"/>
                <w:u w:val="none"/>
                <w:lang w:val="en-US" w:eastAsia="zh-CN" w:bidi="ar"/>
              </w:rPr>
              <w:t>规范</w:t>
            </w:r>
            <w:r>
              <w:rPr>
                <w:rFonts w:hint="default" w:ascii="Times New Roman" w:hAnsi="Times New Roman" w:eastAsia="宋体" w:cs="Times New Roman"/>
                <w:i w:val="0"/>
                <w:iCs w:val="0"/>
                <w:color w:val="auto"/>
                <w:kern w:val="0"/>
                <w:sz w:val="21"/>
                <w:szCs w:val="21"/>
                <w:u w:val="none"/>
                <w:lang w:val="en-US" w:eastAsia="zh-CN" w:bidi="ar"/>
              </w:rPr>
              <w:t>性负责。台账保</w:t>
            </w:r>
            <w:r>
              <w:rPr>
                <w:rFonts w:hint="eastAsia" w:ascii="Times New Roman" w:hAnsi="Times New Roman" w:eastAsia="宋体" w:cs="Times New Roman"/>
                <w:i w:val="0"/>
                <w:iCs w:val="0"/>
                <w:color w:val="auto"/>
                <w:kern w:val="0"/>
                <w:sz w:val="21"/>
                <w:szCs w:val="21"/>
                <w:u w:val="none"/>
                <w:lang w:val="en-US" w:eastAsia="zh-CN" w:bidi="ar"/>
              </w:rPr>
              <w:t>存</w:t>
            </w:r>
            <w:r>
              <w:rPr>
                <w:rFonts w:hint="default" w:ascii="Times New Roman" w:hAnsi="Times New Roman" w:eastAsia="宋体" w:cs="Times New Roman"/>
                <w:i w:val="0"/>
                <w:iCs w:val="0"/>
                <w:color w:val="auto"/>
                <w:kern w:val="0"/>
                <w:sz w:val="21"/>
                <w:szCs w:val="21"/>
                <w:u w:val="none"/>
                <w:lang w:val="en-US" w:eastAsia="zh-CN" w:bidi="ar"/>
              </w:rPr>
              <w:t>期限不得少于五年。</w:t>
            </w:r>
          </w:p>
          <w:p w14:paraId="53732C4A">
            <w:pPr>
              <w:keepNext w:val="0"/>
              <w:keepLines w:val="0"/>
              <w:widowControl/>
              <w:numPr>
                <w:ilvl w:val="0"/>
                <w:numId w:val="0"/>
              </w:numPr>
              <w:suppressLineNumbers w:val="0"/>
              <w:spacing w:line="240" w:lineRule="auto"/>
              <w:jc w:val="both"/>
              <w:textAlignment w:val="top"/>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根据国务院令第682号《建设项目环境保护管理条例》(2017年修订)相关要求进行竣工环境保护验收。</w:t>
            </w:r>
          </w:p>
          <w:p w14:paraId="529F4A56">
            <w:pPr>
              <w:keepNext w:val="0"/>
              <w:keepLines w:val="0"/>
              <w:widowControl/>
              <w:numPr>
                <w:ilvl w:val="0"/>
                <w:numId w:val="0"/>
              </w:numPr>
              <w:suppressLineNumbers w:val="0"/>
              <w:spacing w:line="240" w:lineRule="auto"/>
              <w:jc w:val="both"/>
              <w:textAlignment w:val="top"/>
              <w:rPr>
                <w:rFonts w:hint="default" w:ascii="Times New Roman" w:hAnsi="Times New Roman" w:eastAsia="宋体" w:cs="Times New Roman"/>
                <w:i w:val="0"/>
                <w:iCs w:val="0"/>
                <w:color w:val="auto"/>
                <w:kern w:val="0"/>
                <w:sz w:val="21"/>
                <w:szCs w:val="21"/>
                <w:u w:val="none"/>
                <w:lang w:val="en-US" w:eastAsia="zh-CN" w:bidi="ar"/>
              </w:rPr>
            </w:pPr>
          </w:p>
          <w:p w14:paraId="25A713E1">
            <w:pPr>
              <w:keepNext w:val="0"/>
              <w:keepLines w:val="0"/>
              <w:widowControl/>
              <w:numPr>
                <w:ilvl w:val="0"/>
                <w:numId w:val="0"/>
              </w:numPr>
              <w:suppressLineNumbers w:val="0"/>
              <w:spacing w:line="240" w:lineRule="auto"/>
              <w:jc w:val="both"/>
              <w:textAlignment w:val="top"/>
              <w:rPr>
                <w:rFonts w:hint="default" w:ascii="Times New Roman" w:hAnsi="Times New Roman" w:eastAsia="宋体" w:cs="Times New Roman"/>
                <w:i w:val="0"/>
                <w:iCs w:val="0"/>
                <w:color w:val="auto"/>
                <w:kern w:val="0"/>
                <w:sz w:val="21"/>
                <w:szCs w:val="21"/>
                <w:u w:val="none"/>
                <w:lang w:val="en-US" w:eastAsia="zh-CN" w:bidi="ar"/>
              </w:rPr>
            </w:pPr>
          </w:p>
          <w:p w14:paraId="1D70E3D2">
            <w:pPr>
              <w:keepNext w:val="0"/>
              <w:keepLines w:val="0"/>
              <w:widowControl/>
              <w:numPr>
                <w:ilvl w:val="0"/>
                <w:numId w:val="0"/>
              </w:numPr>
              <w:suppressLineNumbers w:val="0"/>
              <w:spacing w:line="240" w:lineRule="auto"/>
              <w:jc w:val="both"/>
              <w:textAlignment w:val="top"/>
              <w:rPr>
                <w:rFonts w:hint="default" w:ascii="Times New Roman" w:hAnsi="Times New Roman" w:eastAsia="宋体" w:cs="Times New Roman"/>
                <w:i w:val="0"/>
                <w:iCs w:val="0"/>
                <w:color w:val="auto"/>
                <w:kern w:val="0"/>
                <w:sz w:val="21"/>
                <w:szCs w:val="21"/>
                <w:u w:val="none"/>
                <w:lang w:val="en-US" w:eastAsia="zh-CN" w:bidi="ar"/>
              </w:rPr>
            </w:pPr>
          </w:p>
          <w:p w14:paraId="3E9457EB">
            <w:pPr>
              <w:keepNext w:val="0"/>
              <w:keepLines w:val="0"/>
              <w:widowControl/>
              <w:numPr>
                <w:ilvl w:val="0"/>
                <w:numId w:val="0"/>
              </w:numPr>
              <w:suppressLineNumbers w:val="0"/>
              <w:spacing w:line="240" w:lineRule="auto"/>
              <w:jc w:val="both"/>
              <w:textAlignment w:val="top"/>
              <w:rPr>
                <w:rFonts w:hint="default" w:ascii="Times New Roman" w:hAnsi="Times New Roman" w:eastAsia="宋体" w:cs="Times New Roman"/>
                <w:i w:val="0"/>
                <w:iCs w:val="0"/>
                <w:color w:val="auto"/>
                <w:kern w:val="0"/>
                <w:sz w:val="21"/>
                <w:szCs w:val="21"/>
                <w:u w:val="none"/>
                <w:lang w:val="en-US" w:eastAsia="zh-CN" w:bidi="ar"/>
              </w:rPr>
            </w:pPr>
          </w:p>
          <w:p w14:paraId="66E2A48D">
            <w:pPr>
              <w:keepNext w:val="0"/>
              <w:keepLines w:val="0"/>
              <w:widowControl/>
              <w:numPr>
                <w:ilvl w:val="0"/>
                <w:numId w:val="0"/>
              </w:numPr>
              <w:suppressLineNumbers w:val="0"/>
              <w:spacing w:line="240" w:lineRule="auto"/>
              <w:jc w:val="both"/>
              <w:textAlignment w:val="top"/>
              <w:rPr>
                <w:rFonts w:hint="default" w:ascii="Times New Roman" w:hAnsi="Times New Roman" w:eastAsia="宋体" w:cs="Times New Roman"/>
                <w:i w:val="0"/>
                <w:iCs w:val="0"/>
                <w:color w:val="auto"/>
                <w:kern w:val="0"/>
                <w:sz w:val="21"/>
                <w:szCs w:val="21"/>
                <w:u w:val="none"/>
                <w:lang w:val="en-US" w:eastAsia="zh-CN" w:bidi="ar"/>
              </w:rPr>
            </w:pPr>
          </w:p>
          <w:p w14:paraId="58E74F51">
            <w:pPr>
              <w:keepNext w:val="0"/>
              <w:keepLines w:val="0"/>
              <w:widowControl/>
              <w:numPr>
                <w:ilvl w:val="0"/>
                <w:numId w:val="0"/>
              </w:numPr>
              <w:suppressLineNumbers w:val="0"/>
              <w:spacing w:line="240" w:lineRule="auto"/>
              <w:jc w:val="both"/>
              <w:textAlignment w:val="top"/>
              <w:rPr>
                <w:rFonts w:hint="default" w:ascii="Times New Roman" w:hAnsi="Times New Roman" w:eastAsia="宋体" w:cs="Times New Roman"/>
                <w:i w:val="0"/>
                <w:iCs w:val="0"/>
                <w:color w:val="auto"/>
                <w:kern w:val="0"/>
                <w:sz w:val="21"/>
                <w:szCs w:val="21"/>
                <w:u w:val="none"/>
                <w:lang w:val="en-US" w:eastAsia="zh-CN" w:bidi="ar"/>
              </w:rPr>
            </w:pPr>
          </w:p>
          <w:p w14:paraId="01422ECB">
            <w:pPr>
              <w:keepNext w:val="0"/>
              <w:keepLines w:val="0"/>
              <w:widowControl/>
              <w:numPr>
                <w:ilvl w:val="0"/>
                <w:numId w:val="0"/>
              </w:numPr>
              <w:suppressLineNumbers w:val="0"/>
              <w:spacing w:line="240" w:lineRule="auto"/>
              <w:jc w:val="both"/>
              <w:textAlignment w:val="top"/>
              <w:rPr>
                <w:rFonts w:hint="default" w:ascii="Times New Roman" w:hAnsi="Times New Roman" w:eastAsia="宋体" w:cs="Times New Roman"/>
                <w:i w:val="0"/>
                <w:iCs w:val="0"/>
                <w:color w:val="auto"/>
                <w:kern w:val="0"/>
                <w:sz w:val="21"/>
                <w:szCs w:val="21"/>
                <w:u w:val="none"/>
                <w:lang w:val="en-US" w:eastAsia="zh-CN" w:bidi="ar"/>
              </w:rPr>
            </w:pPr>
          </w:p>
          <w:p w14:paraId="4B397C7F">
            <w:pPr>
              <w:keepNext w:val="0"/>
              <w:keepLines w:val="0"/>
              <w:widowControl/>
              <w:numPr>
                <w:ilvl w:val="0"/>
                <w:numId w:val="0"/>
              </w:numPr>
              <w:suppressLineNumbers w:val="0"/>
              <w:spacing w:line="240" w:lineRule="auto"/>
              <w:jc w:val="both"/>
              <w:textAlignment w:val="top"/>
              <w:rPr>
                <w:rFonts w:hint="default" w:ascii="Times New Roman" w:hAnsi="Times New Roman" w:eastAsia="宋体" w:cs="Times New Roman"/>
                <w:i w:val="0"/>
                <w:iCs w:val="0"/>
                <w:color w:val="auto"/>
                <w:kern w:val="0"/>
                <w:sz w:val="21"/>
                <w:szCs w:val="21"/>
                <w:u w:val="none"/>
                <w:lang w:val="en-US" w:eastAsia="zh-CN" w:bidi="ar"/>
              </w:rPr>
            </w:pPr>
          </w:p>
          <w:p w14:paraId="6BD988D2">
            <w:pPr>
              <w:keepNext w:val="0"/>
              <w:keepLines w:val="0"/>
              <w:widowControl/>
              <w:numPr>
                <w:ilvl w:val="0"/>
                <w:numId w:val="0"/>
              </w:numPr>
              <w:suppressLineNumbers w:val="0"/>
              <w:spacing w:line="240" w:lineRule="auto"/>
              <w:jc w:val="both"/>
              <w:textAlignment w:val="top"/>
              <w:rPr>
                <w:rFonts w:hint="default" w:ascii="Times New Roman" w:hAnsi="Times New Roman" w:eastAsia="宋体" w:cs="Times New Roman"/>
                <w:i w:val="0"/>
                <w:iCs w:val="0"/>
                <w:color w:val="auto"/>
                <w:kern w:val="0"/>
                <w:sz w:val="21"/>
                <w:szCs w:val="21"/>
                <w:u w:val="none"/>
                <w:lang w:val="en-US" w:eastAsia="zh-CN" w:bidi="ar"/>
              </w:rPr>
            </w:pPr>
          </w:p>
          <w:p w14:paraId="64A8B045">
            <w:pPr>
              <w:keepNext w:val="0"/>
              <w:keepLines w:val="0"/>
              <w:widowControl/>
              <w:numPr>
                <w:ilvl w:val="0"/>
                <w:numId w:val="0"/>
              </w:numPr>
              <w:suppressLineNumbers w:val="0"/>
              <w:spacing w:line="240" w:lineRule="auto"/>
              <w:jc w:val="both"/>
              <w:textAlignment w:val="top"/>
              <w:rPr>
                <w:rFonts w:hint="default" w:ascii="Times New Roman" w:hAnsi="Times New Roman" w:eastAsia="宋体" w:cs="Times New Roman"/>
                <w:i w:val="0"/>
                <w:iCs w:val="0"/>
                <w:color w:val="auto"/>
                <w:kern w:val="0"/>
                <w:sz w:val="21"/>
                <w:szCs w:val="21"/>
                <w:u w:val="none"/>
                <w:lang w:val="en-US" w:eastAsia="zh-CN" w:bidi="ar"/>
              </w:rPr>
            </w:pPr>
          </w:p>
          <w:p w14:paraId="69736531">
            <w:pPr>
              <w:keepNext w:val="0"/>
              <w:keepLines w:val="0"/>
              <w:widowControl/>
              <w:numPr>
                <w:ilvl w:val="0"/>
                <w:numId w:val="0"/>
              </w:numPr>
              <w:suppressLineNumbers w:val="0"/>
              <w:spacing w:line="240" w:lineRule="auto"/>
              <w:jc w:val="both"/>
              <w:textAlignment w:val="top"/>
              <w:rPr>
                <w:rFonts w:hint="default" w:ascii="Times New Roman" w:hAnsi="Times New Roman" w:eastAsia="宋体" w:cs="Times New Roman"/>
                <w:i w:val="0"/>
                <w:iCs w:val="0"/>
                <w:color w:val="auto"/>
                <w:kern w:val="0"/>
                <w:sz w:val="21"/>
                <w:szCs w:val="21"/>
                <w:u w:val="none"/>
                <w:lang w:val="en-US" w:eastAsia="zh-CN" w:bidi="ar"/>
              </w:rPr>
            </w:pPr>
          </w:p>
          <w:p w14:paraId="479E176F">
            <w:pPr>
              <w:keepNext w:val="0"/>
              <w:keepLines w:val="0"/>
              <w:widowControl/>
              <w:numPr>
                <w:ilvl w:val="0"/>
                <w:numId w:val="0"/>
              </w:numPr>
              <w:suppressLineNumbers w:val="0"/>
              <w:spacing w:line="240" w:lineRule="auto"/>
              <w:jc w:val="both"/>
              <w:textAlignment w:val="top"/>
              <w:rPr>
                <w:rFonts w:hint="default" w:ascii="Times New Roman" w:hAnsi="Times New Roman" w:eastAsia="宋体" w:cs="Times New Roman"/>
                <w:i w:val="0"/>
                <w:iCs w:val="0"/>
                <w:color w:val="auto"/>
                <w:kern w:val="0"/>
                <w:sz w:val="21"/>
                <w:szCs w:val="21"/>
                <w:u w:val="none"/>
                <w:lang w:val="en-US" w:eastAsia="zh-CN" w:bidi="ar"/>
              </w:rPr>
            </w:pPr>
          </w:p>
          <w:p w14:paraId="253231AA">
            <w:pPr>
              <w:keepNext w:val="0"/>
              <w:keepLines w:val="0"/>
              <w:widowControl/>
              <w:numPr>
                <w:ilvl w:val="0"/>
                <w:numId w:val="0"/>
              </w:numPr>
              <w:suppressLineNumbers w:val="0"/>
              <w:spacing w:line="240" w:lineRule="auto"/>
              <w:jc w:val="both"/>
              <w:textAlignment w:val="top"/>
              <w:rPr>
                <w:rFonts w:hint="default" w:ascii="Times New Roman" w:hAnsi="Times New Roman" w:eastAsia="宋体" w:cs="Times New Roman"/>
                <w:i w:val="0"/>
                <w:iCs w:val="0"/>
                <w:color w:val="auto"/>
                <w:kern w:val="0"/>
                <w:sz w:val="21"/>
                <w:szCs w:val="21"/>
                <w:u w:val="none"/>
                <w:lang w:val="en-US" w:eastAsia="zh-CN" w:bidi="ar"/>
              </w:rPr>
            </w:pPr>
          </w:p>
          <w:p w14:paraId="1C755CB4">
            <w:pPr>
              <w:keepNext w:val="0"/>
              <w:keepLines w:val="0"/>
              <w:widowControl/>
              <w:numPr>
                <w:ilvl w:val="0"/>
                <w:numId w:val="0"/>
              </w:numPr>
              <w:suppressLineNumbers w:val="0"/>
              <w:spacing w:line="240" w:lineRule="auto"/>
              <w:jc w:val="both"/>
              <w:textAlignment w:val="top"/>
              <w:rPr>
                <w:rFonts w:hint="default" w:ascii="Times New Roman" w:hAnsi="Times New Roman" w:eastAsia="宋体" w:cs="Times New Roman"/>
                <w:i w:val="0"/>
                <w:iCs w:val="0"/>
                <w:color w:val="auto"/>
                <w:kern w:val="0"/>
                <w:sz w:val="21"/>
                <w:szCs w:val="21"/>
                <w:u w:val="none"/>
                <w:lang w:val="en-US" w:eastAsia="zh-CN" w:bidi="ar"/>
              </w:rPr>
            </w:pPr>
          </w:p>
          <w:p w14:paraId="6A823786">
            <w:pPr>
              <w:keepNext w:val="0"/>
              <w:keepLines w:val="0"/>
              <w:widowControl/>
              <w:numPr>
                <w:ilvl w:val="0"/>
                <w:numId w:val="0"/>
              </w:numPr>
              <w:suppressLineNumbers w:val="0"/>
              <w:spacing w:line="240" w:lineRule="auto"/>
              <w:jc w:val="both"/>
              <w:textAlignment w:val="top"/>
              <w:rPr>
                <w:rFonts w:hint="default" w:ascii="Times New Roman" w:hAnsi="Times New Roman" w:eastAsia="宋体" w:cs="Times New Roman"/>
                <w:i w:val="0"/>
                <w:iCs w:val="0"/>
                <w:color w:val="auto"/>
                <w:kern w:val="0"/>
                <w:sz w:val="21"/>
                <w:szCs w:val="21"/>
                <w:u w:val="none"/>
                <w:lang w:val="en-US" w:eastAsia="zh-CN" w:bidi="ar"/>
              </w:rPr>
            </w:pPr>
          </w:p>
          <w:p w14:paraId="6A004734">
            <w:pPr>
              <w:keepNext w:val="0"/>
              <w:keepLines w:val="0"/>
              <w:widowControl/>
              <w:numPr>
                <w:ilvl w:val="0"/>
                <w:numId w:val="0"/>
              </w:numPr>
              <w:suppressLineNumbers w:val="0"/>
              <w:spacing w:line="240" w:lineRule="auto"/>
              <w:jc w:val="both"/>
              <w:textAlignment w:val="top"/>
              <w:rPr>
                <w:rFonts w:hint="default" w:ascii="Times New Roman" w:hAnsi="Times New Roman" w:eastAsia="宋体" w:cs="Times New Roman"/>
                <w:i w:val="0"/>
                <w:iCs w:val="0"/>
                <w:color w:val="auto"/>
                <w:kern w:val="0"/>
                <w:sz w:val="21"/>
                <w:szCs w:val="21"/>
                <w:u w:val="none"/>
                <w:lang w:val="en-US" w:eastAsia="zh-CN" w:bidi="ar"/>
              </w:rPr>
            </w:pPr>
          </w:p>
          <w:p w14:paraId="13EBD2CD">
            <w:pPr>
              <w:keepNext w:val="0"/>
              <w:keepLines w:val="0"/>
              <w:widowControl/>
              <w:numPr>
                <w:ilvl w:val="0"/>
                <w:numId w:val="0"/>
              </w:numPr>
              <w:suppressLineNumbers w:val="0"/>
              <w:spacing w:line="240" w:lineRule="auto"/>
              <w:jc w:val="both"/>
              <w:textAlignment w:val="top"/>
              <w:rPr>
                <w:rFonts w:hint="default" w:ascii="Times New Roman" w:hAnsi="Times New Roman" w:eastAsia="宋体" w:cs="Times New Roman"/>
                <w:i w:val="0"/>
                <w:iCs w:val="0"/>
                <w:color w:val="auto"/>
                <w:kern w:val="0"/>
                <w:sz w:val="21"/>
                <w:szCs w:val="21"/>
                <w:u w:val="none"/>
                <w:lang w:val="en-US" w:eastAsia="zh-CN" w:bidi="ar"/>
              </w:rPr>
            </w:pPr>
          </w:p>
          <w:p w14:paraId="1B1B88FE">
            <w:pPr>
              <w:keepNext w:val="0"/>
              <w:keepLines w:val="0"/>
              <w:widowControl/>
              <w:numPr>
                <w:ilvl w:val="0"/>
                <w:numId w:val="0"/>
              </w:numPr>
              <w:suppressLineNumbers w:val="0"/>
              <w:spacing w:line="240" w:lineRule="auto"/>
              <w:jc w:val="both"/>
              <w:textAlignment w:val="top"/>
              <w:rPr>
                <w:rFonts w:hint="default" w:ascii="Times New Roman" w:hAnsi="Times New Roman" w:eastAsia="宋体" w:cs="Times New Roman"/>
                <w:i w:val="0"/>
                <w:iCs w:val="0"/>
                <w:color w:val="auto"/>
                <w:kern w:val="0"/>
                <w:sz w:val="21"/>
                <w:szCs w:val="21"/>
                <w:u w:val="none"/>
                <w:lang w:val="en-US" w:eastAsia="zh-CN" w:bidi="ar"/>
              </w:rPr>
            </w:pPr>
          </w:p>
          <w:p w14:paraId="698033B5">
            <w:pPr>
              <w:keepNext w:val="0"/>
              <w:keepLines w:val="0"/>
              <w:widowControl/>
              <w:numPr>
                <w:ilvl w:val="0"/>
                <w:numId w:val="0"/>
              </w:numPr>
              <w:suppressLineNumbers w:val="0"/>
              <w:spacing w:line="240" w:lineRule="auto"/>
              <w:jc w:val="both"/>
              <w:textAlignment w:val="top"/>
              <w:rPr>
                <w:rFonts w:hint="default" w:ascii="Times New Roman" w:hAnsi="Times New Roman" w:eastAsia="宋体" w:cs="Times New Roman"/>
                <w:i w:val="0"/>
                <w:iCs w:val="0"/>
                <w:color w:val="auto"/>
                <w:kern w:val="0"/>
                <w:sz w:val="21"/>
                <w:szCs w:val="21"/>
                <w:u w:val="none"/>
                <w:lang w:val="en-US" w:eastAsia="zh-CN" w:bidi="ar"/>
              </w:rPr>
            </w:pPr>
          </w:p>
          <w:p w14:paraId="1775DB6A">
            <w:pPr>
              <w:keepNext w:val="0"/>
              <w:keepLines w:val="0"/>
              <w:widowControl/>
              <w:numPr>
                <w:ilvl w:val="0"/>
                <w:numId w:val="0"/>
              </w:numPr>
              <w:suppressLineNumbers w:val="0"/>
              <w:spacing w:line="240" w:lineRule="auto"/>
              <w:jc w:val="both"/>
              <w:textAlignment w:val="top"/>
              <w:rPr>
                <w:rFonts w:hint="default" w:ascii="Times New Roman" w:hAnsi="Times New Roman" w:eastAsia="宋体" w:cs="Times New Roman"/>
                <w:i w:val="0"/>
                <w:iCs w:val="0"/>
                <w:color w:val="auto"/>
                <w:kern w:val="0"/>
                <w:sz w:val="21"/>
                <w:szCs w:val="21"/>
                <w:u w:val="none"/>
                <w:lang w:val="en-US" w:eastAsia="zh-CN" w:bidi="ar"/>
              </w:rPr>
            </w:pPr>
          </w:p>
          <w:p w14:paraId="524D1309">
            <w:pPr>
              <w:keepNext w:val="0"/>
              <w:keepLines w:val="0"/>
              <w:widowControl/>
              <w:numPr>
                <w:ilvl w:val="0"/>
                <w:numId w:val="0"/>
              </w:numPr>
              <w:suppressLineNumbers w:val="0"/>
              <w:spacing w:line="240" w:lineRule="auto"/>
              <w:jc w:val="both"/>
              <w:textAlignment w:val="top"/>
              <w:rPr>
                <w:rFonts w:hint="default" w:ascii="Times New Roman" w:hAnsi="Times New Roman" w:eastAsia="宋体" w:cs="Times New Roman"/>
                <w:i w:val="0"/>
                <w:iCs w:val="0"/>
                <w:color w:val="auto"/>
                <w:kern w:val="0"/>
                <w:sz w:val="21"/>
                <w:szCs w:val="21"/>
                <w:u w:val="none"/>
                <w:lang w:val="en-US" w:eastAsia="zh-CN" w:bidi="ar"/>
              </w:rPr>
            </w:pPr>
          </w:p>
          <w:p w14:paraId="1123AD2B">
            <w:pPr>
              <w:keepNext w:val="0"/>
              <w:keepLines w:val="0"/>
              <w:widowControl/>
              <w:numPr>
                <w:ilvl w:val="0"/>
                <w:numId w:val="0"/>
              </w:numPr>
              <w:suppressLineNumbers w:val="0"/>
              <w:spacing w:line="240" w:lineRule="auto"/>
              <w:jc w:val="both"/>
              <w:textAlignment w:val="top"/>
              <w:rPr>
                <w:rFonts w:hint="default" w:ascii="Times New Roman" w:hAnsi="Times New Roman" w:eastAsia="宋体" w:cs="Times New Roman"/>
                <w:i w:val="0"/>
                <w:iCs w:val="0"/>
                <w:color w:val="auto"/>
                <w:kern w:val="0"/>
                <w:sz w:val="21"/>
                <w:szCs w:val="21"/>
                <w:u w:val="none"/>
                <w:lang w:val="en-US" w:eastAsia="zh-CN" w:bidi="ar"/>
              </w:rPr>
            </w:pPr>
          </w:p>
          <w:p w14:paraId="42DE430E">
            <w:pPr>
              <w:keepNext w:val="0"/>
              <w:keepLines w:val="0"/>
              <w:widowControl/>
              <w:numPr>
                <w:ilvl w:val="0"/>
                <w:numId w:val="0"/>
              </w:numPr>
              <w:suppressLineNumbers w:val="0"/>
              <w:spacing w:line="240" w:lineRule="auto"/>
              <w:jc w:val="both"/>
              <w:textAlignment w:val="top"/>
              <w:rPr>
                <w:rFonts w:hint="default" w:ascii="Times New Roman" w:hAnsi="Times New Roman" w:eastAsia="宋体" w:cs="Times New Roman"/>
                <w:i w:val="0"/>
                <w:iCs w:val="0"/>
                <w:color w:val="auto"/>
                <w:kern w:val="0"/>
                <w:sz w:val="21"/>
                <w:szCs w:val="21"/>
                <w:u w:val="none"/>
                <w:lang w:val="en-US" w:eastAsia="zh-CN" w:bidi="ar"/>
              </w:rPr>
            </w:pPr>
          </w:p>
          <w:p w14:paraId="57F681E5">
            <w:pPr>
              <w:keepNext w:val="0"/>
              <w:keepLines w:val="0"/>
              <w:widowControl/>
              <w:numPr>
                <w:ilvl w:val="0"/>
                <w:numId w:val="0"/>
              </w:numPr>
              <w:suppressLineNumbers w:val="0"/>
              <w:spacing w:line="240" w:lineRule="auto"/>
              <w:jc w:val="both"/>
              <w:textAlignment w:val="top"/>
              <w:rPr>
                <w:rFonts w:hint="default" w:ascii="Times New Roman" w:hAnsi="Times New Roman" w:eastAsia="宋体" w:cs="Times New Roman"/>
                <w:i w:val="0"/>
                <w:iCs w:val="0"/>
                <w:color w:val="auto"/>
                <w:kern w:val="0"/>
                <w:sz w:val="21"/>
                <w:szCs w:val="21"/>
                <w:u w:val="none"/>
                <w:lang w:val="en-US" w:eastAsia="zh-CN" w:bidi="ar"/>
              </w:rPr>
            </w:pPr>
          </w:p>
          <w:p w14:paraId="2CF10F06">
            <w:pPr>
              <w:keepNext w:val="0"/>
              <w:keepLines w:val="0"/>
              <w:widowControl/>
              <w:numPr>
                <w:ilvl w:val="0"/>
                <w:numId w:val="0"/>
              </w:numPr>
              <w:suppressLineNumbers w:val="0"/>
              <w:spacing w:line="240" w:lineRule="auto"/>
              <w:jc w:val="both"/>
              <w:textAlignment w:val="top"/>
              <w:rPr>
                <w:rFonts w:hint="default" w:ascii="Times New Roman" w:hAnsi="Times New Roman" w:eastAsia="宋体" w:cs="Times New Roman"/>
                <w:i w:val="0"/>
                <w:iCs w:val="0"/>
                <w:color w:val="auto"/>
                <w:kern w:val="0"/>
                <w:sz w:val="21"/>
                <w:szCs w:val="21"/>
                <w:u w:val="none"/>
                <w:lang w:val="en-US" w:eastAsia="zh-CN" w:bidi="ar"/>
              </w:rPr>
            </w:pPr>
          </w:p>
          <w:p w14:paraId="5C089AF2">
            <w:pPr>
              <w:keepNext w:val="0"/>
              <w:keepLines w:val="0"/>
              <w:widowControl/>
              <w:numPr>
                <w:ilvl w:val="0"/>
                <w:numId w:val="0"/>
              </w:numPr>
              <w:suppressLineNumbers w:val="0"/>
              <w:spacing w:line="240" w:lineRule="auto"/>
              <w:jc w:val="both"/>
              <w:textAlignment w:val="top"/>
              <w:rPr>
                <w:rFonts w:hint="default" w:ascii="Times New Roman" w:hAnsi="Times New Roman" w:eastAsia="宋体" w:cs="Times New Roman"/>
                <w:i w:val="0"/>
                <w:iCs w:val="0"/>
                <w:color w:val="auto"/>
                <w:kern w:val="0"/>
                <w:sz w:val="21"/>
                <w:szCs w:val="21"/>
                <w:u w:val="none"/>
                <w:lang w:val="en-US" w:eastAsia="zh-CN" w:bidi="ar"/>
              </w:rPr>
            </w:pPr>
          </w:p>
          <w:p w14:paraId="7C7F6BD5">
            <w:pPr>
              <w:keepNext w:val="0"/>
              <w:keepLines w:val="0"/>
              <w:widowControl/>
              <w:numPr>
                <w:ilvl w:val="0"/>
                <w:numId w:val="0"/>
              </w:numPr>
              <w:suppressLineNumbers w:val="0"/>
              <w:spacing w:line="240" w:lineRule="auto"/>
              <w:jc w:val="both"/>
              <w:textAlignment w:val="top"/>
              <w:rPr>
                <w:rFonts w:hint="default" w:ascii="Times New Roman" w:hAnsi="Times New Roman" w:eastAsia="宋体" w:cs="Times New Roman"/>
                <w:i w:val="0"/>
                <w:iCs w:val="0"/>
                <w:color w:val="auto"/>
                <w:kern w:val="0"/>
                <w:sz w:val="21"/>
                <w:szCs w:val="21"/>
                <w:u w:val="none"/>
                <w:lang w:val="en-US" w:eastAsia="zh-CN" w:bidi="ar"/>
              </w:rPr>
            </w:pPr>
          </w:p>
          <w:p w14:paraId="7B74ADEC">
            <w:pPr>
              <w:keepNext w:val="0"/>
              <w:keepLines w:val="0"/>
              <w:widowControl/>
              <w:numPr>
                <w:ilvl w:val="0"/>
                <w:numId w:val="0"/>
              </w:numPr>
              <w:suppressLineNumbers w:val="0"/>
              <w:spacing w:line="240" w:lineRule="auto"/>
              <w:jc w:val="both"/>
              <w:textAlignment w:val="top"/>
              <w:rPr>
                <w:rFonts w:hint="default" w:ascii="Times New Roman" w:hAnsi="Times New Roman" w:eastAsia="宋体" w:cs="Times New Roman"/>
                <w:i w:val="0"/>
                <w:iCs w:val="0"/>
                <w:color w:val="auto"/>
                <w:kern w:val="0"/>
                <w:sz w:val="21"/>
                <w:szCs w:val="21"/>
                <w:u w:val="none"/>
                <w:lang w:val="en-US" w:eastAsia="zh-CN" w:bidi="ar"/>
              </w:rPr>
            </w:pPr>
          </w:p>
          <w:p w14:paraId="5A9EC7D7">
            <w:pPr>
              <w:keepNext w:val="0"/>
              <w:keepLines w:val="0"/>
              <w:widowControl/>
              <w:numPr>
                <w:ilvl w:val="0"/>
                <w:numId w:val="0"/>
              </w:numPr>
              <w:suppressLineNumbers w:val="0"/>
              <w:spacing w:line="240" w:lineRule="auto"/>
              <w:jc w:val="both"/>
              <w:textAlignment w:val="top"/>
              <w:rPr>
                <w:rFonts w:hint="default" w:ascii="Times New Roman" w:hAnsi="Times New Roman" w:eastAsia="宋体" w:cs="Times New Roman"/>
                <w:i w:val="0"/>
                <w:iCs w:val="0"/>
                <w:color w:val="auto"/>
                <w:kern w:val="0"/>
                <w:sz w:val="21"/>
                <w:szCs w:val="21"/>
                <w:u w:val="none"/>
                <w:lang w:val="en-US" w:eastAsia="zh-CN" w:bidi="ar"/>
              </w:rPr>
            </w:pPr>
          </w:p>
        </w:tc>
      </w:tr>
    </w:tbl>
    <w:p w14:paraId="5A55BEE0">
      <w:pPr>
        <w:pStyle w:val="31"/>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cs="Times New Roman"/>
          <w:snapToGrid w:val="0"/>
          <w:color w:val="auto"/>
        </w:rPr>
        <w:br w:type="page"/>
      </w:r>
      <w:bookmarkStart w:id="18" w:name="_Toc25314"/>
      <w:bookmarkStart w:id="19" w:name="_Toc15762"/>
      <w:r>
        <w:rPr>
          <w:rFonts w:hint="default" w:ascii="Times New Roman" w:hAnsi="Times New Roman" w:eastAsia="黑体" w:cs="Times New Roman"/>
          <w:snapToGrid w:val="0"/>
          <w:color w:val="auto"/>
          <w:sz w:val="30"/>
          <w:szCs w:val="30"/>
        </w:rPr>
        <w:t>六、结论</w:t>
      </w:r>
      <w:bookmarkEnd w:id="18"/>
      <w:bookmarkEnd w:id="19"/>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4860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33BECFB7">
            <w:pPr>
              <w:pStyle w:val="53"/>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达州荣利达精密塑胶有限公司达州荣利达精密塑胶整体迁建技改扩能项目不属于《产业结构调整指导目录（2024年本）》中的鼓励类、淘汰类或限制类，为允许类；项目符合《四川大竹经济开发区总体规划（2021</w:t>
            </w:r>
            <w:r>
              <w:rPr>
                <w:rFonts w:hint="eastAsia" w:ascii="Times New Roman" w:hAnsi="Times New Roman" w:cs="Times New Roman"/>
                <w:color w:val="auto"/>
                <w:lang w:eastAsia="zh-CN"/>
              </w:rPr>
              <w:t>—</w:t>
            </w:r>
            <w:r>
              <w:rPr>
                <w:rFonts w:hint="default" w:ascii="Times New Roman" w:hAnsi="Times New Roman" w:cs="Times New Roman"/>
                <w:color w:val="auto"/>
              </w:rPr>
              <w:t>2035年）》及审查意见关于环境准入、产业规划等要求；项目不受</w:t>
            </w:r>
            <w:r>
              <w:rPr>
                <w:rFonts w:hint="default" w:ascii="Times New Roman" w:hAnsi="Times New Roman" w:cs="Times New Roman"/>
                <w:color w:val="auto"/>
                <w:lang w:val="en-US" w:eastAsia="zh-CN"/>
              </w:rPr>
              <w:t>达州市</w:t>
            </w:r>
            <w:r>
              <w:rPr>
                <w:rFonts w:hint="default" w:ascii="Times New Roman" w:hAnsi="Times New Roman" w:cs="Times New Roman"/>
                <w:color w:val="auto"/>
              </w:rPr>
              <w:t>“生态保护红线、环境质量底线、资源利用上线和环境准入负面清单”约束。</w:t>
            </w:r>
          </w:p>
          <w:p w14:paraId="62F964BF">
            <w:pPr>
              <w:pStyle w:val="53"/>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val="0"/>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达州荣利达精密塑胶有限公司达州荣利达精密塑胶整体迁建技改扩能项目选用的生产设备成熟、可靠；项目运营期通过采取各项污染防治措施，能做到达标排放，对周围环境影响可接受。因此，从环境保护的角度分析，该项目的选址合理，项目建设可行。</w:t>
            </w:r>
          </w:p>
          <w:p w14:paraId="0C165CD2">
            <w:pPr>
              <w:adjustRightInd w:val="0"/>
              <w:snapToGrid w:val="0"/>
              <w:spacing w:line="360" w:lineRule="auto"/>
              <w:ind w:firstLine="420" w:firstLineChars="200"/>
              <w:rPr>
                <w:rFonts w:hint="default" w:ascii="Times New Roman" w:hAnsi="Times New Roman" w:cs="Times New Roman"/>
                <w:color w:val="auto"/>
                <w:szCs w:val="21"/>
              </w:rPr>
            </w:pPr>
          </w:p>
        </w:tc>
      </w:tr>
    </w:tbl>
    <w:p w14:paraId="5473F1C2">
      <w:pPr>
        <w:rPr>
          <w:rFonts w:hint="default" w:ascii="Times New Roman" w:hAnsi="Times New Roman" w:cs="Times New Roman"/>
          <w:color w:val="auto"/>
        </w:rPr>
        <w:sectPr>
          <w:pgSz w:w="11906" w:h="16838"/>
          <w:pgMar w:top="1701" w:right="1531" w:bottom="1701" w:left="1531" w:header="851" w:footer="851" w:gutter="0"/>
          <w:pgNumType w:fmt="decimal"/>
          <w:cols w:space="720" w:num="1"/>
          <w:docGrid w:linePitch="312" w:charSpace="0"/>
        </w:sectPr>
      </w:pPr>
    </w:p>
    <w:p w14:paraId="3CF9F759">
      <w:pPr>
        <w:pStyle w:val="31"/>
        <w:adjustRightInd w:val="0"/>
        <w:snapToGrid w:val="0"/>
        <w:spacing w:before="0" w:beforeAutospacing="0" w:after="0" w:afterAutospacing="0" w:line="360" w:lineRule="auto"/>
        <w:outlineLvl w:val="9"/>
        <w:rPr>
          <w:rFonts w:hint="default" w:ascii="Times New Roman" w:hAnsi="Times New Roman" w:eastAsia="黑体" w:cs="Times New Roman"/>
          <w:snapToGrid w:val="0"/>
          <w:color w:val="auto"/>
          <w:sz w:val="32"/>
          <w:szCs w:val="32"/>
        </w:rPr>
      </w:pPr>
      <w:bookmarkStart w:id="20" w:name="_Toc20271"/>
      <w:bookmarkStart w:id="21" w:name="_Toc23627"/>
      <w:r>
        <w:rPr>
          <w:rFonts w:hint="default" w:ascii="Times New Roman" w:hAnsi="Times New Roman" w:eastAsia="黑体" w:cs="Times New Roman"/>
          <w:snapToGrid w:val="0"/>
          <w:color w:val="auto"/>
          <w:sz w:val="32"/>
          <w:szCs w:val="32"/>
        </w:rPr>
        <w:t>附表</w:t>
      </w:r>
      <w:bookmarkEnd w:id="20"/>
      <w:bookmarkEnd w:id="21"/>
    </w:p>
    <w:p w14:paraId="60CEF511">
      <w:pPr>
        <w:pStyle w:val="31"/>
        <w:adjustRightInd w:val="0"/>
        <w:snapToGrid w:val="0"/>
        <w:spacing w:before="0" w:beforeAutospacing="0" w:after="0" w:afterAutospacing="0"/>
        <w:jc w:val="center"/>
        <w:outlineLvl w:val="9"/>
        <w:rPr>
          <w:rFonts w:hint="default" w:ascii="Times New Roman" w:hAnsi="Times New Roman" w:eastAsia="方正小标宋_GBK" w:cs="Times New Roman"/>
          <w:snapToGrid w:val="0"/>
          <w:color w:val="auto"/>
          <w:sz w:val="38"/>
          <w:szCs w:val="38"/>
        </w:rPr>
      </w:pPr>
      <w:bookmarkStart w:id="22" w:name="_Toc5592"/>
      <w:bookmarkStart w:id="23" w:name="_Toc25320"/>
      <w:r>
        <w:rPr>
          <w:rFonts w:hint="default" w:ascii="Times New Roman" w:hAnsi="Times New Roman" w:eastAsia="方正小标宋_GBK" w:cs="Times New Roman"/>
          <w:snapToGrid w:val="0"/>
          <w:color w:val="auto"/>
          <w:sz w:val="38"/>
          <w:szCs w:val="38"/>
        </w:rPr>
        <w:t>建设项目污染物排放量汇总表</w:t>
      </w:r>
      <w:bookmarkEnd w:id="22"/>
      <w:bookmarkEnd w:id="23"/>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2246"/>
        <w:gridCol w:w="1613"/>
        <w:gridCol w:w="1237"/>
        <w:gridCol w:w="1594"/>
        <w:gridCol w:w="1463"/>
        <w:gridCol w:w="1387"/>
        <w:gridCol w:w="1705"/>
        <w:gridCol w:w="1274"/>
      </w:tblGrid>
      <w:tr w14:paraId="75533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1128" w:type="dxa"/>
            <w:noWrap w:val="0"/>
            <w:vAlign w:val="center"/>
          </w:tcPr>
          <w:p w14:paraId="2A38EDA4">
            <w:pPr>
              <w:keepNext w:val="0"/>
              <w:keepLines w:val="0"/>
              <w:widowControl/>
              <w:suppressLineNumbers w:val="0"/>
              <w:jc w:val="center"/>
              <w:textAlignment w:val="center"/>
              <w:rPr>
                <w:rFonts w:hint="default" w:ascii="Times New Roman" w:hAnsi="Times New Roman" w:eastAsia="黑体" w:cs="Times New Roman"/>
                <w:i w:val="0"/>
                <w:iCs w:val="0"/>
                <w:color w:val="0000FF"/>
                <w:sz w:val="21"/>
                <w:szCs w:val="21"/>
                <w:u w:val="none"/>
              </w:rPr>
            </w:pPr>
            <w:bookmarkStart w:id="24" w:name="_Toc16951"/>
            <w:bookmarkStart w:id="25" w:name="_Toc25680"/>
            <w:r>
              <w:rPr>
                <w:rFonts w:hint="eastAsia" w:ascii="黑体" w:hAnsi="宋体" w:eastAsia="黑体" w:cs="黑体"/>
                <w:i w:val="0"/>
                <w:iCs w:val="0"/>
                <w:color w:val="0000FF"/>
                <w:kern w:val="0"/>
                <w:sz w:val="21"/>
                <w:szCs w:val="21"/>
                <w:u w:val="none"/>
                <w:lang w:val="en-US" w:eastAsia="zh-CN" w:bidi="ar"/>
              </w:rPr>
              <w:t>项目分类</w:t>
            </w:r>
          </w:p>
        </w:tc>
        <w:tc>
          <w:tcPr>
            <w:tcW w:w="2246" w:type="dxa"/>
            <w:noWrap w:val="0"/>
            <w:vAlign w:val="center"/>
          </w:tcPr>
          <w:p w14:paraId="082B5FCC">
            <w:pPr>
              <w:keepNext w:val="0"/>
              <w:keepLines w:val="0"/>
              <w:widowControl/>
              <w:suppressLineNumbers w:val="0"/>
              <w:jc w:val="center"/>
              <w:textAlignment w:val="center"/>
              <w:rPr>
                <w:rFonts w:hint="default" w:ascii="Times New Roman" w:hAnsi="Times New Roman" w:eastAsia="黑体" w:cs="Times New Roman"/>
                <w:i w:val="0"/>
                <w:iCs w:val="0"/>
                <w:color w:val="0000FF"/>
                <w:sz w:val="21"/>
                <w:szCs w:val="21"/>
                <w:u w:val="none"/>
              </w:rPr>
            </w:pPr>
            <w:r>
              <w:rPr>
                <w:rFonts w:hint="eastAsia" w:ascii="黑体" w:hAnsi="宋体" w:eastAsia="黑体" w:cs="黑体"/>
                <w:i w:val="0"/>
                <w:iCs w:val="0"/>
                <w:color w:val="0000FF"/>
                <w:kern w:val="0"/>
                <w:sz w:val="21"/>
                <w:szCs w:val="21"/>
                <w:u w:val="none"/>
                <w:lang w:val="en-US" w:eastAsia="zh-CN" w:bidi="ar"/>
              </w:rPr>
              <w:t>污染物名称</w:t>
            </w:r>
          </w:p>
        </w:tc>
        <w:tc>
          <w:tcPr>
            <w:tcW w:w="1613" w:type="dxa"/>
            <w:noWrap w:val="0"/>
            <w:vAlign w:val="center"/>
          </w:tcPr>
          <w:p w14:paraId="0B2FF059">
            <w:pPr>
              <w:keepNext w:val="0"/>
              <w:keepLines w:val="0"/>
              <w:widowControl/>
              <w:suppressLineNumbers w:val="0"/>
              <w:jc w:val="center"/>
              <w:textAlignment w:val="center"/>
              <w:rPr>
                <w:rFonts w:hint="default" w:ascii="Times New Roman" w:hAnsi="Times New Roman" w:eastAsia="黑体" w:cs="Times New Roman"/>
                <w:i w:val="0"/>
                <w:iCs w:val="0"/>
                <w:color w:val="0000FF"/>
                <w:sz w:val="21"/>
                <w:szCs w:val="21"/>
                <w:u w:val="none"/>
              </w:rPr>
            </w:pPr>
            <w:r>
              <w:rPr>
                <w:rFonts w:hint="eastAsia" w:ascii="黑体" w:hAnsi="宋体" w:eastAsia="黑体" w:cs="黑体"/>
                <w:i w:val="0"/>
                <w:iCs w:val="0"/>
                <w:color w:val="0000FF"/>
                <w:kern w:val="0"/>
                <w:sz w:val="21"/>
                <w:szCs w:val="21"/>
                <w:u w:val="none"/>
                <w:lang w:val="en-US" w:eastAsia="zh-CN" w:bidi="ar"/>
              </w:rPr>
              <w:t>现有工程排放量（固体废物产生量）</w:t>
            </w:r>
            <w:r>
              <w:rPr>
                <w:rFonts w:hint="eastAsia" w:ascii="宋体" w:hAnsi="宋体" w:eastAsia="宋体" w:cs="宋体"/>
                <w:i w:val="0"/>
                <w:iCs w:val="0"/>
                <w:color w:val="0000FF"/>
                <w:kern w:val="0"/>
                <w:sz w:val="21"/>
                <w:szCs w:val="21"/>
                <w:u w:val="none"/>
                <w:lang w:val="en-US" w:eastAsia="zh-CN" w:bidi="ar"/>
              </w:rPr>
              <w:t>①</w:t>
            </w:r>
          </w:p>
        </w:tc>
        <w:tc>
          <w:tcPr>
            <w:tcW w:w="1237" w:type="dxa"/>
            <w:noWrap w:val="0"/>
            <w:vAlign w:val="center"/>
          </w:tcPr>
          <w:p w14:paraId="4FDF16C2">
            <w:pPr>
              <w:keepNext w:val="0"/>
              <w:keepLines w:val="0"/>
              <w:widowControl/>
              <w:suppressLineNumbers w:val="0"/>
              <w:jc w:val="center"/>
              <w:textAlignment w:val="center"/>
              <w:rPr>
                <w:rFonts w:hint="default" w:ascii="Times New Roman" w:hAnsi="Times New Roman" w:eastAsia="黑体" w:cs="Times New Roman"/>
                <w:i w:val="0"/>
                <w:iCs w:val="0"/>
                <w:color w:val="0000FF"/>
                <w:sz w:val="21"/>
                <w:szCs w:val="21"/>
                <w:u w:val="none"/>
              </w:rPr>
            </w:pPr>
            <w:r>
              <w:rPr>
                <w:rFonts w:hint="eastAsia" w:ascii="黑体" w:hAnsi="宋体" w:eastAsia="黑体" w:cs="黑体"/>
                <w:i w:val="0"/>
                <w:iCs w:val="0"/>
                <w:color w:val="0000FF"/>
                <w:kern w:val="0"/>
                <w:sz w:val="21"/>
                <w:szCs w:val="21"/>
                <w:u w:val="none"/>
                <w:lang w:val="en-US" w:eastAsia="zh-CN" w:bidi="ar"/>
              </w:rPr>
              <w:t>现有工程许可排放量</w:t>
            </w:r>
            <w:r>
              <w:rPr>
                <w:rFonts w:hint="eastAsia" w:ascii="宋体" w:hAnsi="宋体" w:eastAsia="宋体" w:cs="宋体"/>
                <w:i w:val="0"/>
                <w:iCs w:val="0"/>
                <w:color w:val="0000FF"/>
                <w:kern w:val="0"/>
                <w:sz w:val="21"/>
                <w:szCs w:val="21"/>
                <w:u w:val="none"/>
                <w:lang w:val="en-US" w:eastAsia="zh-CN" w:bidi="ar"/>
              </w:rPr>
              <w:t>②</w:t>
            </w:r>
          </w:p>
        </w:tc>
        <w:tc>
          <w:tcPr>
            <w:tcW w:w="1594" w:type="dxa"/>
            <w:noWrap w:val="0"/>
            <w:vAlign w:val="center"/>
          </w:tcPr>
          <w:p w14:paraId="608830DF">
            <w:pPr>
              <w:keepNext w:val="0"/>
              <w:keepLines w:val="0"/>
              <w:widowControl/>
              <w:suppressLineNumbers w:val="0"/>
              <w:jc w:val="center"/>
              <w:textAlignment w:val="center"/>
              <w:rPr>
                <w:rFonts w:hint="default" w:ascii="Times New Roman" w:hAnsi="Times New Roman" w:eastAsia="黑体" w:cs="Times New Roman"/>
                <w:i w:val="0"/>
                <w:iCs w:val="0"/>
                <w:color w:val="0000FF"/>
                <w:sz w:val="21"/>
                <w:szCs w:val="21"/>
                <w:u w:val="none"/>
              </w:rPr>
            </w:pPr>
            <w:r>
              <w:rPr>
                <w:rFonts w:hint="eastAsia" w:ascii="黑体" w:hAnsi="宋体" w:eastAsia="黑体" w:cs="黑体"/>
                <w:i w:val="0"/>
                <w:iCs w:val="0"/>
                <w:color w:val="0000FF"/>
                <w:kern w:val="0"/>
                <w:sz w:val="21"/>
                <w:szCs w:val="21"/>
                <w:u w:val="none"/>
                <w:lang w:val="en-US" w:eastAsia="zh-CN" w:bidi="ar"/>
              </w:rPr>
              <w:t>在建工程排放量（固体废物产生量）</w:t>
            </w:r>
            <w:r>
              <w:rPr>
                <w:rFonts w:hint="eastAsia" w:ascii="宋体" w:hAnsi="宋体" w:eastAsia="宋体" w:cs="宋体"/>
                <w:i w:val="0"/>
                <w:iCs w:val="0"/>
                <w:color w:val="0000FF"/>
                <w:kern w:val="0"/>
                <w:sz w:val="21"/>
                <w:szCs w:val="21"/>
                <w:u w:val="none"/>
                <w:lang w:val="en-US" w:eastAsia="zh-CN" w:bidi="ar"/>
              </w:rPr>
              <w:t>③</w:t>
            </w:r>
          </w:p>
        </w:tc>
        <w:tc>
          <w:tcPr>
            <w:tcW w:w="1463" w:type="dxa"/>
            <w:noWrap w:val="0"/>
            <w:vAlign w:val="center"/>
          </w:tcPr>
          <w:p w14:paraId="4B865BD3">
            <w:pPr>
              <w:keepNext w:val="0"/>
              <w:keepLines w:val="0"/>
              <w:widowControl/>
              <w:suppressLineNumbers w:val="0"/>
              <w:jc w:val="center"/>
              <w:textAlignment w:val="center"/>
              <w:rPr>
                <w:rFonts w:hint="default" w:ascii="Times New Roman" w:hAnsi="Times New Roman" w:eastAsia="黑体" w:cs="Times New Roman"/>
                <w:i w:val="0"/>
                <w:iCs w:val="0"/>
                <w:color w:val="0000FF"/>
                <w:sz w:val="21"/>
                <w:szCs w:val="21"/>
                <w:u w:val="none"/>
              </w:rPr>
            </w:pPr>
            <w:r>
              <w:rPr>
                <w:rFonts w:hint="eastAsia" w:ascii="黑体" w:hAnsi="宋体" w:eastAsia="黑体" w:cs="黑体"/>
                <w:i w:val="0"/>
                <w:iCs w:val="0"/>
                <w:color w:val="0000FF"/>
                <w:kern w:val="0"/>
                <w:sz w:val="21"/>
                <w:szCs w:val="21"/>
                <w:u w:val="none"/>
                <w:lang w:val="en-US" w:eastAsia="zh-CN" w:bidi="ar"/>
              </w:rPr>
              <w:t>本项目排放量（固体废物产生量）</w:t>
            </w:r>
            <w:r>
              <w:rPr>
                <w:rFonts w:hint="eastAsia" w:ascii="宋体" w:hAnsi="宋体" w:eastAsia="宋体" w:cs="宋体"/>
                <w:i w:val="0"/>
                <w:iCs w:val="0"/>
                <w:color w:val="0000FF"/>
                <w:kern w:val="0"/>
                <w:sz w:val="21"/>
                <w:szCs w:val="21"/>
                <w:u w:val="none"/>
                <w:lang w:val="en-US" w:eastAsia="zh-CN" w:bidi="ar"/>
              </w:rPr>
              <w:t>④</w:t>
            </w:r>
          </w:p>
        </w:tc>
        <w:tc>
          <w:tcPr>
            <w:tcW w:w="1387" w:type="dxa"/>
            <w:noWrap w:val="0"/>
            <w:vAlign w:val="center"/>
          </w:tcPr>
          <w:p w14:paraId="6C2EDA3F">
            <w:pPr>
              <w:keepNext w:val="0"/>
              <w:keepLines w:val="0"/>
              <w:widowControl/>
              <w:suppressLineNumbers w:val="0"/>
              <w:jc w:val="center"/>
              <w:textAlignment w:val="center"/>
              <w:rPr>
                <w:rFonts w:hint="default" w:ascii="Times New Roman" w:hAnsi="Times New Roman" w:eastAsia="黑体" w:cs="Times New Roman"/>
                <w:i w:val="0"/>
                <w:iCs w:val="0"/>
                <w:color w:val="0000FF"/>
                <w:sz w:val="21"/>
                <w:szCs w:val="21"/>
                <w:u w:val="none"/>
              </w:rPr>
            </w:pPr>
            <w:r>
              <w:rPr>
                <w:rFonts w:hint="eastAsia" w:ascii="黑体" w:hAnsi="宋体" w:eastAsia="黑体" w:cs="黑体"/>
                <w:i w:val="0"/>
                <w:iCs w:val="0"/>
                <w:color w:val="0000FF"/>
                <w:kern w:val="0"/>
                <w:sz w:val="21"/>
                <w:szCs w:val="21"/>
                <w:u w:val="none"/>
                <w:lang w:val="en-US" w:eastAsia="zh-CN" w:bidi="ar"/>
              </w:rPr>
              <w:t>以新带老削减量（新建项目不填）</w:t>
            </w:r>
            <w:r>
              <w:rPr>
                <w:rFonts w:hint="eastAsia" w:ascii="宋体" w:hAnsi="宋体" w:eastAsia="宋体" w:cs="宋体"/>
                <w:i w:val="0"/>
                <w:iCs w:val="0"/>
                <w:color w:val="0000FF"/>
                <w:kern w:val="0"/>
                <w:sz w:val="21"/>
                <w:szCs w:val="21"/>
                <w:u w:val="none"/>
                <w:lang w:val="en-US" w:eastAsia="zh-CN" w:bidi="ar"/>
              </w:rPr>
              <w:t>⑤</w:t>
            </w:r>
          </w:p>
        </w:tc>
        <w:tc>
          <w:tcPr>
            <w:tcW w:w="1705" w:type="dxa"/>
            <w:noWrap w:val="0"/>
            <w:vAlign w:val="center"/>
          </w:tcPr>
          <w:p w14:paraId="29C1EBD6">
            <w:pPr>
              <w:keepNext w:val="0"/>
              <w:keepLines w:val="0"/>
              <w:widowControl/>
              <w:suppressLineNumbers w:val="0"/>
              <w:jc w:val="center"/>
              <w:textAlignment w:val="center"/>
              <w:rPr>
                <w:rFonts w:hint="default" w:ascii="Times New Roman" w:hAnsi="Times New Roman" w:eastAsia="黑体" w:cs="Times New Roman"/>
                <w:i w:val="0"/>
                <w:iCs w:val="0"/>
                <w:color w:val="0000FF"/>
                <w:sz w:val="21"/>
                <w:szCs w:val="21"/>
                <w:u w:val="none"/>
              </w:rPr>
            </w:pPr>
            <w:r>
              <w:rPr>
                <w:rFonts w:hint="eastAsia" w:ascii="黑体" w:hAnsi="宋体" w:eastAsia="黑体" w:cs="黑体"/>
                <w:i w:val="0"/>
                <w:iCs w:val="0"/>
                <w:color w:val="0000FF"/>
                <w:kern w:val="0"/>
                <w:sz w:val="21"/>
                <w:szCs w:val="21"/>
                <w:u w:val="none"/>
                <w:lang w:val="en-US" w:eastAsia="zh-CN" w:bidi="ar"/>
              </w:rPr>
              <w:t>本项目建成后全厂排放量（固体废物产生量）</w:t>
            </w:r>
            <w:r>
              <w:rPr>
                <w:rFonts w:hint="eastAsia" w:ascii="宋体" w:hAnsi="宋体" w:eastAsia="宋体" w:cs="宋体"/>
                <w:i w:val="0"/>
                <w:iCs w:val="0"/>
                <w:color w:val="0000FF"/>
                <w:kern w:val="0"/>
                <w:sz w:val="21"/>
                <w:szCs w:val="21"/>
                <w:u w:val="none"/>
                <w:lang w:val="en-US" w:eastAsia="zh-CN" w:bidi="ar"/>
              </w:rPr>
              <w:t>⑥</w:t>
            </w:r>
          </w:p>
        </w:tc>
        <w:tc>
          <w:tcPr>
            <w:tcW w:w="1274" w:type="dxa"/>
            <w:noWrap w:val="0"/>
            <w:vAlign w:val="center"/>
          </w:tcPr>
          <w:p w14:paraId="58D227C5">
            <w:pPr>
              <w:keepNext w:val="0"/>
              <w:keepLines w:val="0"/>
              <w:widowControl/>
              <w:suppressLineNumbers w:val="0"/>
              <w:jc w:val="center"/>
              <w:textAlignment w:val="center"/>
              <w:rPr>
                <w:rFonts w:hint="default" w:ascii="Times New Roman" w:hAnsi="Times New Roman" w:eastAsia="黑体" w:cs="Times New Roman"/>
                <w:i w:val="0"/>
                <w:iCs w:val="0"/>
                <w:color w:val="0000FF"/>
                <w:sz w:val="21"/>
                <w:szCs w:val="21"/>
                <w:u w:val="none"/>
              </w:rPr>
            </w:pPr>
            <w:r>
              <w:rPr>
                <w:rFonts w:hint="eastAsia" w:ascii="黑体" w:hAnsi="宋体" w:eastAsia="黑体" w:cs="黑体"/>
                <w:i w:val="0"/>
                <w:iCs w:val="0"/>
                <w:color w:val="0000FF"/>
                <w:kern w:val="0"/>
                <w:sz w:val="21"/>
                <w:szCs w:val="21"/>
                <w:u w:val="none"/>
                <w:lang w:val="en-US" w:eastAsia="zh-CN" w:bidi="ar"/>
              </w:rPr>
              <w:t>变化量</w:t>
            </w:r>
            <w:r>
              <w:rPr>
                <w:rFonts w:hint="eastAsia" w:ascii="宋体" w:hAnsi="宋体" w:eastAsia="宋体" w:cs="宋体"/>
                <w:i w:val="0"/>
                <w:iCs w:val="0"/>
                <w:color w:val="0000FF"/>
                <w:kern w:val="0"/>
                <w:sz w:val="21"/>
                <w:szCs w:val="21"/>
                <w:u w:val="none"/>
                <w:lang w:val="en-US" w:eastAsia="zh-CN" w:bidi="ar"/>
              </w:rPr>
              <w:t>⑦</w:t>
            </w:r>
          </w:p>
        </w:tc>
      </w:tr>
      <w:tr w14:paraId="19CBD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8" w:type="dxa"/>
            <w:vMerge w:val="restart"/>
            <w:noWrap w:val="0"/>
            <w:vAlign w:val="center"/>
          </w:tcPr>
          <w:p w14:paraId="6C4470C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废气</w:t>
            </w:r>
          </w:p>
        </w:tc>
        <w:tc>
          <w:tcPr>
            <w:tcW w:w="2246" w:type="dxa"/>
            <w:noWrap w:val="0"/>
            <w:vAlign w:val="center"/>
          </w:tcPr>
          <w:p w14:paraId="2734DEF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颗粒物</w:t>
            </w:r>
          </w:p>
        </w:tc>
        <w:tc>
          <w:tcPr>
            <w:tcW w:w="1613" w:type="dxa"/>
            <w:noWrap w:val="0"/>
            <w:vAlign w:val="center"/>
          </w:tcPr>
          <w:p w14:paraId="3CCE6F7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37" w:type="dxa"/>
            <w:noWrap w:val="0"/>
            <w:vAlign w:val="center"/>
          </w:tcPr>
          <w:p w14:paraId="217A464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594" w:type="dxa"/>
            <w:noWrap w:val="0"/>
            <w:vAlign w:val="center"/>
          </w:tcPr>
          <w:p w14:paraId="465F969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463" w:type="dxa"/>
            <w:noWrap w:val="0"/>
            <w:vAlign w:val="center"/>
          </w:tcPr>
          <w:p w14:paraId="1F48A74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387" w:type="dxa"/>
            <w:noWrap w:val="0"/>
            <w:vAlign w:val="center"/>
          </w:tcPr>
          <w:p w14:paraId="45FBAB5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705" w:type="dxa"/>
            <w:noWrap w:val="0"/>
            <w:vAlign w:val="center"/>
          </w:tcPr>
          <w:p w14:paraId="1C6C9D5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74" w:type="dxa"/>
            <w:noWrap w:val="0"/>
            <w:vAlign w:val="center"/>
          </w:tcPr>
          <w:p w14:paraId="0966AD5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r>
      <w:tr w14:paraId="5F524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8" w:type="dxa"/>
            <w:vMerge w:val="continue"/>
            <w:noWrap w:val="0"/>
            <w:vAlign w:val="center"/>
          </w:tcPr>
          <w:p w14:paraId="5F5A7D12">
            <w:pPr>
              <w:jc w:val="center"/>
              <w:rPr>
                <w:rFonts w:hint="default" w:ascii="Times New Roman" w:hAnsi="Times New Roman" w:eastAsia="宋体" w:cs="Times New Roman"/>
                <w:i w:val="0"/>
                <w:iCs w:val="0"/>
                <w:color w:val="0000FF"/>
                <w:sz w:val="21"/>
                <w:szCs w:val="21"/>
                <w:u w:val="none"/>
              </w:rPr>
            </w:pPr>
          </w:p>
        </w:tc>
        <w:tc>
          <w:tcPr>
            <w:tcW w:w="2246" w:type="dxa"/>
            <w:noWrap w:val="0"/>
            <w:vAlign w:val="center"/>
          </w:tcPr>
          <w:p w14:paraId="1F1A1946">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eastAsia" w:ascii="宋体" w:hAnsi="宋体" w:eastAsia="宋体" w:cs="宋体"/>
                <w:i w:val="0"/>
                <w:iCs w:val="0"/>
                <w:color w:val="00B050"/>
                <w:kern w:val="0"/>
                <w:sz w:val="21"/>
                <w:szCs w:val="21"/>
                <w:u w:val="none"/>
                <w:lang w:val="en-US" w:eastAsia="zh-CN" w:bidi="ar"/>
              </w:rPr>
              <w:t>非甲烷总烃</w:t>
            </w:r>
          </w:p>
        </w:tc>
        <w:tc>
          <w:tcPr>
            <w:tcW w:w="1613" w:type="dxa"/>
            <w:noWrap w:val="0"/>
            <w:vAlign w:val="center"/>
          </w:tcPr>
          <w:p w14:paraId="6D2006A1">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0.01722t/a</w:t>
            </w:r>
          </w:p>
        </w:tc>
        <w:tc>
          <w:tcPr>
            <w:tcW w:w="1237" w:type="dxa"/>
            <w:noWrap w:val="0"/>
            <w:vAlign w:val="center"/>
          </w:tcPr>
          <w:p w14:paraId="633A0718">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c>
          <w:tcPr>
            <w:tcW w:w="1594" w:type="dxa"/>
            <w:noWrap w:val="0"/>
            <w:vAlign w:val="center"/>
          </w:tcPr>
          <w:p w14:paraId="73F278FA">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w:t>
            </w:r>
          </w:p>
        </w:tc>
        <w:tc>
          <w:tcPr>
            <w:tcW w:w="1463" w:type="dxa"/>
            <w:noWrap w:val="0"/>
            <w:vAlign w:val="center"/>
          </w:tcPr>
          <w:p w14:paraId="02F64846">
            <w:pPr>
              <w:keepNext w:val="0"/>
              <w:keepLines w:val="0"/>
              <w:widowControl/>
              <w:suppressLineNumbers w:val="0"/>
              <w:jc w:val="center"/>
              <w:textAlignment w:val="center"/>
              <w:rPr>
                <w:rFonts w:hint="default" w:ascii="Times New Roman" w:hAnsi="Times New Roman" w:eastAsia="宋体" w:cs="Times New Roman"/>
                <w:i w:val="0"/>
                <w:iCs w:val="0"/>
                <w:color w:val="00B050"/>
                <w:kern w:val="2"/>
                <w:sz w:val="21"/>
                <w:szCs w:val="21"/>
                <w:u w:val="none"/>
                <w:lang w:val="en-US" w:eastAsia="zh-CN" w:bidi="ar-SA"/>
              </w:rPr>
            </w:pPr>
            <w:r>
              <w:rPr>
                <w:rFonts w:hint="eastAsia" w:cs="Times New Roman"/>
                <w:i w:val="0"/>
                <w:iCs w:val="0"/>
                <w:color w:val="00B050"/>
                <w:kern w:val="0"/>
                <w:sz w:val="21"/>
                <w:szCs w:val="21"/>
                <w:u w:val="none"/>
                <w:lang w:val="en-US" w:eastAsia="zh-CN" w:bidi="ar"/>
              </w:rPr>
              <w:t>0.4422</w:t>
            </w:r>
            <w:r>
              <w:rPr>
                <w:rFonts w:hint="default" w:ascii="Times New Roman" w:hAnsi="Times New Roman" w:eastAsia="宋体" w:cs="Times New Roman"/>
                <w:i w:val="0"/>
                <w:iCs w:val="0"/>
                <w:color w:val="00B050"/>
                <w:kern w:val="0"/>
                <w:sz w:val="21"/>
                <w:szCs w:val="21"/>
                <w:u w:val="none"/>
                <w:lang w:val="en-US" w:eastAsia="zh-CN" w:bidi="ar"/>
              </w:rPr>
              <w:t>t/a</w:t>
            </w:r>
          </w:p>
        </w:tc>
        <w:tc>
          <w:tcPr>
            <w:tcW w:w="1387" w:type="dxa"/>
            <w:noWrap w:val="0"/>
            <w:vAlign w:val="center"/>
          </w:tcPr>
          <w:p w14:paraId="2B59D5B9">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0.01722t/a</w:t>
            </w:r>
          </w:p>
        </w:tc>
        <w:tc>
          <w:tcPr>
            <w:tcW w:w="1705" w:type="dxa"/>
            <w:noWrap w:val="0"/>
            <w:vAlign w:val="center"/>
          </w:tcPr>
          <w:p w14:paraId="1210A191">
            <w:pPr>
              <w:keepNext w:val="0"/>
              <w:keepLines w:val="0"/>
              <w:widowControl/>
              <w:suppressLineNumbers w:val="0"/>
              <w:jc w:val="center"/>
              <w:textAlignment w:val="center"/>
              <w:rPr>
                <w:rFonts w:hint="default" w:ascii="Times New Roman" w:hAnsi="Times New Roman" w:eastAsia="宋体" w:cs="Times New Roman"/>
                <w:i w:val="0"/>
                <w:iCs w:val="0"/>
                <w:color w:val="00B050"/>
                <w:kern w:val="2"/>
                <w:sz w:val="21"/>
                <w:szCs w:val="21"/>
                <w:u w:val="none"/>
                <w:lang w:val="en-US" w:eastAsia="zh-CN" w:bidi="ar-SA"/>
              </w:rPr>
            </w:pPr>
            <w:r>
              <w:rPr>
                <w:rFonts w:hint="eastAsia" w:cs="Times New Roman"/>
                <w:i w:val="0"/>
                <w:iCs w:val="0"/>
                <w:color w:val="00B050"/>
                <w:kern w:val="0"/>
                <w:sz w:val="21"/>
                <w:szCs w:val="21"/>
                <w:u w:val="none"/>
                <w:lang w:val="en-US" w:eastAsia="zh-CN" w:bidi="ar"/>
              </w:rPr>
              <w:t>0.4422</w:t>
            </w:r>
            <w:r>
              <w:rPr>
                <w:rFonts w:hint="default" w:ascii="Times New Roman" w:hAnsi="Times New Roman" w:eastAsia="宋体" w:cs="Times New Roman"/>
                <w:i w:val="0"/>
                <w:iCs w:val="0"/>
                <w:color w:val="00B050"/>
                <w:kern w:val="0"/>
                <w:sz w:val="21"/>
                <w:szCs w:val="21"/>
                <w:u w:val="none"/>
                <w:lang w:val="en-US" w:eastAsia="zh-CN" w:bidi="ar"/>
              </w:rPr>
              <w:t>t/a</w:t>
            </w:r>
          </w:p>
        </w:tc>
        <w:tc>
          <w:tcPr>
            <w:tcW w:w="1274" w:type="dxa"/>
            <w:noWrap w:val="0"/>
            <w:vAlign w:val="center"/>
          </w:tcPr>
          <w:p w14:paraId="446CEEAC">
            <w:pPr>
              <w:keepNext w:val="0"/>
              <w:keepLines w:val="0"/>
              <w:widowControl/>
              <w:suppressLineNumbers w:val="0"/>
              <w:jc w:val="center"/>
              <w:textAlignment w:val="center"/>
              <w:rPr>
                <w:rFonts w:hint="default" w:ascii="Times New Roman" w:hAnsi="Times New Roman" w:eastAsia="宋体" w:cs="Times New Roman"/>
                <w:i w:val="0"/>
                <w:iCs w:val="0"/>
                <w:color w:val="00B050"/>
                <w:sz w:val="21"/>
                <w:szCs w:val="21"/>
                <w:u w:val="none"/>
              </w:rPr>
            </w:pPr>
            <w:r>
              <w:rPr>
                <w:rFonts w:hint="default" w:ascii="Times New Roman" w:hAnsi="Times New Roman" w:eastAsia="宋体" w:cs="Times New Roman"/>
                <w:i w:val="0"/>
                <w:iCs w:val="0"/>
                <w:color w:val="00B050"/>
                <w:kern w:val="0"/>
                <w:sz w:val="21"/>
                <w:szCs w:val="21"/>
                <w:u w:val="none"/>
                <w:lang w:val="en-US" w:eastAsia="zh-CN" w:bidi="ar"/>
              </w:rPr>
              <w:t>+0.4</w:t>
            </w:r>
            <w:r>
              <w:rPr>
                <w:rFonts w:hint="eastAsia" w:cs="Times New Roman"/>
                <w:i w:val="0"/>
                <w:iCs w:val="0"/>
                <w:color w:val="00B050"/>
                <w:kern w:val="0"/>
                <w:sz w:val="21"/>
                <w:szCs w:val="21"/>
                <w:u w:val="none"/>
                <w:lang w:val="en-US" w:eastAsia="zh-CN" w:bidi="ar"/>
              </w:rPr>
              <w:t>2498</w:t>
            </w:r>
            <w:r>
              <w:rPr>
                <w:rFonts w:hint="default" w:ascii="Times New Roman" w:hAnsi="Times New Roman" w:eastAsia="宋体" w:cs="Times New Roman"/>
                <w:i w:val="0"/>
                <w:iCs w:val="0"/>
                <w:color w:val="00B050"/>
                <w:kern w:val="0"/>
                <w:sz w:val="21"/>
                <w:szCs w:val="21"/>
                <w:u w:val="none"/>
                <w:lang w:val="en-US" w:eastAsia="zh-CN" w:bidi="ar"/>
              </w:rPr>
              <w:t>t/a</w:t>
            </w:r>
          </w:p>
        </w:tc>
      </w:tr>
      <w:tr w14:paraId="16E82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8" w:type="dxa"/>
            <w:vMerge w:val="continue"/>
            <w:noWrap w:val="0"/>
            <w:vAlign w:val="center"/>
          </w:tcPr>
          <w:p w14:paraId="3A061036">
            <w:pPr>
              <w:jc w:val="center"/>
              <w:rPr>
                <w:rFonts w:hint="default" w:ascii="Times New Roman" w:hAnsi="Times New Roman" w:eastAsia="宋体" w:cs="Times New Roman"/>
                <w:i w:val="0"/>
                <w:iCs w:val="0"/>
                <w:color w:val="0000FF"/>
                <w:sz w:val="21"/>
                <w:szCs w:val="21"/>
                <w:u w:val="none"/>
              </w:rPr>
            </w:pPr>
          </w:p>
        </w:tc>
        <w:tc>
          <w:tcPr>
            <w:tcW w:w="2246" w:type="dxa"/>
            <w:noWrap w:val="0"/>
            <w:vAlign w:val="center"/>
          </w:tcPr>
          <w:p w14:paraId="2DFBAD2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三甲苯</w:t>
            </w:r>
          </w:p>
        </w:tc>
        <w:tc>
          <w:tcPr>
            <w:tcW w:w="1613" w:type="dxa"/>
            <w:noWrap w:val="0"/>
            <w:vAlign w:val="center"/>
          </w:tcPr>
          <w:p w14:paraId="57ED99E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37" w:type="dxa"/>
            <w:noWrap w:val="0"/>
            <w:vAlign w:val="center"/>
          </w:tcPr>
          <w:p w14:paraId="2034F48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594" w:type="dxa"/>
            <w:noWrap w:val="0"/>
            <w:vAlign w:val="center"/>
          </w:tcPr>
          <w:p w14:paraId="4B8DE42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463" w:type="dxa"/>
            <w:noWrap w:val="0"/>
            <w:vAlign w:val="center"/>
          </w:tcPr>
          <w:p w14:paraId="7F274E0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0.0009t/a</w:t>
            </w:r>
          </w:p>
        </w:tc>
        <w:tc>
          <w:tcPr>
            <w:tcW w:w="1387" w:type="dxa"/>
            <w:noWrap w:val="0"/>
            <w:vAlign w:val="center"/>
          </w:tcPr>
          <w:p w14:paraId="0D1914C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705" w:type="dxa"/>
            <w:noWrap w:val="0"/>
            <w:vAlign w:val="center"/>
          </w:tcPr>
          <w:p w14:paraId="7D5F719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0.0009t/a</w:t>
            </w:r>
          </w:p>
        </w:tc>
        <w:tc>
          <w:tcPr>
            <w:tcW w:w="1274" w:type="dxa"/>
            <w:noWrap w:val="0"/>
            <w:vAlign w:val="center"/>
          </w:tcPr>
          <w:p w14:paraId="53CDE5C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cs="Times New Roman"/>
                <w:i w:val="0"/>
                <w:iCs w:val="0"/>
                <w:color w:val="0000FF"/>
                <w:kern w:val="0"/>
                <w:sz w:val="21"/>
                <w:szCs w:val="21"/>
                <w:u w:val="none"/>
                <w:lang w:val="en-US" w:eastAsia="zh-CN" w:bidi="ar"/>
              </w:rPr>
              <w:t>+</w:t>
            </w:r>
            <w:r>
              <w:rPr>
                <w:rFonts w:hint="default" w:ascii="Times New Roman" w:hAnsi="Times New Roman" w:eastAsia="宋体" w:cs="Times New Roman"/>
                <w:i w:val="0"/>
                <w:iCs w:val="0"/>
                <w:color w:val="0000FF"/>
                <w:kern w:val="0"/>
                <w:sz w:val="21"/>
                <w:szCs w:val="21"/>
                <w:u w:val="none"/>
                <w:lang w:val="en-US" w:eastAsia="zh-CN" w:bidi="ar"/>
              </w:rPr>
              <w:t>0.0009t/a</w:t>
            </w:r>
          </w:p>
        </w:tc>
      </w:tr>
      <w:tr w14:paraId="0E589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28" w:type="dxa"/>
            <w:vMerge w:val="restart"/>
            <w:noWrap w:val="0"/>
            <w:vAlign w:val="center"/>
          </w:tcPr>
          <w:p w14:paraId="68B99EA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废水</w:t>
            </w:r>
          </w:p>
        </w:tc>
        <w:tc>
          <w:tcPr>
            <w:tcW w:w="2246" w:type="dxa"/>
            <w:noWrap w:val="0"/>
            <w:vAlign w:val="center"/>
          </w:tcPr>
          <w:p w14:paraId="2C46D95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SS</w:t>
            </w:r>
          </w:p>
        </w:tc>
        <w:tc>
          <w:tcPr>
            <w:tcW w:w="1613" w:type="dxa"/>
            <w:noWrap w:val="0"/>
            <w:vAlign w:val="center"/>
          </w:tcPr>
          <w:p w14:paraId="51BC6C8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0.018t/a</w:t>
            </w:r>
          </w:p>
        </w:tc>
        <w:tc>
          <w:tcPr>
            <w:tcW w:w="1237" w:type="dxa"/>
            <w:noWrap w:val="0"/>
            <w:vAlign w:val="center"/>
          </w:tcPr>
          <w:p w14:paraId="0E1FAE1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594" w:type="dxa"/>
            <w:noWrap w:val="0"/>
            <w:vAlign w:val="center"/>
          </w:tcPr>
          <w:p w14:paraId="3239249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463" w:type="dxa"/>
            <w:noWrap w:val="0"/>
            <w:vAlign w:val="center"/>
          </w:tcPr>
          <w:p w14:paraId="78A4109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0.048t/a</w:t>
            </w:r>
          </w:p>
        </w:tc>
        <w:tc>
          <w:tcPr>
            <w:tcW w:w="1387" w:type="dxa"/>
            <w:noWrap w:val="0"/>
            <w:vAlign w:val="center"/>
          </w:tcPr>
          <w:p w14:paraId="626B461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0.018t/a</w:t>
            </w:r>
          </w:p>
        </w:tc>
        <w:tc>
          <w:tcPr>
            <w:tcW w:w="1705" w:type="dxa"/>
            <w:noWrap w:val="0"/>
            <w:vAlign w:val="center"/>
          </w:tcPr>
          <w:p w14:paraId="1C08935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0.048t/a</w:t>
            </w:r>
          </w:p>
        </w:tc>
        <w:tc>
          <w:tcPr>
            <w:tcW w:w="1274" w:type="dxa"/>
            <w:noWrap w:val="0"/>
            <w:vAlign w:val="center"/>
          </w:tcPr>
          <w:p w14:paraId="5475057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+0.03t/a</w:t>
            </w:r>
          </w:p>
        </w:tc>
      </w:tr>
      <w:tr w14:paraId="6845B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8" w:type="dxa"/>
            <w:vMerge w:val="continue"/>
            <w:noWrap w:val="0"/>
            <w:vAlign w:val="center"/>
          </w:tcPr>
          <w:p w14:paraId="1D9695BB">
            <w:pPr>
              <w:jc w:val="center"/>
              <w:rPr>
                <w:rFonts w:hint="default" w:ascii="Times New Roman" w:hAnsi="Times New Roman" w:eastAsia="宋体" w:cs="Times New Roman"/>
                <w:i w:val="0"/>
                <w:iCs w:val="0"/>
                <w:color w:val="0000FF"/>
                <w:sz w:val="21"/>
                <w:szCs w:val="21"/>
                <w:u w:val="none"/>
              </w:rPr>
            </w:pPr>
          </w:p>
        </w:tc>
        <w:tc>
          <w:tcPr>
            <w:tcW w:w="2246" w:type="dxa"/>
            <w:noWrap/>
            <w:vAlign w:val="center"/>
          </w:tcPr>
          <w:p w14:paraId="21BAF9E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COD</w:t>
            </w:r>
          </w:p>
        </w:tc>
        <w:tc>
          <w:tcPr>
            <w:tcW w:w="1613" w:type="dxa"/>
            <w:noWrap w:val="0"/>
            <w:vAlign w:val="center"/>
          </w:tcPr>
          <w:p w14:paraId="291C821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0.092t/a</w:t>
            </w:r>
          </w:p>
        </w:tc>
        <w:tc>
          <w:tcPr>
            <w:tcW w:w="1237" w:type="dxa"/>
            <w:noWrap w:val="0"/>
            <w:vAlign w:val="center"/>
          </w:tcPr>
          <w:p w14:paraId="23B872B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594" w:type="dxa"/>
            <w:noWrap w:val="0"/>
            <w:vAlign w:val="center"/>
          </w:tcPr>
          <w:p w14:paraId="4E051FA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463" w:type="dxa"/>
            <w:noWrap w:val="0"/>
            <w:vAlign w:val="center"/>
          </w:tcPr>
          <w:p w14:paraId="024F523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0.24t/a</w:t>
            </w:r>
          </w:p>
        </w:tc>
        <w:tc>
          <w:tcPr>
            <w:tcW w:w="1387" w:type="dxa"/>
            <w:noWrap w:val="0"/>
            <w:vAlign w:val="center"/>
          </w:tcPr>
          <w:p w14:paraId="024B6F4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0.092t/a</w:t>
            </w:r>
          </w:p>
        </w:tc>
        <w:tc>
          <w:tcPr>
            <w:tcW w:w="1705" w:type="dxa"/>
            <w:noWrap w:val="0"/>
            <w:vAlign w:val="center"/>
          </w:tcPr>
          <w:p w14:paraId="43C5A99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0.24t/a</w:t>
            </w:r>
          </w:p>
        </w:tc>
        <w:tc>
          <w:tcPr>
            <w:tcW w:w="1274" w:type="dxa"/>
            <w:noWrap w:val="0"/>
            <w:vAlign w:val="center"/>
          </w:tcPr>
          <w:p w14:paraId="4350773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+0.148t/a</w:t>
            </w:r>
          </w:p>
        </w:tc>
      </w:tr>
      <w:tr w14:paraId="345CF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8" w:type="dxa"/>
            <w:vMerge w:val="continue"/>
            <w:noWrap w:val="0"/>
            <w:vAlign w:val="center"/>
          </w:tcPr>
          <w:p w14:paraId="57FAC1DF">
            <w:pPr>
              <w:jc w:val="center"/>
              <w:rPr>
                <w:rFonts w:hint="default" w:ascii="Times New Roman" w:hAnsi="Times New Roman" w:eastAsia="宋体" w:cs="Times New Roman"/>
                <w:i w:val="0"/>
                <w:iCs w:val="0"/>
                <w:color w:val="0000FF"/>
                <w:sz w:val="21"/>
                <w:szCs w:val="21"/>
                <w:u w:val="none"/>
              </w:rPr>
            </w:pPr>
          </w:p>
        </w:tc>
        <w:tc>
          <w:tcPr>
            <w:tcW w:w="2246" w:type="dxa"/>
            <w:noWrap w:val="0"/>
            <w:vAlign w:val="center"/>
          </w:tcPr>
          <w:p w14:paraId="04D7161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BOD</w:t>
            </w:r>
            <w:r>
              <w:rPr>
                <w:rFonts w:hint="default" w:ascii="Times New Roman" w:hAnsi="Times New Roman" w:eastAsia="宋体" w:cs="Times New Roman"/>
                <w:i w:val="0"/>
                <w:iCs w:val="0"/>
                <w:color w:val="0000FF"/>
                <w:kern w:val="0"/>
                <w:sz w:val="21"/>
                <w:szCs w:val="21"/>
                <w:u w:val="none"/>
                <w:vertAlign w:val="subscript"/>
                <w:lang w:val="en-US" w:eastAsia="zh-CN" w:bidi="ar"/>
              </w:rPr>
              <w:t>5</w:t>
            </w:r>
          </w:p>
        </w:tc>
        <w:tc>
          <w:tcPr>
            <w:tcW w:w="1613" w:type="dxa"/>
            <w:noWrap w:val="0"/>
            <w:vAlign w:val="center"/>
          </w:tcPr>
          <w:p w14:paraId="27884AC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0.018t/a</w:t>
            </w:r>
          </w:p>
        </w:tc>
        <w:tc>
          <w:tcPr>
            <w:tcW w:w="1237" w:type="dxa"/>
            <w:noWrap w:val="0"/>
            <w:vAlign w:val="center"/>
          </w:tcPr>
          <w:p w14:paraId="3EB9B43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594" w:type="dxa"/>
            <w:noWrap w:val="0"/>
            <w:vAlign w:val="center"/>
          </w:tcPr>
          <w:p w14:paraId="6A5D6BE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463" w:type="dxa"/>
            <w:noWrap w:val="0"/>
            <w:vAlign w:val="center"/>
          </w:tcPr>
          <w:p w14:paraId="1F106EF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0.048t/a</w:t>
            </w:r>
          </w:p>
        </w:tc>
        <w:tc>
          <w:tcPr>
            <w:tcW w:w="1387" w:type="dxa"/>
            <w:noWrap w:val="0"/>
            <w:vAlign w:val="center"/>
          </w:tcPr>
          <w:p w14:paraId="2F94A2B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0.018t/a</w:t>
            </w:r>
          </w:p>
        </w:tc>
        <w:tc>
          <w:tcPr>
            <w:tcW w:w="1705" w:type="dxa"/>
            <w:noWrap w:val="0"/>
            <w:vAlign w:val="center"/>
          </w:tcPr>
          <w:p w14:paraId="01B7E35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0.048t/a</w:t>
            </w:r>
          </w:p>
        </w:tc>
        <w:tc>
          <w:tcPr>
            <w:tcW w:w="1274" w:type="dxa"/>
            <w:noWrap w:val="0"/>
            <w:vAlign w:val="center"/>
          </w:tcPr>
          <w:p w14:paraId="4A8C491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+0.03t/a</w:t>
            </w:r>
          </w:p>
        </w:tc>
      </w:tr>
      <w:tr w14:paraId="14468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8" w:type="dxa"/>
            <w:vMerge w:val="continue"/>
            <w:noWrap w:val="0"/>
            <w:vAlign w:val="center"/>
          </w:tcPr>
          <w:p w14:paraId="08C2BD59">
            <w:pPr>
              <w:jc w:val="center"/>
              <w:rPr>
                <w:rFonts w:hint="default" w:ascii="Times New Roman" w:hAnsi="Times New Roman" w:eastAsia="宋体" w:cs="Times New Roman"/>
                <w:i w:val="0"/>
                <w:iCs w:val="0"/>
                <w:color w:val="0000FF"/>
                <w:sz w:val="21"/>
                <w:szCs w:val="21"/>
                <w:u w:val="none"/>
              </w:rPr>
            </w:pPr>
          </w:p>
        </w:tc>
        <w:tc>
          <w:tcPr>
            <w:tcW w:w="2246" w:type="dxa"/>
            <w:noWrap w:val="0"/>
            <w:vAlign w:val="center"/>
          </w:tcPr>
          <w:p w14:paraId="108AF4A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NH</w:t>
            </w:r>
            <w:r>
              <w:rPr>
                <w:rFonts w:hint="default" w:ascii="Times New Roman" w:hAnsi="Times New Roman" w:eastAsia="宋体" w:cs="Times New Roman"/>
                <w:i w:val="0"/>
                <w:iCs w:val="0"/>
                <w:color w:val="0000FF"/>
                <w:kern w:val="0"/>
                <w:sz w:val="21"/>
                <w:szCs w:val="21"/>
                <w:u w:val="none"/>
                <w:vertAlign w:val="subscript"/>
                <w:lang w:val="en-US" w:eastAsia="zh-CN" w:bidi="ar"/>
              </w:rPr>
              <w:t>3</w:t>
            </w:r>
            <w:r>
              <w:rPr>
                <w:rFonts w:hint="default" w:ascii="Times New Roman" w:hAnsi="Times New Roman" w:eastAsia="宋体" w:cs="Times New Roman"/>
                <w:i w:val="0"/>
                <w:iCs w:val="0"/>
                <w:color w:val="0000FF"/>
                <w:kern w:val="0"/>
                <w:sz w:val="21"/>
                <w:szCs w:val="21"/>
                <w:u w:val="none"/>
                <w:lang w:val="en-US" w:eastAsia="zh-CN" w:bidi="ar"/>
              </w:rPr>
              <w:t>-N</w:t>
            </w:r>
          </w:p>
        </w:tc>
        <w:tc>
          <w:tcPr>
            <w:tcW w:w="1613" w:type="dxa"/>
            <w:noWrap w:val="0"/>
            <w:vAlign w:val="center"/>
          </w:tcPr>
          <w:p w14:paraId="646DD05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0.009t/a</w:t>
            </w:r>
          </w:p>
        </w:tc>
        <w:tc>
          <w:tcPr>
            <w:tcW w:w="1237" w:type="dxa"/>
            <w:noWrap w:val="0"/>
            <w:vAlign w:val="center"/>
          </w:tcPr>
          <w:p w14:paraId="18F3CE7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594" w:type="dxa"/>
            <w:noWrap w:val="0"/>
            <w:vAlign w:val="center"/>
          </w:tcPr>
          <w:p w14:paraId="7BBEED7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463" w:type="dxa"/>
            <w:noWrap w:val="0"/>
            <w:vAlign w:val="center"/>
          </w:tcPr>
          <w:p w14:paraId="0D28C3E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w:t>
            </w:r>
            <w:r>
              <w:rPr>
                <w:rFonts w:hint="eastAsia" w:cs="Times New Roman"/>
                <w:i w:val="0"/>
                <w:iCs w:val="0"/>
                <w:color w:val="0000FF"/>
                <w:kern w:val="0"/>
                <w:sz w:val="21"/>
                <w:szCs w:val="21"/>
                <w:u w:val="none"/>
                <w:lang w:val="en-US" w:eastAsia="zh-CN" w:bidi="ar"/>
              </w:rPr>
              <w:t>0</w:t>
            </w:r>
            <w:r>
              <w:rPr>
                <w:rFonts w:hint="default" w:ascii="Times New Roman" w:hAnsi="Times New Roman" w:eastAsia="宋体" w:cs="Times New Roman"/>
                <w:i w:val="0"/>
                <w:iCs w:val="0"/>
                <w:color w:val="0000FF"/>
                <w:kern w:val="0"/>
                <w:sz w:val="21"/>
                <w:szCs w:val="21"/>
                <w:u w:val="none"/>
                <w:lang w:val="en-US" w:eastAsia="zh-CN" w:bidi="ar"/>
              </w:rPr>
              <w:t>24t/a</w:t>
            </w:r>
          </w:p>
        </w:tc>
        <w:tc>
          <w:tcPr>
            <w:tcW w:w="1387" w:type="dxa"/>
            <w:noWrap w:val="0"/>
            <w:vAlign w:val="center"/>
          </w:tcPr>
          <w:p w14:paraId="0E6D2F1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0.009t/a</w:t>
            </w:r>
          </w:p>
        </w:tc>
        <w:tc>
          <w:tcPr>
            <w:tcW w:w="1705" w:type="dxa"/>
            <w:noWrap w:val="0"/>
            <w:vAlign w:val="center"/>
          </w:tcPr>
          <w:p w14:paraId="50D76C3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w:t>
            </w:r>
            <w:r>
              <w:rPr>
                <w:rFonts w:hint="eastAsia" w:cs="Times New Roman"/>
                <w:i w:val="0"/>
                <w:iCs w:val="0"/>
                <w:color w:val="0000FF"/>
                <w:kern w:val="0"/>
                <w:sz w:val="21"/>
                <w:szCs w:val="21"/>
                <w:u w:val="none"/>
                <w:lang w:val="en-US" w:eastAsia="zh-CN" w:bidi="ar"/>
              </w:rPr>
              <w:t>0</w:t>
            </w:r>
            <w:r>
              <w:rPr>
                <w:rFonts w:hint="default" w:ascii="Times New Roman" w:hAnsi="Times New Roman" w:eastAsia="宋体" w:cs="Times New Roman"/>
                <w:i w:val="0"/>
                <w:iCs w:val="0"/>
                <w:color w:val="0000FF"/>
                <w:kern w:val="0"/>
                <w:sz w:val="21"/>
                <w:szCs w:val="21"/>
                <w:u w:val="none"/>
                <w:lang w:val="en-US" w:eastAsia="zh-CN" w:bidi="ar"/>
              </w:rPr>
              <w:t>24t/a</w:t>
            </w:r>
          </w:p>
        </w:tc>
        <w:tc>
          <w:tcPr>
            <w:tcW w:w="1274" w:type="dxa"/>
            <w:noWrap w:val="0"/>
            <w:vAlign w:val="center"/>
          </w:tcPr>
          <w:p w14:paraId="396C3A8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w:t>
            </w:r>
            <w:r>
              <w:rPr>
                <w:rFonts w:hint="eastAsia" w:cs="Times New Roman"/>
                <w:i w:val="0"/>
                <w:iCs w:val="0"/>
                <w:color w:val="0000FF"/>
                <w:kern w:val="0"/>
                <w:sz w:val="21"/>
                <w:szCs w:val="21"/>
                <w:u w:val="none"/>
                <w:lang w:val="en-US" w:eastAsia="zh-CN" w:bidi="ar"/>
              </w:rPr>
              <w:t>015</w:t>
            </w:r>
            <w:r>
              <w:rPr>
                <w:rFonts w:hint="default" w:ascii="Times New Roman" w:hAnsi="Times New Roman" w:eastAsia="宋体" w:cs="Times New Roman"/>
                <w:i w:val="0"/>
                <w:iCs w:val="0"/>
                <w:color w:val="0000FF"/>
                <w:kern w:val="0"/>
                <w:sz w:val="21"/>
                <w:szCs w:val="21"/>
                <w:u w:val="none"/>
                <w:lang w:val="en-US" w:eastAsia="zh-CN" w:bidi="ar"/>
              </w:rPr>
              <w:t>t/a</w:t>
            </w:r>
          </w:p>
        </w:tc>
      </w:tr>
      <w:tr w14:paraId="45D05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8" w:type="dxa"/>
            <w:vMerge w:val="continue"/>
            <w:noWrap w:val="0"/>
            <w:vAlign w:val="center"/>
          </w:tcPr>
          <w:p w14:paraId="5CC2F241">
            <w:pPr>
              <w:jc w:val="center"/>
              <w:rPr>
                <w:rFonts w:hint="default" w:ascii="Times New Roman" w:hAnsi="Times New Roman" w:eastAsia="宋体" w:cs="Times New Roman"/>
                <w:i w:val="0"/>
                <w:iCs w:val="0"/>
                <w:color w:val="0000FF"/>
                <w:sz w:val="21"/>
                <w:szCs w:val="21"/>
                <w:u w:val="none"/>
              </w:rPr>
            </w:pPr>
          </w:p>
        </w:tc>
        <w:tc>
          <w:tcPr>
            <w:tcW w:w="2246" w:type="dxa"/>
            <w:noWrap w:val="0"/>
            <w:vAlign w:val="center"/>
          </w:tcPr>
          <w:p w14:paraId="5B7B6C0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总磷</w:t>
            </w:r>
          </w:p>
        </w:tc>
        <w:tc>
          <w:tcPr>
            <w:tcW w:w="1613" w:type="dxa"/>
            <w:noWrap w:val="0"/>
            <w:vAlign w:val="center"/>
          </w:tcPr>
          <w:p w14:paraId="4D96BDC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0.0009t/a</w:t>
            </w:r>
          </w:p>
        </w:tc>
        <w:tc>
          <w:tcPr>
            <w:tcW w:w="1237" w:type="dxa"/>
            <w:noWrap w:val="0"/>
            <w:vAlign w:val="center"/>
          </w:tcPr>
          <w:p w14:paraId="55CBCD6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594" w:type="dxa"/>
            <w:noWrap w:val="0"/>
            <w:vAlign w:val="center"/>
          </w:tcPr>
          <w:p w14:paraId="16AC533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463" w:type="dxa"/>
            <w:noWrap w:val="0"/>
            <w:vAlign w:val="center"/>
          </w:tcPr>
          <w:p w14:paraId="2360C8D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0.0024t/a</w:t>
            </w:r>
          </w:p>
        </w:tc>
        <w:tc>
          <w:tcPr>
            <w:tcW w:w="1387" w:type="dxa"/>
            <w:noWrap w:val="0"/>
            <w:vAlign w:val="center"/>
          </w:tcPr>
          <w:p w14:paraId="573BA34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0.0009t/a</w:t>
            </w:r>
          </w:p>
        </w:tc>
        <w:tc>
          <w:tcPr>
            <w:tcW w:w="1705" w:type="dxa"/>
            <w:noWrap w:val="0"/>
            <w:vAlign w:val="center"/>
          </w:tcPr>
          <w:p w14:paraId="189E3B1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0.0024t/a</w:t>
            </w:r>
          </w:p>
        </w:tc>
        <w:tc>
          <w:tcPr>
            <w:tcW w:w="1274" w:type="dxa"/>
            <w:noWrap w:val="0"/>
            <w:vAlign w:val="center"/>
          </w:tcPr>
          <w:p w14:paraId="41AE05D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+0.0015t/a</w:t>
            </w:r>
          </w:p>
        </w:tc>
      </w:tr>
      <w:tr w14:paraId="4E4D6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8" w:type="dxa"/>
            <w:vMerge w:val="restart"/>
            <w:noWrap w:val="0"/>
            <w:vAlign w:val="center"/>
          </w:tcPr>
          <w:p w14:paraId="18BF9EB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一般工业固体废物</w:t>
            </w:r>
          </w:p>
        </w:tc>
        <w:tc>
          <w:tcPr>
            <w:tcW w:w="2246" w:type="dxa"/>
            <w:noWrap w:val="0"/>
            <w:vAlign w:val="center"/>
          </w:tcPr>
          <w:p w14:paraId="6EE3FCA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废包装材料</w:t>
            </w:r>
          </w:p>
        </w:tc>
        <w:tc>
          <w:tcPr>
            <w:tcW w:w="1613" w:type="dxa"/>
            <w:noWrap w:val="0"/>
            <w:vAlign w:val="center"/>
          </w:tcPr>
          <w:p w14:paraId="5474B4B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0.0003t/a</w:t>
            </w:r>
          </w:p>
        </w:tc>
        <w:tc>
          <w:tcPr>
            <w:tcW w:w="1237" w:type="dxa"/>
            <w:noWrap w:val="0"/>
            <w:vAlign w:val="center"/>
          </w:tcPr>
          <w:p w14:paraId="783165C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594" w:type="dxa"/>
            <w:noWrap w:val="0"/>
            <w:vAlign w:val="center"/>
          </w:tcPr>
          <w:p w14:paraId="74D61D9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463" w:type="dxa"/>
            <w:noWrap w:val="0"/>
            <w:vAlign w:val="center"/>
          </w:tcPr>
          <w:p w14:paraId="4A47813E">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2.326t/a</w:t>
            </w:r>
          </w:p>
        </w:tc>
        <w:tc>
          <w:tcPr>
            <w:tcW w:w="1387" w:type="dxa"/>
            <w:noWrap w:val="0"/>
            <w:vAlign w:val="center"/>
          </w:tcPr>
          <w:p w14:paraId="11FB7A6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0.0003t/a</w:t>
            </w:r>
          </w:p>
        </w:tc>
        <w:tc>
          <w:tcPr>
            <w:tcW w:w="1705" w:type="dxa"/>
            <w:noWrap w:val="0"/>
            <w:vAlign w:val="center"/>
          </w:tcPr>
          <w:p w14:paraId="717923C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2.326t/a</w:t>
            </w:r>
          </w:p>
        </w:tc>
        <w:tc>
          <w:tcPr>
            <w:tcW w:w="1274" w:type="dxa"/>
            <w:noWrap w:val="0"/>
            <w:vAlign w:val="center"/>
          </w:tcPr>
          <w:p w14:paraId="6E83237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+2.3257t/a</w:t>
            </w:r>
          </w:p>
        </w:tc>
      </w:tr>
      <w:tr w14:paraId="7B891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8" w:type="dxa"/>
            <w:vMerge w:val="continue"/>
            <w:noWrap w:val="0"/>
            <w:vAlign w:val="center"/>
          </w:tcPr>
          <w:p w14:paraId="308F5406">
            <w:pPr>
              <w:jc w:val="center"/>
              <w:rPr>
                <w:rFonts w:hint="default" w:ascii="Times New Roman" w:hAnsi="Times New Roman" w:eastAsia="宋体" w:cs="Times New Roman"/>
                <w:i w:val="0"/>
                <w:iCs w:val="0"/>
                <w:color w:val="0000FF"/>
                <w:sz w:val="21"/>
                <w:szCs w:val="21"/>
                <w:u w:val="none"/>
              </w:rPr>
            </w:pPr>
          </w:p>
        </w:tc>
        <w:tc>
          <w:tcPr>
            <w:tcW w:w="2246" w:type="dxa"/>
            <w:noWrap w:val="0"/>
            <w:vAlign w:val="center"/>
          </w:tcPr>
          <w:p w14:paraId="0BD6996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不合格品、塑胶边角料</w:t>
            </w:r>
          </w:p>
        </w:tc>
        <w:tc>
          <w:tcPr>
            <w:tcW w:w="1613" w:type="dxa"/>
            <w:noWrap w:val="0"/>
            <w:vAlign w:val="center"/>
          </w:tcPr>
          <w:p w14:paraId="6392CA65">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0.003t/a</w:t>
            </w:r>
          </w:p>
        </w:tc>
        <w:tc>
          <w:tcPr>
            <w:tcW w:w="1237" w:type="dxa"/>
            <w:noWrap w:val="0"/>
            <w:vAlign w:val="center"/>
          </w:tcPr>
          <w:p w14:paraId="202332D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594" w:type="dxa"/>
            <w:noWrap w:val="0"/>
            <w:vAlign w:val="center"/>
          </w:tcPr>
          <w:p w14:paraId="2B91333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463" w:type="dxa"/>
            <w:noWrap w:val="0"/>
            <w:vAlign w:val="center"/>
          </w:tcPr>
          <w:p w14:paraId="1E31E200">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cs="Times New Roman"/>
                <w:i w:val="0"/>
                <w:iCs w:val="0"/>
                <w:color w:val="0000FF"/>
                <w:kern w:val="0"/>
                <w:sz w:val="21"/>
                <w:szCs w:val="21"/>
                <w:u w:val="none"/>
                <w:lang w:val="en-US" w:eastAsia="zh-CN" w:bidi="ar"/>
              </w:rPr>
              <w:t>55.9762</w:t>
            </w:r>
            <w:r>
              <w:rPr>
                <w:rFonts w:hint="default" w:ascii="Times New Roman" w:hAnsi="Times New Roman" w:eastAsia="宋体" w:cs="Times New Roman"/>
                <w:i w:val="0"/>
                <w:iCs w:val="0"/>
                <w:color w:val="0000FF"/>
                <w:kern w:val="0"/>
                <w:sz w:val="21"/>
                <w:szCs w:val="21"/>
                <w:u w:val="none"/>
                <w:lang w:val="en-US" w:eastAsia="zh-CN" w:bidi="ar"/>
              </w:rPr>
              <w:t>t/a</w:t>
            </w:r>
          </w:p>
        </w:tc>
        <w:tc>
          <w:tcPr>
            <w:tcW w:w="1387" w:type="dxa"/>
            <w:noWrap w:val="0"/>
            <w:vAlign w:val="center"/>
          </w:tcPr>
          <w:p w14:paraId="2718791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0.003t/a</w:t>
            </w:r>
          </w:p>
        </w:tc>
        <w:tc>
          <w:tcPr>
            <w:tcW w:w="1705" w:type="dxa"/>
            <w:noWrap w:val="0"/>
            <w:vAlign w:val="center"/>
          </w:tcPr>
          <w:p w14:paraId="21B8448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cs="Times New Roman"/>
                <w:i w:val="0"/>
                <w:iCs w:val="0"/>
                <w:color w:val="0000FF"/>
                <w:kern w:val="0"/>
                <w:sz w:val="21"/>
                <w:szCs w:val="21"/>
                <w:u w:val="none"/>
                <w:lang w:val="en-US" w:eastAsia="zh-CN" w:bidi="ar"/>
              </w:rPr>
              <w:t>55.9762</w:t>
            </w:r>
            <w:r>
              <w:rPr>
                <w:rFonts w:hint="default" w:ascii="Times New Roman" w:hAnsi="Times New Roman" w:eastAsia="宋体" w:cs="Times New Roman"/>
                <w:i w:val="0"/>
                <w:iCs w:val="0"/>
                <w:color w:val="0000FF"/>
                <w:kern w:val="0"/>
                <w:sz w:val="21"/>
                <w:szCs w:val="21"/>
                <w:u w:val="none"/>
                <w:lang w:val="en-US" w:eastAsia="zh-CN" w:bidi="ar"/>
              </w:rPr>
              <w:t>t/a</w:t>
            </w:r>
          </w:p>
        </w:tc>
        <w:tc>
          <w:tcPr>
            <w:tcW w:w="1274" w:type="dxa"/>
            <w:noWrap w:val="0"/>
            <w:vAlign w:val="center"/>
          </w:tcPr>
          <w:p w14:paraId="4B41F23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r>
              <w:rPr>
                <w:rFonts w:hint="eastAsia" w:cs="Times New Roman"/>
                <w:i w:val="0"/>
                <w:iCs w:val="0"/>
                <w:color w:val="0000FF"/>
                <w:kern w:val="0"/>
                <w:sz w:val="21"/>
                <w:szCs w:val="21"/>
                <w:u w:val="none"/>
                <w:lang w:val="en-US" w:eastAsia="zh-CN" w:bidi="ar"/>
              </w:rPr>
              <w:t>55.9732</w:t>
            </w:r>
            <w:r>
              <w:rPr>
                <w:rFonts w:hint="default" w:ascii="Times New Roman" w:hAnsi="Times New Roman" w:eastAsia="宋体" w:cs="Times New Roman"/>
                <w:i w:val="0"/>
                <w:iCs w:val="0"/>
                <w:color w:val="0000FF"/>
                <w:kern w:val="0"/>
                <w:sz w:val="21"/>
                <w:szCs w:val="21"/>
                <w:u w:val="none"/>
                <w:lang w:val="en-US" w:eastAsia="zh-CN" w:bidi="ar"/>
              </w:rPr>
              <w:t>t/a</w:t>
            </w:r>
          </w:p>
        </w:tc>
      </w:tr>
      <w:tr w14:paraId="75334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8" w:type="dxa"/>
            <w:vMerge w:val="continue"/>
            <w:noWrap w:val="0"/>
            <w:vAlign w:val="center"/>
          </w:tcPr>
          <w:p w14:paraId="12FE9EF5">
            <w:pPr>
              <w:jc w:val="center"/>
              <w:rPr>
                <w:rFonts w:hint="default" w:ascii="Times New Roman" w:hAnsi="Times New Roman" w:eastAsia="宋体" w:cs="Times New Roman"/>
                <w:i w:val="0"/>
                <w:iCs w:val="0"/>
                <w:color w:val="0000FF"/>
                <w:sz w:val="21"/>
                <w:szCs w:val="21"/>
                <w:u w:val="none"/>
              </w:rPr>
            </w:pPr>
          </w:p>
        </w:tc>
        <w:tc>
          <w:tcPr>
            <w:tcW w:w="2246" w:type="dxa"/>
            <w:noWrap w:val="0"/>
            <w:vAlign w:val="center"/>
          </w:tcPr>
          <w:p w14:paraId="4A56D0EC">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印刷不合格品</w:t>
            </w:r>
          </w:p>
        </w:tc>
        <w:tc>
          <w:tcPr>
            <w:tcW w:w="1613" w:type="dxa"/>
            <w:noWrap w:val="0"/>
            <w:vAlign w:val="center"/>
          </w:tcPr>
          <w:p w14:paraId="45A1BA1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37" w:type="dxa"/>
            <w:noWrap w:val="0"/>
            <w:vAlign w:val="center"/>
          </w:tcPr>
          <w:p w14:paraId="39A6C3C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594" w:type="dxa"/>
            <w:noWrap w:val="0"/>
            <w:vAlign w:val="center"/>
          </w:tcPr>
          <w:p w14:paraId="77034C9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463" w:type="dxa"/>
            <w:noWrap w:val="0"/>
            <w:vAlign w:val="center"/>
          </w:tcPr>
          <w:p w14:paraId="2143BAD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5t/a</w:t>
            </w:r>
          </w:p>
        </w:tc>
        <w:tc>
          <w:tcPr>
            <w:tcW w:w="1387" w:type="dxa"/>
            <w:noWrap w:val="0"/>
            <w:vAlign w:val="center"/>
          </w:tcPr>
          <w:p w14:paraId="0DB12209">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705" w:type="dxa"/>
            <w:noWrap w:val="0"/>
            <w:vAlign w:val="center"/>
          </w:tcPr>
          <w:p w14:paraId="18775D3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5t/a</w:t>
            </w:r>
          </w:p>
        </w:tc>
        <w:tc>
          <w:tcPr>
            <w:tcW w:w="1274" w:type="dxa"/>
            <w:noWrap w:val="0"/>
            <w:vAlign w:val="center"/>
          </w:tcPr>
          <w:p w14:paraId="6F5DEF9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+5t/a</w:t>
            </w:r>
          </w:p>
        </w:tc>
      </w:tr>
      <w:tr w14:paraId="18981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8" w:type="dxa"/>
            <w:vMerge w:val="continue"/>
            <w:noWrap w:val="0"/>
            <w:vAlign w:val="center"/>
          </w:tcPr>
          <w:p w14:paraId="6B12FEF2">
            <w:pPr>
              <w:jc w:val="center"/>
              <w:rPr>
                <w:rFonts w:hint="default" w:ascii="Times New Roman" w:hAnsi="Times New Roman" w:eastAsia="宋体" w:cs="Times New Roman"/>
                <w:i w:val="0"/>
                <w:iCs w:val="0"/>
                <w:color w:val="0000FF"/>
                <w:sz w:val="21"/>
                <w:szCs w:val="21"/>
                <w:u w:val="none"/>
              </w:rPr>
            </w:pPr>
          </w:p>
        </w:tc>
        <w:tc>
          <w:tcPr>
            <w:tcW w:w="2246" w:type="dxa"/>
            <w:noWrap w:val="0"/>
            <w:vAlign w:val="center"/>
          </w:tcPr>
          <w:p w14:paraId="1F94585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金属边角料</w:t>
            </w:r>
          </w:p>
        </w:tc>
        <w:tc>
          <w:tcPr>
            <w:tcW w:w="1613" w:type="dxa"/>
            <w:noWrap w:val="0"/>
            <w:vAlign w:val="center"/>
          </w:tcPr>
          <w:p w14:paraId="38044A3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37" w:type="dxa"/>
            <w:noWrap w:val="0"/>
            <w:vAlign w:val="center"/>
          </w:tcPr>
          <w:p w14:paraId="38200928">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594" w:type="dxa"/>
            <w:noWrap w:val="0"/>
            <w:vAlign w:val="center"/>
          </w:tcPr>
          <w:p w14:paraId="2805E0A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463" w:type="dxa"/>
            <w:noWrap w:val="0"/>
            <w:vAlign w:val="center"/>
          </w:tcPr>
          <w:p w14:paraId="1C3CE431">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0.001t/a</w:t>
            </w:r>
          </w:p>
        </w:tc>
        <w:tc>
          <w:tcPr>
            <w:tcW w:w="1387" w:type="dxa"/>
            <w:noWrap w:val="0"/>
            <w:vAlign w:val="center"/>
          </w:tcPr>
          <w:p w14:paraId="0B2AF8B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705" w:type="dxa"/>
            <w:noWrap w:val="0"/>
            <w:vAlign w:val="center"/>
          </w:tcPr>
          <w:p w14:paraId="7F6DF59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0.001t/a</w:t>
            </w:r>
          </w:p>
        </w:tc>
        <w:tc>
          <w:tcPr>
            <w:tcW w:w="1274" w:type="dxa"/>
            <w:noWrap w:val="0"/>
            <w:vAlign w:val="center"/>
          </w:tcPr>
          <w:p w14:paraId="7B01224B">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+0.001t/a</w:t>
            </w:r>
          </w:p>
        </w:tc>
      </w:tr>
      <w:tr w14:paraId="40180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8" w:type="dxa"/>
            <w:vMerge w:val="restart"/>
            <w:noWrap w:val="0"/>
            <w:vAlign w:val="center"/>
          </w:tcPr>
          <w:p w14:paraId="4034F71F">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危险废物</w:t>
            </w:r>
          </w:p>
        </w:tc>
        <w:tc>
          <w:tcPr>
            <w:tcW w:w="2246" w:type="dxa"/>
            <w:noWrap w:val="0"/>
            <w:vAlign w:val="center"/>
          </w:tcPr>
          <w:p w14:paraId="1BFC611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eastAsia" w:ascii="宋体" w:hAnsi="宋体" w:eastAsia="宋体" w:cs="宋体"/>
                <w:i w:val="0"/>
                <w:iCs w:val="0"/>
                <w:color w:val="0000FF"/>
                <w:kern w:val="0"/>
                <w:sz w:val="21"/>
                <w:szCs w:val="21"/>
                <w:u w:val="none"/>
                <w:lang w:val="en-US" w:eastAsia="zh-CN" w:bidi="ar"/>
              </w:rPr>
              <w:t>废含油棉纱手套</w:t>
            </w:r>
          </w:p>
        </w:tc>
        <w:tc>
          <w:tcPr>
            <w:tcW w:w="1613" w:type="dxa"/>
            <w:noWrap w:val="0"/>
            <w:vAlign w:val="center"/>
          </w:tcPr>
          <w:p w14:paraId="276A8D4A">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37" w:type="dxa"/>
            <w:noWrap w:val="0"/>
            <w:vAlign w:val="center"/>
          </w:tcPr>
          <w:p w14:paraId="1EDA9E8D">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594" w:type="dxa"/>
            <w:noWrap w:val="0"/>
            <w:vAlign w:val="center"/>
          </w:tcPr>
          <w:p w14:paraId="62397B63">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463" w:type="dxa"/>
            <w:noWrap w:val="0"/>
            <w:vAlign w:val="center"/>
          </w:tcPr>
          <w:p w14:paraId="6288E9C2">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0.03t/a</w:t>
            </w:r>
          </w:p>
        </w:tc>
        <w:tc>
          <w:tcPr>
            <w:tcW w:w="1387" w:type="dxa"/>
            <w:noWrap w:val="0"/>
            <w:vAlign w:val="center"/>
          </w:tcPr>
          <w:p w14:paraId="6DF99F76">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705" w:type="dxa"/>
            <w:noWrap w:val="0"/>
            <w:vAlign w:val="center"/>
          </w:tcPr>
          <w:p w14:paraId="39604294">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0.03t/a</w:t>
            </w:r>
          </w:p>
        </w:tc>
        <w:tc>
          <w:tcPr>
            <w:tcW w:w="1274" w:type="dxa"/>
            <w:noWrap w:val="0"/>
            <w:vAlign w:val="center"/>
          </w:tcPr>
          <w:p w14:paraId="6A1A0217">
            <w:pPr>
              <w:keepNext w:val="0"/>
              <w:keepLines w:val="0"/>
              <w:widowControl/>
              <w:suppressLineNumbers w:val="0"/>
              <w:jc w:val="center"/>
              <w:textAlignment w:val="center"/>
              <w:rPr>
                <w:rFonts w:hint="default" w:ascii="Times New Roman" w:hAnsi="Times New Roman" w:eastAsia="宋体" w:cs="Times New Roman"/>
                <w:i w:val="0"/>
                <w:iCs w:val="0"/>
                <w:color w:val="0000FF"/>
                <w:sz w:val="21"/>
                <w:szCs w:val="21"/>
                <w:u w:val="none"/>
              </w:rPr>
            </w:pPr>
            <w:r>
              <w:rPr>
                <w:rFonts w:hint="default" w:ascii="Times New Roman" w:hAnsi="Times New Roman" w:eastAsia="宋体" w:cs="Times New Roman"/>
                <w:i w:val="0"/>
                <w:iCs w:val="0"/>
                <w:color w:val="0000FF"/>
                <w:kern w:val="0"/>
                <w:sz w:val="21"/>
                <w:szCs w:val="21"/>
                <w:u w:val="none"/>
                <w:lang w:val="en-US" w:eastAsia="zh-CN" w:bidi="ar"/>
              </w:rPr>
              <w:t>+0.03t/a</w:t>
            </w:r>
          </w:p>
        </w:tc>
      </w:tr>
      <w:tr w14:paraId="3EA81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8" w:type="dxa"/>
            <w:vMerge w:val="continue"/>
            <w:noWrap w:val="0"/>
            <w:vAlign w:val="center"/>
          </w:tcPr>
          <w:p w14:paraId="4AA3FF1C">
            <w:pPr>
              <w:jc w:val="center"/>
              <w:rPr>
                <w:rFonts w:hint="default" w:ascii="Times New Roman" w:hAnsi="Times New Roman" w:eastAsia="宋体" w:cs="Times New Roman"/>
                <w:i w:val="0"/>
                <w:iCs w:val="0"/>
                <w:color w:val="0000FF"/>
                <w:sz w:val="21"/>
                <w:szCs w:val="21"/>
                <w:u w:val="none"/>
              </w:rPr>
            </w:pPr>
          </w:p>
        </w:tc>
        <w:tc>
          <w:tcPr>
            <w:tcW w:w="2246" w:type="dxa"/>
            <w:noWrap w:val="0"/>
            <w:vAlign w:val="center"/>
          </w:tcPr>
          <w:p w14:paraId="19F905A7">
            <w:pPr>
              <w:keepNext w:val="0"/>
              <w:keepLines w:val="0"/>
              <w:widowControl/>
              <w:suppressLineNumbers w:val="0"/>
              <w:jc w:val="center"/>
              <w:textAlignment w:val="center"/>
              <w:rPr>
                <w:rFonts w:hint="eastAsia" w:ascii="宋体" w:hAnsi="宋体" w:eastAsia="宋体" w:cs="宋体"/>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废包装桶</w:t>
            </w:r>
          </w:p>
        </w:tc>
        <w:tc>
          <w:tcPr>
            <w:tcW w:w="1613" w:type="dxa"/>
            <w:noWrap w:val="0"/>
            <w:vAlign w:val="center"/>
          </w:tcPr>
          <w:p w14:paraId="6369F15E">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37" w:type="dxa"/>
            <w:noWrap w:val="0"/>
            <w:vAlign w:val="center"/>
          </w:tcPr>
          <w:p w14:paraId="088CED36">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594" w:type="dxa"/>
            <w:noWrap w:val="0"/>
            <w:vAlign w:val="center"/>
          </w:tcPr>
          <w:p w14:paraId="7E0C688A">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463" w:type="dxa"/>
            <w:noWrap w:val="0"/>
            <w:vAlign w:val="center"/>
          </w:tcPr>
          <w:p w14:paraId="03951B9B">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0.0156t/a</w:t>
            </w:r>
          </w:p>
        </w:tc>
        <w:tc>
          <w:tcPr>
            <w:tcW w:w="1387" w:type="dxa"/>
            <w:noWrap w:val="0"/>
            <w:vAlign w:val="center"/>
          </w:tcPr>
          <w:p w14:paraId="3845AFD6">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705" w:type="dxa"/>
            <w:noWrap w:val="0"/>
            <w:vAlign w:val="center"/>
          </w:tcPr>
          <w:p w14:paraId="0455E43C">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0.0156t/a</w:t>
            </w:r>
          </w:p>
        </w:tc>
        <w:tc>
          <w:tcPr>
            <w:tcW w:w="1274" w:type="dxa"/>
            <w:noWrap w:val="0"/>
            <w:vAlign w:val="center"/>
          </w:tcPr>
          <w:p w14:paraId="5C64B34F">
            <w:pPr>
              <w:keepNext w:val="0"/>
              <w:keepLines w:val="0"/>
              <w:widowControl/>
              <w:suppressLineNumbers w:val="0"/>
              <w:jc w:val="center"/>
              <w:textAlignment w:val="center"/>
              <w:rPr>
                <w:rFonts w:hint="eastAsia"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+0.0156t/a</w:t>
            </w:r>
          </w:p>
        </w:tc>
      </w:tr>
      <w:tr w14:paraId="79B1B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8" w:type="dxa"/>
            <w:vMerge w:val="continue"/>
            <w:noWrap w:val="0"/>
            <w:vAlign w:val="center"/>
          </w:tcPr>
          <w:p w14:paraId="33EFE149">
            <w:pPr>
              <w:jc w:val="center"/>
              <w:rPr>
                <w:rFonts w:hint="default" w:ascii="Times New Roman" w:hAnsi="Times New Roman" w:eastAsia="宋体" w:cs="Times New Roman"/>
                <w:i w:val="0"/>
                <w:iCs w:val="0"/>
                <w:color w:val="0000FF"/>
                <w:sz w:val="21"/>
                <w:szCs w:val="21"/>
                <w:u w:val="none"/>
              </w:rPr>
            </w:pPr>
          </w:p>
        </w:tc>
        <w:tc>
          <w:tcPr>
            <w:tcW w:w="2246" w:type="dxa"/>
            <w:noWrap w:val="0"/>
            <w:vAlign w:val="center"/>
          </w:tcPr>
          <w:p w14:paraId="2031463E">
            <w:pPr>
              <w:keepNext w:val="0"/>
              <w:keepLines w:val="0"/>
              <w:widowControl/>
              <w:suppressLineNumbers w:val="0"/>
              <w:jc w:val="center"/>
              <w:textAlignment w:val="center"/>
              <w:rPr>
                <w:rFonts w:hint="eastAsia" w:ascii="宋体" w:hAnsi="宋体" w:eastAsia="宋体" w:cs="宋体"/>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废油墨桶</w:t>
            </w:r>
          </w:p>
        </w:tc>
        <w:tc>
          <w:tcPr>
            <w:tcW w:w="1613" w:type="dxa"/>
            <w:noWrap w:val="0"/>
            <w:vAlign w:val="center"/>
          </w:tcPr>
          <w:p w14:paraId="5BD7DB53">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37" w:type="dxa"/>
            <w:noWrap w:val="0"/>
            <w:vAlign w:val="center"/>
          </w:tcPr>
          <w:p w14:paraId="2C29A437">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594" w:type="dxa"/>
            <w:noWrap w:val="0"/>
            <w:vAlign w:val="center"/>
          </w:tcPr>
          <w:p w14:paraId="2A207B0C">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463" w:type="dxa"/>
            <w:noWrap w:val="0"/>
            <w:vAlign w:val="center"/>
          </w:tcPr>
          <w:p w14:paraId="64C46725">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0.01t/a</w:t>
            </w:r>
          </w:p>
        </w:tc>
        <w:tc>
          <w:tcPr>
            <w:tcW w:w="1387" w:type="dxa"/>
            <w:noWrap w:val="0"/>
            <w:vAlign w:val="center"/>
          </w:tcPr>
          <w:p w14:paraId="3B4ADB68">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705" w:type="dxa"/>
            <w:noWrap w:val="0"/>
            <w:vAlign w:val="center"/>
          </w:tcPr>
          <w:p w14:paraId="4F80BBD6">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0.01t/a</w:t>
            </w:r>
          </w:p>
        </w:tc>
        <w:tc>
          <w:tcPr>
            <w:tcW w:w="1274" w:type="dxa"/>
            <w:noWrap w:val="0"/>
            <w:vAlign w:val="center"/>
          </w:tcPr>
          <w:p w14:paraId="14D6ADA7">
            <w:pPr>
              <w:keepNext w:val="0"/>
              <w:keepLines w:val="0"/>
              <w:widowControl/>
              <w:suppressLineNumbers w:val="0"/>
              <w:jc w:val="center"/>
              <w:textAlignment w:val="center"/>
              <w:rPr>
                <w:rFonts w:hint="eastAsia"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+0.01t/a</w:t>
            </w:r>
          </w:p>
        </w:tc>
      </w:tr>
      <w:tr w14:paraId="17B01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128" w:type="dxa"/>
            <w:vMerge w:val="continue"/>
            <w:noWrap w:val="0"/>
            <w:vAlign w:val="center"/>
          </w:tcPr>
          <w:p w14:paraId="4B9DCB00">
            <w:pPr>
              <w:jc w:val="center"/>
              <w:rPr>
                <w:rFonts w:hint="default" w:ascii="Times New Roman" w:hAnsi="Times New Roman" w:eastAsia="宋体" w:cs="Times New Roman"/>
                <w:i w:val="0"/>
                <w:iCs w:val="0"/>
                <w:color w:val="0000FF"/>
                <w:sz w:val="21"/>
                <w:szCs w:val="21"/>
                <w:u w:val="none"/>
              </w:rPr>
            </w:pPr>
          </w:p>
        </w:tc>
        <w:tc>
          <w:tcPr>
            <w:tcW w:w="2246" w:type="dxa"/>
            <w:noWrap w:val="0"/>
            <w:vAlign w:val="center"/>
          </w:tcPr>
          <w:p w14:paraId="51824526">
            <w:pPr>
              <w:keepNext w:val="0"/>
              <w:keepLines w:val="0"/>
              <w:widowControl/>
              <w:suppressLineNumbers w:val="0"/>
              <w:jc w:val="center"/>
              <w:textAlignment w:val="center"/>
              <w:rPr>
                <w:rFonts w:hint="eastAsia" w:ascii="宋体" w:hAnsi="宋体" w:eastAsia="宋体" w:cs="宋体"/>
                <w:i w:val="0"/>
                <w:iCs w:val="0"/>
                <w:color w:val="00B050"/>
                <w:kern w:val="0"/>
                <w:sz w:val="21"/>
                <w:szCs w:val="21"/>
                <w:u w:val="none"/>
                <w:lang w:val="en-US" w:eastAsia="zh-CN" w:bidi="ar"/>
              </w:rPr>
            </w:pPr>
            <w:r>
              <w:rPr>
                <w:rFonts w:hint="eastAsia" w:ascii="宋体" w:hAnsi="宋体" w:eastAsia="宋体" w:cs="宋体"/>
                <w:i w:val="0"/>
                <w:iCs w:val="0"/>
                <w:color w:val="00B050"/>
                <w:kern w:val="0"/>
                <w:sz w:val="21"/>
                <w:szCs w:val="21"/>
                <w:u w:val="none"/>
                <w:lang w:val="en-US" w:eastAsia="zh-CN" w:bidi="ar"/>
              </w:rPr>
              <w:t>废活性炭</w:t>
            </w:r>
          </w:p>
        </w:tc>
        <w:tc>
          <w:tcPr>
            <w:tcW w:w="1613" w:type="dxa"/>
            <w:noWrap w:val="0"/>
            <w:vAlign w:val="center"/>
          </w:tcPr>
          <w:p w14:paraId="5435BFC7">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w:t>
            </w:r>
          </w:p>
        </w:tc>
        <w:tc>
          <w:tcPr>
            <w:tcW w:w="1237" w:type="dxa"/>
            <w:noWrap w:val="0"/>
            <w:vAlign w:val="center"/>
          </w:tcPr>
          <w:p w14:paraId="56B142C8">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w:t>
            </w:r>
          </w:p>
        </w:tc>
        <w:tc>
          <w:tcPr>
            <w:tcW w:w="1594" w:type="dxa"/>
            <w:noWrap w:val="0"/>
            <w:vAlign w:val="center"/>
          </w:tcPr>
          <w:p w14:paraId="4DBBE4B6">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w:t>
            </w:r>
          </w:p>
        </w:tc>
        <w:tc>
          <w:tcPr>
            <w:tcW w:w="1463" w:type="dxa"/>
            <w:noWrap w:val="0"/>
            <w:vAlign w:val="center"/>
          </w:tcPr>
          <w:p w14:paraId="0070B9B8">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eastAsia" w:cs="Times New Roman"/>
                <w:i w:val="0"/>
                <w:iCs w:val="0"/>
                <w:color w:val="00B050"/>
                <w:kern w:val="0"/>
                <w:sz w:val="21"/>
                <w:szCs w:val="21"/>
                <w:u w:val="none"/>
                <w:lang w:val="en-US" w:eastAsia="zh-CN" w:bidi="ar"/>
              </w:rPr>
              <w:t>5.3168</w:t>
            </w:r>
            <w:r>
              <w:rPr>
                <w:rFonts w:hint="default" w:ascii="Times New Roman" w:hAnsi="Times New Roman" w:eastAsia="宋体" w:cs="Times New Roman"/>
                <w:i w:val="0"/>
                <w:iCs w:val="0"/>
                <w:color w:val="00B050"/>
                <w:kern w:val="0"/>
                <w:sz w:val="21"/>
                <w:szCs w:val="21"/>
                <w:u w:val="none"/>
                <w:lang w:val="en-US" w:eastAsia="zh-CN" w:bidi="ar"/>
              </w:rPr>
              <w:t>t/a</w:t>
            </w:r>
          </w:p>
        </w:tc>
        <w:tc>
          <w:tcPr>
            <w:tcW w:w="1387" w:type="dxa"/>
            <w:noWrap w:val="0"/>
            <w:vAlign w:val="center"/>
          </w:tcPr>
          <w:p w14:paraId="498BD9FA">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w:t>
            </w:r>
          </w:p>
        </w:tc>
        <w:tc>
          <w:tcPr>
            <w:tcW w:w="1705" w:type="dxa"/>
            <w:noWrap w:val="0"/>
            <w:vAlign w:val="center"/>
          </w:tcPr>
          <w:p w14:paraId="680E3336">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eastAsia" w:cs="Times New Roman"/>
                <w:i w:val="0"/>
                <w:iCs w:val="0"/>
                <w:color w:val="00B050"/>
                <w:kern w:val="0"/>
                <w:sz w:val="21"/>
                <w:szCs w:val="21"/>
                <w:u w:val="none"/>
                <w:lang w:val="en-US" w:eastAsia="zh-CN" w:bidi="ar"/>
              </w:rPr>
              <w:t>5.3168</w:t>
            </w:r>
            <w:r>
              <w:rPr>
                <w:rFonts w:hint="default" w:ascii="Times New Roman" w:hAnsi="Times New Roman" w:eastAsia="宋体" w:cs="Times New Roman"/>
                <w:i w:val="0"/>
                <w:iCs w:val="0"/>
                <w:color w:val="00B050"/>
                <w:kern w:val="0"/>
                <w:sz w:val="21"/>
                <w:szCs w:val="21"/>
                <w:u w:val="none"/>
                <w:lang w:val="en-US" w:eastAsia="zh-CN" w:bidi="ar"/>
              </w:rPr>
              <w:t>t/a</w:t>
            </w:r>
          </w:p>
        </w:tc>
        <w:tc>
          <w:tcPr>
            <w:tcW w:w="1274" w:type="dxa"/>
            <w:noWrap w:val="0"/>
            <w:vAlign w:val="center"/>
          </w:tcPr>
          <w:p w14:paraId="1BB1EE96">
            <w:pPr>
              <w:keepNext w:val="0"/>
              <w:keepLines w:val="0"/>
              <w:widowControl/>
              <w:suppressLineNumbers w:val="0"/>
              <w:jc w:val="center"/>
              <w:textAlignment w:val="center"/>
              <w:rPr>
                <w:rFonts w:hint="default" w:ascii="Times New Roman" w:hAnsi="Times New Roman" w:eastAsia="宋体" w:cs="Times New Roman"/>
                <w:i w:val="0"/>
                <w:iCs w:val="0"/>
                <w:color w:val="00B050"/>
                <w:kern w:val="0"/>
                <w:sz w:val="21"/>
                <w:szCs w:val="21"/>
                <w:u w:val="none"/>
                <w:lang w:val="en-US" w:eastAsia="zh-CN" w:bidi="ar"/>
              </w:rPr>
            </w:pPr>
            <w:r>
              <w:rPr>
                <w:rFonts w:hint="default" w:ascii="Times New Roman" w:hAnsi="Times New Roman" w:eastAsia="宋体" w:cs="Times New Roman"/>
                <w:i w:val="0"/>
                <w:iCs w:val="0"/>
                <w:color w:val="00B050"/>
                <w:kern w:val="0"/>
                <w:sz w:val="21"/>
                <w:szCs w:val="21"/>
                <w:u w:val="none"/>
                <w:lang w:val="en-US" w:eastAsia="zh-CN" w:bidi="ar"/>
              </w:rPr>
              <w:t>+</w:t>
            </w:r>
            <w:r>
              <w:rPr>
                <w:rFonts w:hint="eastAsia" w:cs="Times New Roman"/>
                <w:i w:val="0"/>
                <w:iCs w:val="0"/>
                <w:color w:val="00B050"/>
                <w:kern w:val="0"/>
                <w:sz w:val="21"/>
                <w:szCs w:val="21"/>
                <w:u w:val="none"/>
                <w:lang w:val="en-US" w:eastAsia="zh-CN" w:bidi="ar"/>
              </w:rPr>
              <w:t>5.3168</w:t>
            </w:r>
            <w:r>
              <w:rPr>
                <w:rFonts w:hint="default" w:ascii="Times New Roman" w:hAnsi="Times New Roman" w:eastAsia="宋体" w:cs="Times New Roman"/>
                <w:i w:val="0"/>
                <w:iCs w:val="0"/>
                <w:color w:val="00B050"/>
                <w:kern w:val="0"/>
                <w:sz w:val="21"/>
                <w:szCs w:val="21"/>
                <w:u w:val="none"/>
                <w:lang w:val="en-US" w:eastAsia="zh-CN" w:bidi="ar"/>
              </w:rPr>
              <w:t>t/a</w:t>
            </w:r>
          </w:p>
        </w:tc>
      </w:tr>
      <w:tr w14:paraId="27A90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8" w:type="dxa"/>
            <w:vMerge w:val="continue"/>
            <w:noWrap w:val="0"/>
            <w:vAlign w:val="center"/>
          </w:tcPr>
          <w:p w14:paraId="56C5D697">
            <w:pPr>
              <w:jc w:val="center"/>
              <w:rPr>
                <w:rFonts w:hint="default" w:ascii="Times New Roman" w:hAnsi="Times New Roman" w:eastAsia="宋体" w:cs="Times New Roman"/>
                <w:i w:val="0"/>
                <w:iCs w:val="0"/>
                <w:color w:val="0000FF"/>
                <w:sz w:val="21"/>
                <w:szCs w:val="21"/>
                <w:u w:val="none"/>
              </w:rPr>
            </w:pPr>
          </w:p>
        </w:tc>
        <w:tc>
          <w:tcPr>
            <w:tcW w:w="2246" w:type="dxa"/>
            <w:noWrap w:val="0"/>
            <w:vAlign w:val="center"/>
          </w:tcPr>
          <w:p w14:paraId="2FD27C03">
            <w:pPr>
              <w:keepNext w:val="0"/>
              <w:keepLines w:val="0"/>
              <w:widowControl/>
              <w:suppressLineNumbers w:val="0"/>
              <w:jc w:val="center"/>
              <w:textAlignment w:val="center"/>
              <w:rPr>
                <w:rFonts w:hint="eastAsia" w:ascii="宋体" w:hAnsi="宋体" w:eastAsia="宋体" w:cs="宋体"/>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废润滑油</w:t>
            </w:r>
          </w:p>
        </w:tc>
        <w:tc>
          <w:tcPr>
            <w:tcW w:w="1613" w:type="dxa"/>
            <w:noWrap w:val="0"/>
            <w:vAlign w:val="center"/>
          </w:tcPr>
          <w:p w14:paraId="473BCE32">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37" w:type="dxa"/>
            <w:noWrap w:val="0"/>
            <w:vAlign w:val="center"/>
          </w:tcPr>
          <w:p w14:paraId="1304461F">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594" w:type="dxa"/>
            <w:noWrap w:val="0"/>
            <w:vAlign w:val="center"/>
          </w:tcPr>
          <w:p w14:paraId="7C175132">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463" w:type="dxa"/>
            <w:noWrap w:val="0"/>
            <w:vAlign w:val="center"/>
          </w:tcPr>
          <w:p w14:paraId="206DC0EA">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0.08t/a</w:t>
            </w:r>
          </w:p>
        </w:tc>
        <w:tc>
          <w:tcPr>
            <w:tcW w:w="1387" w:type="dxa"/>
            <w:noWrap w:val="0"/>
            <w:vAlign w:val="center"/>
          </w:tcPr>
          <w:p w14:paraId="4A803EAF">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705" w:type="dxa"/>
            <w:noWrap w:val="0"/>
            <w:vAlign w:val="center"/>
          </w:tcPr>
          <w:p w14:paraId="4C36CAD6">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0.08t/a</w:t>
            </w:r>
          </w:p>
        </w:tc>
        <w:tc>
          <w:tcPr>
            <w:tcW w:w="1274" w:type="dxa"/>
            <w:noWrap w:val="0"/>
            <w:vAlign w:val="center"/>
          </w:tcPr>
          <w:p w14:paraId="55887E93">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+0.08t/a</w:t>
            </w:r>
          </w:p>
        </w:tc>
      </w:tr>
      <w:tr w14:paraId="7726D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8" w:type="dxa"/>
            <w:vMerge w:val="continue"/>
            <w:noWrap w:val="0"/>
            <w:vAlign w:val="center"/>
          </w:tcPr>
          <w:p w14:paraId="4401FE05">
            <w:pPr>
              <w:jc w:val="center"/>
              <w:rPr>
                <w:rFonts w:hint="default" w:ascii="Times New Roman" w:hAnsi="Times New Roman" w:eastAsia="宋体" w:cs="Times New Roman"/>
                <w:i w:val="0"/>
                <w:iCs w:val="0"/>
                <w:color w:val="0000FF"/>
                <w:sz w:val="21"/>
                <w:szCs w:val="21"/>
                <w:u w:val="none"/>
              </w:rPr>
            </w:pPr>
          </w:p>
        </w:tc>
        <w:tc>
          <w:tcPr>
            <w:tcW w:w="2246" w:type="dxa"/>
            <w:noWrap w:val="0"/>
            <w:vAlign w:val="center"/>
          </w:tcPr>
          <w:p w14:paraId="1EF4D9A6">
            <w:pPr>
              <w:keepNext w:val="0"/>
              <w:keepLines w:val="0"/>
              <w:widowControl/>
              <w:suppressLineNumbers w:val="0"/>
              <w:jc w:val="center"/>
              <w:textAlignment w:val="center"/>
              <w:rPr>
                <w:rFonts w:hint="eastAsia" w:ascii="宋体" w:hAnsi="宋体" w:eastAsia="宋体" w:cs="宋体"/>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空压机产生的油</w:t>
            </w:r>
            <w:r>
              <w:rPr>
                <w:rFonts w:hint="default" w:ascii="Times New Roman" w:hAnsi="Times New Roman" w:eastAsia="宋体" w:cs="Times New Roman"/>
                <w:i w:val="0"/>
                <w:iCs w:val="0"/>
                <w:color w:val="0000FF"/>
                <w:kern w:val="0"/>
                <w:sz w:val="21"/>
                <w:szCs w:val="21"/>
                <w:u w:val="none"/>
                <w:lang w:val="en-US" w:eastAsia="zh-CN" w:bidi="ar"/>
              </w:rPr>
              <w:t>/</w:t>
            </w:r>
            <w:r>
              <w:rPr>
                <w:rFonts w:hint="eastAsia" w:ascii="宋体" w:hAnsi="宋体" w:eastAsia="宋体" w:cs="宋体"/>
                <w:i w:val="0"/>
                <w:iCs w:val="0"/>
                <w:color w:val="0000FF"/>
                <w:kern w:val="0"/>
                <w:sz w:val="21"/>
                <w:szCs w:val="21"/>
                <w:u w:val="none"/>
                <w:lang w:val="en-US" w:eastAsia="zh-CN" w:bidi="ar"/>
              </w:rPr>
              <w:t>水混合物</w:t>
            </w:r>
          </w:p>
        </w:tc>
        <w:tc>
          <w:tcPr>
            <w:tcW w:w="1613" w:type="dxa"/>
            <w:noWrap w:val="0"/>
            <w:vAlign w:val="center"/>
          </w:tcPr>
          <w:p w14:paraId="226B153C">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37" w:type="dxa"/>
            <w:noWrap w:val="0"/>
            <w:vAlign w:val="center"/>
          </w:tcPr>
          <w:p w14:paraId="575DDA69">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594" w:type="dxa"/>
            <w:noWrap w:val="0"/>
            <w:vAlign w:val="center"/>
          </w:tcPr>
          <w:p w14:paraId="6C7A2D67">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463" w:type="dxa"/>
            <w:noWrap w:val="0"/>
            <w:vAlign w:val="center"/>
          </w:tcPr>
          <w:p w14:paraId="528DCD97">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0.01t/a</w:t>
            </w:r>
          </w:p>
        </w:tc>
        <w:tc>
          <w:tcPr>
            <w:tcW w:w="1387" w:type="dxa"/>
            <w:noWrap w:val="0"/>
            <w:vAlign w:val="center"/>
          </w:tcPr>
          <w:p w14:paraId="55B2CEBE">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705" w:type="dxa"/>
            <w:noWrap w:val="0"/>
            <w:vAlign w:val="center"/>
          </w:tcPr>
          <w:p w14:paraId="72D1CB6C">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0.01t/a</w:t>
            </w:r>
          </w:p>
        </w:tc>
        <w:tc>
          <w:tcPr>
            <w:tcW w:w="1274" w:type="dxa"/>
            <w:noWrap w:val="0"/>
            <w:vAlign w:val="center"/>
          </w:tcPr>
          <w:p w14:paraId="65780F60">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+0.01t/a</w:t>
            </w:r>
          </w:p>
        </w:tc>
      </w:tr>
      <w:tr w14:paraId="4F78D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8" w:type="dxa"/>
            <w:vMerge w:val="continue"/>
            <w:noWrap w:val="0"/>
            <w:vAlign w:val="center"/>
          </w:tcPr>
          <w:p w14:paraId="416A7D6B">
            <w:pPr>
              <w:jc w:val="center"/>
              <w:rPr>
                <w:rFonts w:hint="default" w:ascii="Times New Roman" w:hAnsi="Times New Roman" w:eastAsia="宋体" w:cs="Times New Roman"/>
                <w:i w:val="0"/>
                <w:iCs w:val="0"/>
                <w:color w:val="0000FF"/>
                <w:sz w:val="21"/>
                <w:szCs w:val="21"/>
                <w:u w:val="none"/>
              </w:rPr>
            </w:pPr>
          </w:p>
        </w:tc>
        <w:tc>
          <w:tcPr>
            <w:tcW w:w="2246" w:type="dxa"/>
            <w:noWrap w:val="0"/>
            <w:vAlign w:val="center"/>
          </w:tcPr>
          <w:p w14:paraId="77514B78">
            <w:pPr>
              <w:keepNext w:val="0"/>
              <w:keepLines w:val="0"/>
              <w:widowControl/>
              <w:suppressLineNumbers w:val="0"/>
              <w:jc w:val="center"/>
              <w:textAlignment w:val="center"/>
              <w:rPr>
                <w:rFonts w:hint="eastAsia" w:ascii="宋体" w:hAnsi="宋体" w:eastAsia="宋体" w:cs="宋体"/>
                <w:i w:val="0"/>
                <w:iCs w:val="0"/>
                <w:color w:val="0000FF"/>
                <w:kern w:val="0"/>
                <w:sz w:val="21"/>
                <w:szCs w:val="21"/>
                <w:u w:val="none"/>
                <w:lang w:val="en-US" w:eastAsia="zh-CN" w:bidi="ar"/>
              </w:rPr>
            </w:pPr>
            <w:r>
              <w:rPr>
                <w:rFonts w:hint="eastAsia" w:ascii="宋体" w:hAnsi="宋体" w:eastAsia="宋体" w:cs="宋体"/>
                <w:i w:val="0"/>
                <w:iCs w:val="0"/>
                <w:color w:val="0000FF"/>
                <w:kern w:val="0"/>
                <w:sz w:val="21"/>
                <w:szCs w:val="21"/>
                <w:u w:val="none"/>
                <w:lang w:val="en-US" w:eastAsia="zh-CN" w:bidi="ar"/>
              </w:rPr>
              <w:t>废空压机油</w:t>
            </w:r>
          </w:p>
        </w:tc>
        <w:tc>
          <w:tcPr>
            <w:tcW w:w="1613" w:type="dxa"/>
            <w:noWrap w:val="0"/>
            <w:vAlign w:val="center"/>
          </w:tcPr>
          <w:p w14:paraId="215A1948">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237" w:type="dxa"/>
            <w:noWrap w:val="0"/>
            <w:vAlign w:val="center"/>
          </w:tcPr>
          <w:p w14:paraId="52C90A1F">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594" w:type="dxa"/>
            <w:noWrap w:val="0"/>
            <w:vAlign w:val="center"/>
          </w:tcPr>
          <w:p w14:paraId="44000D22">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463" w:type="dxa"/>
            <w:noWrap w:val="0"/>
            <w:vAlign w:val="center"/>
          </w:tcPr>
          <w:p w14:paraId="58E9DEE7">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0.002t/a</w:t>
            </w:r>
          </w:p>
        </w:tc>
        <w:tc>
          <w:tcPr>
            <w:tcW w:w="1387" w:type="dxa"/>
            <w:noWrap w:val="0"/>
            <w:vAlign w:val="center"/>
          </w:tcPr>
          <w:p w14:paraId="3E61447E">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w:t>
            </w:r>
          </w:p>
        </w:tc>
        <w:tc>
          <w:tcPr>
            <w:tcW w:w="1705" w:type="dxa"/>
            <w:noWrap w:val="0"/>
            <w:vAlign w:val="center"/>
          </w:tcPr>
          <w:p w14:paraId="01F52595">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0.002t/a</w:t>
            </w:r>
          </w:p>
        </w:tc>
        <w:tc>
          <w:tcPr>
            <w:tcW w:w="1274" w:type="dxa"/>
            <w:noWrap w:val="0"/>
            <w:vAlign w:val="center"/>
          </w:tcPr>
          <w:p w14:paraId="76B69025">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default" w:ascii="Times New Roman" w:hAnsi="Times New Roman" w:eastAsia="宋体" w:cs="Times New Roman"/>
                <w:i w:val="0"/>
                <w:iCs w:val="0"/>
                <w:color w:val="0000FF"/>
                <w:kern w:val="0"/>
                <w:sz w:val="21"/>
                <w:szCs w:val="21"/>
                <w:u w:val="none"/>
                <w:lang w:val="en-US" w:eastAsia="zh-CN" w:bidi="ar"/>
              </w:rPr>
              <w:t>+0.002t/a</w:t>
            </w:r>
          </w:p>
        </w:tc>
      </w:tr>
    </w:tbl>
    <w:p w14:paraId="797D1E95">
      <w:pPr>
        <w:pStyle w:val="93"/>
        <w:spacing w:before="192" w:beforeLines="80" w:after="24"/>
        <w:jc w:val="left"/>
        <w:outlineLvl w:val="9"/>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kern w:val="21"/>
          <w:szCs w:val="21"/>
        </w:rPr>
        <w:t>注：</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3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③</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4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④</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5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⑤</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7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⑦</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bookmarkEnd w:id="24"/>
      <w:bookmarkEnd w:id="25"/>
    </w:p>
    <w:p w14:paraId="4321E1FE">
      <w:pPr>
        <w:rPr>
          <w:rFonts w:hint="default" w:ascii="Times New Roman" w:hAnsi="Times New Roman" w:eastAsia="黑体" w:cs="Times New Roman"/>
          <w:color w:val="auto"/>
        </w:rPr>
        <w:sectPr>
          <w:headerReference r:id="rId6" w:type="default"/>
          <w:footerReference r:id="rId7" w:type="default"/>
          <w:pgSz w:w="16838" w:h="11906" w:orient="landscape"/>
          <w:pgMar w:top="1531" w:right="1701" w:bottom="1531" w:left="1701" w:header="851" w:footer="851" w:gutter="0"/>
          <w:pgNumType w:fmt="decimal"/>
          <w:cols w:space="720" w:num="1"/>
          <w:docGrid w:linePitch="312" w:charSpace="0"/>
        </w:sectPr>
      </w:pPr>
    </w:p>
    <w:p w14:paraId="0510E8E9">
      <w:pPr>
        <w:adjustRightInd w:val="0"/>
        <w:snapToGrid w:val="0"/>
        <w:spacing w:line="360" w:lineRule="auto"/>
        <w:jc w:val="left"/>
        <w:rPr>
          <w:rFonts w:hint="default" w:ascii="Times New Roman" w:hAnsi="Times New Roman" w:cs="Times New Roman"/>
          <w:b/>
          <w:bCs/>
          <w:color w:val="0000FF"/>
          <w:sz w:val="24"/>
        </w:rPr>
      </w:pPr>
      <w:bookmarkStart w:id="26" w:name="_Toc15752"/>
      <w:r>
        <w:rPr>
          <w:rFonts w:hint="default" w:ascii="Times New Roman" w:hAnsi="Times New Roman" w:cs="Times New Roman"/>
          <w:b/>
          <w:bCs/>
          <w:color w:val="0000FF"/>
          <w:sz w:val="24"/>
        </w:rPr>
        <w:t>附图附件</w:t>
      </w:r>
      <w:bookmarkEnd w:id="26"/>
    </w:p>
    <w:p w14:paraId="5DBB4A5A">
      <w:pPr>
        <w:adjustRightInd w:val="0"/>
        <w:snapToGrid w:val="0"/>
        <w:spacing w:line="360" w:lineRule="auto"/>
        <w:jc w:val="left"/>
        <w:rPr>
          <w:rFonts w:hint="default" w:ascii="Times New Roman" w:hAnsi="Times New Roman" w:cs="Times New Roman"/>
          <w:b/>
          <w:bCs/>
          <w:color w:val="0000FF"/>
          <w:sz w:val="24"/>
        </w:rPr>
      </w:pPr>
      <w:bookmarkStart w:id="27" w:name="_Toc4633"/>
      <w:r>
        <w:rPr>
          <w:rFonts w:hint="default" w:ascii="Times New Roman" w:hAnsi="Times New Roman" w:cs="Times New Roman"/>
          <w:b/>
          <w:bCs/>
          <w:color w:val="0000FF"/>
          <w:sz w:val="24"/>
        </w:rPr>
        <w:t>附图</w:t>
      </w:r>
      <w:bookmarkEnd w:id="27"/>
    </w:p>
    <w:p w14:paraId="3FFB0BDB">
      <w:pPr>
        <w:adjustRightInd w:val="0"/>
        <w:snapToGrid w:val="0"/>
        <w:spacing w:line="360" w:lineRule="auto"/>
        <w:jc w:val="left"/>
        <w:rPr>
          <w:rFonts w:hint="default" w:ascii="Times New Roman" w:hAnsi="Times New Roman" w:cs="Times New Roman"/>
          <w:color w:val="0000FF"/>
          <w:sz w:val="24"/>
        </w:rPr>
      </w:pPr>
      <w:bookmarkStart w:id="28" w:name="_Toc5844"/>
      <w:r>
        <w:rPr>
          <w:rFonts w:hint="default" w:ascii="Times New Roman" w:hAnsi="Times New Roman" w:cs="Times New Roman"/>
          <w:color w:val="0000FF"/>
          <w:sz w:val="24"/>
        </w:rPr>
        <w:t>附图1  项目地理位置图</w:t>
      </w:r>
      <w:bookmarkEnd w:id="28"/>
    </w:p>
    <w:p w14:paraId="772CAE63">
      <w:pPr>
        <w:adjustRightInd w:val="0"/>
        <w:snapToGrid w:val="0"/>
        <w:spacing w:line="360" w:lineRule="auto"/>
        <w:jc w:val="left"/>
        <w:rPr>
          <w:rFonts w:hint="default" w:ascii="Times New Roman" w:hAnsi="Times New Roman" w:cs="Times New Roman"/>
          <w:color w:val="0000FF"/>
          <w:sz w:val="24"/>
        </w:rPr>
      </w:pPr>
      <w:bookmarkStart w:id="29" w:name="_Toc13676"/>
      <w:r>
        <w:rPr>
          <w:rFonts w:hint="default" w:ascii="Times New Roman" w:hAnsi="Times New Roman" w:cs="Times New Roman"/>
          <w:color w:val="0000FF"/>
          <w:sz w:val="24"/>
        </w:rPr>
        <w:t>附图2-1</w:t>
      </w:r>
      <w:r>
        <w:rPr>
          <w:rFonts w:hint="eastAsia" w:cs="Times New Roman"/>
          <w:color w:val="0000FF"/>
          <w:sz w:val="24"/>
          <w:lang w:val="en-US" w:eastAsia="zh-CN"/>
        </w:rPr>
        <w:t>.1</w:t>
      </w:r>
      <w:r>
        <w:rPr>
          <w:rFonts w:hint="default" w:ascii="Times New Roman" w:hAnsi="Times New Roman" w:cs="Times New Roman"/>
          <w:color w:val="0000FF"/>
          <w:sz w:val="24"/>
        </w:rPr>
        <w:t xml:space="preserve"> 一号房一楼平面图</w:t>
      </w:r>
    </w:p>
    <w:bookmarkEnd w:id="29"/>
    <w:p w14:paraId="279032F4">
      <w:pPr>
        <w:adjustRightInd w:val="0"/>
        <w:snapToGrid w:val="0"/>
        <w:spacing w:line="360" w:lineRule="auto"/>
        <w:jc w:val="left"/>
        <w:rPr>
          <w:rFonts w:hint="default" w:ascii="Times New Roman" w:hAnsi="Times New Roman" w:cs="Times New Roman"/>
          <w:color w:val="0000FF"/>
          <w:sz w:val="24"/>
        </w:rPr>
      </w:pPr>
      <w:r>
        <w:rPr>
          <w:rFonts w:hint="default" w:ascii="Times New Roman" w:hAnsi="Times New Roman" w:cs="Times New Roman"/>
          <w:color w:val="0000FF"/>
          <w:sz w:val="24"/>
        </w:rPr>
        <w:t>附图2-</w:t>
      </w:r>
      <w:r>
        <w:rPr>
          <w:rFonts w:hint="eastAsia" w:cs="Times New Roman"/>
          <w:color w:val="0000FF"/>
          <w:sz w:val="24"/>
          <w:lang w:val="en-US" w:eastAsia="zh-CN"/>
        </w:rPr>
        <w:t>1.2</w:t>
      </w:r>
      <w:r>
        <w:rPr>
          <w:rFonts w:hint="default" w:ascii="Times New Roman" w:hAnsi="Times New Roman" w:cs="Times New Roman"/>
          <w:color w:val="0000FF"/>
          <w:sz w:val="24"/>
        </w:rPr>
        <w:t xml:space="preserve"> 二号房一楼平面图</w:t>
      </w:r>
    </w:p>
    <w:p w14:paraId="232273F6">
      <w:pPr>
        <w:adjustRightInd w:val="0"/>
        <w:snapToGrid w:val="0"/>
        <w:spacing w:line="360" w:lineRule="auto"/>
        <w:jc w:val="left"/>
        <w:rPr>
          <w:rFonts w:hint="default" w:ascii="Times New Roman" w:hAnsi="Times New Roman" w:cs="Times New Roman"/>
          <w:bCs/>
          <w:color w:val="0000FF"/>
          <w:sz w:val="24"/>
        </w:rPr>
      </w:pPr>
      <w:r>
        <w:rPr>
          <w:rFonts w:hint="default" w:ascii="Times New Roman" w:hAnsi="Times New Roman" w:cs="Times New Roman"/>
          <w:bCs/>
          <w:color w:val="0000FF"/>
          <w:sz w:val="24"/>
        </w:rPr>
        <w:t>附图2-</w:t>
      </w:r>
      <w:r>
        <w:rPr>
          <w:rFonts w:hint="eastAsia" w:cs="Times New Roman"/>
          <w:bCs/>
          <w:color w:val="0000FF"/>
          <w:sz w:val="24"/>
          <w:lang w:val="en-US" w:eastAsia="zh-CN"/>
        </w:rPr>
        <w:t>2</w:t>
      </w:r>
      <w:r>
        <w:rPr>
          <w:rFonts w:hint="default" w:ascii="Times New Roman" w:hAnsi="Times New Roman" w:cs="Times New Roman"/>
          <w:bCs/>
          <w:color w:val="0000FF"/>
          <w:sz w:val="24"/>
        </w:rPr>
        <w:t xml:space="preserve"> 二楼平面图</w:t>
      </w:r>
    </w:p>
    <w:p w14:paraId="42D5B5FE">
      <w:pPr>
        <w:adjustRightInd w:val="0"/>
        <w:snapToGrid w:val="0"/>
        <w:spacing w:line="360" w:lineRule="auto"/>
        <w:jc w:val="left"/>
        <w:rPr>
          <w:rFonts w:hint="default" w:ascii="Times New Roman" w:hAnsi="Times New Roman" w:cs="Times New Roman"/>
          <w:bCs/>
          <w:color w:val="0000FF"/>
          <w:sz w:val="24"/>
        </w:rPr>
      </w:pPr>
      <w:r>
        <w:rPr>
          <w:rFonts w:hint="default" w:ascii="Times New Roman" w:hAnsi="Times New Roman" w:cs="Times New Roman"/>
          <w:bCs/>
          <w:color w:val="0000FF"/>
          <w:sz w:val="24"/>
        </w:rPr>
        <w:t>附图2-</w:t>
      </w:r>
      <w:r>
        <w:rPr>
          <w:rFonts w:hint="eastAsia" w:cs="Times New Roman"/>
          <w:bCs/>
          <w:color w:val="0000FF"/>
          <w:sz w:val="24"/>
          <w:lang w:val="en-US" w:eastAsia="zh-CN"/>
        </w:rPr>
        <w:t>3</w:t>
      </w:r>
      <w:r>
        <w:rPr>
          <w:rFonts w:hint="default" w:ascii="Times New Roman" w:hAnsi="Times New Roman" w:cs="Times New Roman"/>
          <w:bCs/>
          <w:color w:val="0000FF"/>
          <w:sz w:val="24"/>
        </w:rPr>
        <w:t xml:space="preserve"> </w:t>
      </w:r>
      <w:r>
        <w:rPr>
          <w:rFonts w:hint="default" w:ascii="Times New Roman" w:hAnsi="Times New Roman" w:cs="Times New Roman"/>
          <w:bCs/>
          <w:color w:val="0000FF"/>
          <w:sz w:val="24"/>
          <w:lang w:val="en-US" w:eastAsia="zh-CN"/>
        </w:rPr>
        <w:t>三</w:t>
      </w:r>
      <w:r>
        <w:rPr>
          <w:rFonts w:hint="default" w:ascii="Times New Roman" w:hAnsi="Times New Roman" w:cs="Times New Roman"/>
          <w:bCs/>
          <w:color w:val="0000FF"/>
          <w:sz w:val="24"/>
        </w:rPr>
        <w:t>楼平面图</w:t>
      </w:r>
    </w:p>
    <w:p w14:paraId="33204788">
      <w:pPr>
        <w:adjustRightInd w:val="0"/>
        <w:snapToGrid w:val="0"/>
        <w:spacing w:line="360" w:lineRule="auto"/>
        <w:jc w:val="left"/>
        <w:rPr>
          <w:rFonts w:hint="default" w:ascii="Times New Roman" w:hAnsi="Times New Roman" w:cs="Times New Roman"/>
          <w:bCs/>
          <w:color w:val="0000FF"/>
          <w:sz w:val="24"/>
        </w:rPr>
      </w:pPr>
      <w:r>
        <w:rPr>
          <w:rFonts w:hint="default" w:ascii="Times New Roman" w:hAnsi="Times New Roman" w:cs="Times New Roman"/>
          <w:bCs/>
          <w:color w:val="0000FF"/>
          <w:sz w:val="24"/>
        </w:rPr>
        <w:t>附图2-</w:t>
      </w:r>
      <w:r>
        <w:rPr>
          <w:rFonts w:hint="eastAsia" w:cs="Times New Roman"/>
          <w:bCs/>
          <w:color w:val="0000FF"/>
          <w:sz w:val="24"/>
          <w:lang w:val="en-US" w:eastAsia="zh-CN"/>
        </w:rPr>
        <w:t>4</w:t>
      </w:r>
      <w:r>
        <w:rPr>
          <w:rFonts w:hint="default" w:ascii="Times New Roman" w:hAnsi="Times New Roman" w:cs="Times New Roman"/>
          <w:bCs/>
          <w:color w:val="0000FF"/>
          <w:sz w:val="24"/>
        </w:rPr>
        <w:t xml:space="preserve"> </w:t>
      </w:r>
      <w:r>
        <w:rPr>
          <w:rFonts w:hint="default" w:ascii="Times New Roman" w:hAnsi="Times New Roman" w:cs="Times New Roman"/>
          <w:bCs/>
          <w:color w:val="0000FF"/>
          <w:sz w:val="24"/>
          <w:lang w:val="en-US" w:eastAsia="zh-CN"/>
        </w:rPr>
        <w:t>四</w:t>
      </w:r>
      <w:r>
        <w:rPr>
          <w:rFonts w:hint="default" w:ascii="Times New Roman" w:hAnsi="Times New Roman" w:cs="Times New Roman"/>
          <w:bCs/>
          <w:color w:val="0000FF"/>
          <w:sz w:val="24"/>
        </w:rPr>
        <w:t>楼平面图</w:t>
      </w:r>
    </w:p>
    <w:p w14:paraId="6A0AB9DF">
      <w:pPr>
        <w:adjustRightInd w:val="0"/>
        <w:snapToGrid w:val="0"/>
        <w:spacing w:line="360" w:lineRule="auto"/>
        <w:jc w:val="left"/>
        <w:rPr>
          <w:rFonts w:hint="default" w:ascii="Times New Roman" w:hAnsi="Times New Roman" w:cs="Times New Roman"/>
          <w:bCs/>
          <w:color w:val="0000FF"/>
          <w:sz w:val="24"/>
        </w:rPr>
      </w:pPr>
      <w:r>
        <w:rPr>
          <w:rFonts w:hint="default" w:ascii="Times New Roman" w:hAnsi="Times New Roman" w:cs="Times New Roman"/>
          <w:bCs/>
          <w:color w:val="0000FF"/>
          <w:sz w:val="24"/>
        </w:rPr>
        <w:t>附图2-</w:t>
      </w:r>
      <w:r>
        <w:rPr>
          <w:rFonts w:hint="eastAsia" w:cs="Times New Roman"/>
          <w:bCs/>
          <w:color w:val="0000FF"/>
          <w:sz w:val="24"/>
          <w:lang w:val="en-US" w:eastAsia="zh-CN"/>
        </w:rPr>
        <w:t>5</w:t>
      </w:r>
      <w:r>
        <w:rPr>
          <w:rFonts w:hint="default" w:ascii="Times New Roman" w:hAnsi="Times New Roman" w:cs="Times New Roman"/>
          <w:bCs/>
          <w:color w:val="0000FF"/>
          <w:sz w:val="24"/>
        </w:rPr>
        <w:t xml:space="preserve"> </w:t>
      </w:r>
      <w:r>
        <w:rPr>
          <w:rFonts w:hint="default" w:ascii="Times New Roman" w:hAnsi="Times New Roman" w:cs="Times New Roman"/>
          <w:bCs/>
          <w:color w:val="0000FF"/>
          <w:sz w:val="24"/>
          <w:lang w:val="en-US" w:eastAsia="zh-CN"/>
        </w:rPr>
        <w:t>五</w:t>
      </w:r>
      <w:r>
        <w:rPr>
          <w:rFonts w:hint="default" w:ascii="Times New Roman" w:hAnsi="Times New Roman" w:cs="Times New Roman"/>
          <w:bCs/>
          <w:color w:val="0000FF"/>
          <w:sz w:val="24"/>
        </w:rPr>
        <w:t>楼平面图</w:t>
      </w:r>
    </w:p>
    <w:p w14:paraId="5F20AADC">
      <w:pPr>
        <w:adjustRightInd w:val="0"/>
        <w:snapToGrid w:val="0"/>
        <w:spacing w:line="360" w:lineRule="auto"/>
        <w:jc w:val="left"/>
        <w:rPr>
          <w:rFonts w:hint="default" w:ascii="Times New Roman" w:hAnsi="Times New Roman" w:cs="Times New Roman"/>
          <w:bCs/>
          <w:color w:val="0000FF"/>
          <w:sz w:val="24"/>
        </w:rPr>
      </w:pPr>
      <w:r>
        <w:rPr>
          <w:rFonts w:hint="default" w:ascii="Times New Roman" w:hAnsi="Times New Roman" w:cs="Times New Roman"/>
          <w:bCs/>
          <w:color w:val="0000FF"/>
          <w:sz w:val="24"/>
        </w:rPr>
        <w:t>附图2-</w:t>
      </w:r>
      <w:r>
        <w:rPr>
          <w:rFonts w:hint="eastAsia" w:cs="Times New Roman"/>
          <w:bCs/>
          <w:color w:val="0000FF"/>
          <w:sz w:val="24"/>
          <w:lang w:val="en-US" w:eastAsia="zh-CN"/>
        </w:rPr>
        <w:t>6</w:t>
      </w:r>
      <w:r>
        <w:rPr>
          <w:rFonts w:hint="default" w:ascii="Times New Roman" w:hAnsi="Times New Roman" w:cs="Times New Roman"/>
          <w:bCs/>
          <w:color w:val="0000FF"/>
          <w:sz w:val="24"/>
        </w:rPr>
        <w:t xml:space="preserve"> </w:t>
      </w:r>
      <w:r>
        <w:rPr>
          <w:rFonts w:hint="eastAsia" w:cs="Times New Roman"/>
          <w:bCs/>
          <w:color w:val="0000FF"/>
          <w:sz w:val="24"/>
          <w:lang w:val="en-US" w:eastAsia="zh-CN"/>
        </w:rPr>
        <w:t>楼顶</w:t>
      </w:r>
      <w:r>
        <w:rPr>
          <w:rFonts w:hint="default" w:ascii="Times New Roman" w:hAnsi="Times New Roman" w:cs="Times New Roman"/>
          <w:bCs/>
          <w:color w:val="0000FF"/>
          <w:sz w:val="24"/>
        </w:rPr>
        <w:t>平面图</w:t>
      </w:r>
    </w:p>
    <w:p w14:paraId="4E6FE18E">
      <w:pPr>
        <w:adjustRightInd w:val="0"/>
        <w:snapToGrid w:val="0"/>
        <w:spacing w:line="360" w:lineRule="auto"/>
        <w:jc w:val="left"/>
        <w:rPr>
          <w:rFonts w:hint="default" w:ascii="Times New Roman" w:hAnsi="Times New Roman" w:cs="Times New Roman"/>
          <w:bCs/>
          <w:color w:val="0000FF"/>
          <w:sz w:val="24"/>
        </w:rPr>
      </w:pPr>
      <w:r>
        <w:rPr>
          <w:rFonts w:hint="default" w:ascii="Times New Roman" w:hAnsi="Times New Roman" w:cs="Times New Roman"/>
          <w:bCs/>
          <w:color w:val="0000FF"/>
          <w:sz w:val="24"/>
        </w:rPr>
        <w:t xml:space="preserve">附图3 </w:t>
      </w:r>
      <w:r>
        <w:rPr>
          <w:rFonts w:hint="eastAsia" w:cs="Times New Roman"/>
          <w:bCs/>
          <w:color w:val="0000FF"/>
          <w:sz w:val="24"/>
          <w:lang w:val="en-US" w:eastAsia="zh-CN"/>
        </w:rPr>
        <w:t>外环境关系</w:t>
      </w:r>
      <w:r>
        <w:rPr>
          <w:rFonts w:hint="default" w:ascii="Times New Roman" w:hAnsi="Times New Roman" w:cs="Times New Roman"/>
          <w:bCs/>
          <w:color w:val="0000FF"/>
          <w:sz w:val="24"/>
        </w:rPr>
        <w:t>示意图</w:t>
      </w:r>
    </w:p>
    <w:p w14:paraId="7376F68C">
      <w:pPr>
        <w:adjustRightInd w:val="0"/>
        <w:snapToGrid w:val="0"/>
        <w:spacing w:line="360" w:lineRule="auto"/>
        <w:jc w:val="left"/>
        <w:rPr>
          <w:rFonts w:hint="default" w:ascii="Times New Roman" w:hAnsi="Times New Roman" w:eastAsia="宋体" w:cs="Times New Roman"/>
          <w:color w:val="0000FF"/>
          <w:sz w:val="24"/>
          <w:lang w:val="en-US" w:eastAsia="zh-CN"/>
        </w:rPr>
      </w:pPr>
      <w:r>
        <w:rPr>
          <w:rFonts w:hint="default" w:ascii="Times New Roman" w:hAnsi="Times New Roman" w:cs="Times New Roman"/>
          <w:color w:val="0000FF"/>
          <w:sz w:val="24"/>
        </w:rPr>
        <w:t xml:space="preserve">附图4 </w:t>
      </w:r>
      <w:r>
        <w:rPr>
          <w:rFonts w:hint="eastAsia" w:cs="Times New Roman"/>
          <w:color w:val="0000FF"/>
          <w:sz w:val="24"/>
          <w:lang w:val="en-US" w:eastAsia="zh-CN"/>
        </w:rPr>
        <w:t>租赁厂房平面布置图</w:t>
      </w:r>
    </w:p>
    <w:p w14:paraId="72E281A3">
      <w:pPr>
        <w:adjustRightInd w:val="0"/>
        <w:snapToGrid w:val="0"/>
        <w:spacing w:line="360" w:lineRule="auto"/>
        <w:jc w:val="left"/>
        <w:rPr>
          <w:rFonts w:hint="default" w:ascii="Times New Roman" w:hAnsi="Times New Roman" w:cs="Times New Roman"/>
          <w:bCs/>
          <w:color w:val="0000FF"/>
          <w:sz w:val="24"/>
        </w:rPr>
      </w:pPr>
      <w:r>
        <w:rPr>
          <w:rFonts w:hint="default" w:ascii="Times New Roman" w:hAnsi="Times New Roman" w:cs="Times New Roman"/>
          <w:bCs/>
          <w:color w:val="0000FF"/>
          <w:sz w:val="24"/>
        </w:rPr>
        <w:t>附图5 土地利用规划图</w:t>
      </w:r>
    </w:p>
    <w:p w14:paraId="56CB553E">
      <w:pPr>
        <w:adjustRightInd w:val="0"/>
        <w:snapToGrid w:val="0"/>
        <w:spacing w:line="360" w:lineRule="auto"/>
        <w:jc w:val="left"/>
        <w:rPr>
          <w:rFonts w:hint="default" w:ascii="Times New Roman" w:hAnsi="Times New Roman" w:cs="Times New Roman"/>
          <w:bCs/>
          <w:color w:val="0000FF"/>
          <w:sz w:val="24"/>
        </w:rPr>
      </w:pPr>
      <w:r>
        <w:rPr>
          <w:rFonts w:hint="default" w:ascii="Times New Roman" w:hAnsi="Times New Roman" w:cs="Times New Roman"/>
          <w:bCs/>
          <w:color w:val="0000FF"/>
          <w:sz w:val="24"/>
        </w:rPr>
        <w:t>附图6 产业布局规划图</w:t>
      </w:r>
    </w:p>
    <w:p w14:paraId="37293E5C">
      <w:pPr>
        <w:adjustRightInd w:val="0"/>
        <w:snapToGrid w:val="0"/>
        <w:spacing w:line="360" w:lineRule="auto"/>
        <w:jc w:val="left"/>
        <w:rPr>
          <w:rFonts w:hint="default" w:ascii="Times New Roman" w:hAnsi="Times New Roman" w:cs="Times New Roman"/>
          <w:bCs/>
          <w:color w:val="0000FF"/>
          <w:sz w:val="24"/>
        </w:rPr>
      </w:pPr>
      <w:r>
        <w:rPr>
          <w:rFonts w:hint="default" w:ascii="Times New Roman" w:hAnsi="Times New Roman" w:cs="Times New Roman"/>
          <w:bCs/>
          <w:color w:val="0000FF"/>
          <w:sz w:val="24"/>
        </w:rPr>
        <w:t>附图</w:t>
      </w:r>
      <w:r>
        <w:rPr>
          <w:rFonts w:hint="eastAsia" w:cs="Times New Roman"/>
          <w:bCs/>
          <w:color w:val="0000FF"/>
          <w:sz w:val="24"/>
          <w:lang w:val="en-US" w:eastAsia="zh-CN"/>
        </w:rPr>
        <w:t>7</w:t>
      </w:r>
      <w:r>
        <w:rPr>
          <w:rFonts w:hint="default" w:ascii="Times New Roman" w:hAnsi="Times New Roman" w:cs="Times New Roman"/>
          <w:bCs/>
          <w:color w:val="0000FF"/>
          <w:sz w:val="24"/>
        </w:rPr>
        <w:t xml:space="preserve"> 项目与环境综合管控单元的位置关系</w:t>
      </w:r>
    </w:p>
    <w:p w14:paraId="3F166FF4">
      <w:pPr>
        <w:adjustRightInd w:val="0"/>
        <w:snapToGrid w:val="0"/>
        <w:spacing w:line="360" w:lineRule="auto"/>
        <w:jc w:val="left"/>
        <w:rPr>
          <w:rFonts w:hint="default" w:ascii="Times New Roman" w:hAnsi="Times New Roman" w:cs="Times New Roman"/>
          <w:bCs/>
          <w:color w:val="0000FF"/>
          <w:sz w:val="24"/>
        </w:rPr>
      </w:pPr>
      <w:r>
        <w:rPr>
          <w:rFonts w:hint="default" w:ascii="Times New Roman" w:hAnsi="Times New Roman" w:cs="Times New Roman"/>
          <w:bCs/>
          <w:color w:val="0000FF"/>
          <w:sz w:val="24"/>
        </w:rPr>
        <w:t>附图</w:t>
      </w:r>
      <w:r>
        <w:rPr>
          <w:rFonts w:hint="eastAsia" w:cs="Times New Roman"/>
          <w:bCs/>
          <w:color w:val="0000FF"/>
          <w:sz w:val="24"/>
          <w:lang w:val="en-US" w:eastAsia="zh-CN"/>
        </w:rPr>
        <w:t>8</w:t>
      </w:r>
      <w:r>
        <w:rPr>
          <w:rFonts w:hint="default" w:ascii="Times New Roman" w:hAnsi="Times New Roman" w:cs="Times New Roman"/>
          <w:bCs/>
          <w:color w:val="0000FF"/>
          <w:sz w:val="24"/>
        </w:rPr>
        <w:t>-1 一楼管网布置示意图</w:t>
      </w:r>
    </w:p>
    <w:p w14:paraId="72241A17">
      <w:pPr>
        <w:adjustRightInd w:val="0"/>
        <w:snapToGrid w:val="0"/>
        <w:spacing w:line="360" w:lineRule="auto"/>
        <w:jc w:val="left"/>
        <w:rPr>
          <w:rFonts w:hint="default" w:ascii="Times New Roman" w:hAnsi="Times New Roman" w:cs="Times New Roman"/>
          <w:bCs/>
          <w:color w:val="0000FF"/>
          <w:sz w:val="24"/>
        </w:rPr>
      </w:pPr>
      <w:r>
        <w:rPr>
          <w:rFonts w:hint="default" w:ascii="Times New Roman" w:hAnsi="Times New Roman" w:cs="Times New Roman"/>
          <w:bCs/>
          <w:color w:val="0000FF"/>
          <w:sz w:val="24"/>
        </w:rPr>
        <w:t>附图</w:t>
      </w:r>
      <w:r>
        <w:rPr>
          <w:rFonts w:hint="eastAsia" w:cs="Times New Roman"/>
          <w:bCs/>
          <w:color w:val="0000FF"/>
          <w:sz w:val="24"/>
          <w:lang w:val="en-US" w:eastAsia="zh-CN"/>
        </w:rPr>
        <w:t>8</w:t>
      </w:r>
      <w:r>
        <w:rPr>
          <w:rFonts w:hint="default" w:ascii="Times New Roman" w:hAnsi="Times New Roman" w:cs="Times New Roman"/>
          <w:bCs/>
          <w:color w:val="0000FF"/>
          <w:sz w:val="24"/>
        </w:rPr>
        <w:t>-2 二楼管网布置示意图</w:t>
      </w:r>
    </w:p>
    <w:p w14:paraId="7EDFEDE3">
      <w:pPr>
        <w:adjustRightInd w:val="0"/>
        <w:snapToGrid w:val="0"/>
        <w:spacing w:line="360" w:lineRule="auto"/>
        <w:jc w:val="left"/>
        <w:rPr>
          <w:rFonts w:hint="default" w:ascii="Times New Roman" w:hAnsi="Times New Roman" w:cs="Times New Roman"/>
          <w:bCs/>
          <w:color w:val="0000FF"/>
          <w:sz w:val="24"/>
        </w:rPr>
      </w:pPr>
      <w:r>
        <w:rPr>
          <w:rFonts w:hint="default" w:ascii="Times New Roman" w:hAnsi="Times New Roman" w:cs="Times New Roman"/>
          <w:bCs/>
          <w:color w:val="0000FF"/>
          <w:sz w:val="24"/>
        </w:rPr>
        <w:t>附图</w:t>
      </w:r>
      <w:r>
        <w:rPr>
          <w:rFonts w:hint="eastAsia" w:cs="Times New Roman"/>
          <w:bCs/>
          <w:color w:val="0000FF"/>
          <w:sz w:val="24"/>
          <w:lang w:val="en-US" w:eastAsia="zh-CN"/>
        </w:rPr>
        <w:t>8</w:t>
      </w:r>
      <w:r>
        <w:rPr>
          <w:rFonts w:hint="default" w:ascii="Times New Roman" w:hAnsi="Times New Roman" w:cs="Times New Roman"/>
          <w:bCs/>
          <w:color w:val="0000FF"/>
          <w:sz w:val="24"/>
        </w:rPr>
        <w:t>-</w:t>
      </w:r>
      <w:r>
        <w:rPr>
          <w:rFonts w:hint="default" w:ascii="Times New Roman" w:hAnsi="Times New Roman" w:cs="Times New Roman"/>
          <w:bCs/>
          <w:color w:val="0000FF"/>
          <w:sz w:val="24"/>
          <w:lang w:val="en-US" w:eastAsia="zh-CN"/>
        </w:rPr>
        <w:t>3</w:t>
      </w:r>
      <w:r>
        <w:rPr>
          <w:rFonts w:hint="default" w:ascii="Times New Roman" w:hAnsi="Times New Roman" w:cs="Times New Roman"/>
          <w:bCs/>
          <w:color w:val="0000FF"/>
          <w:sz w:val="24"/>
        </w:rPr>
        <w:t xml:space="preserve"> </w:t>
      </w:r>
      <w:r>
        <w:rPr>
          <w:rFonts w:hint="default" w:ascii="Times New Roman" w:hAnsi="Times New Roman" w:cs="Times New Roman"/>
          <w:bCs/>
          <w:color w:val="0000FF"/>
          <w:sz w:val="24"/>
          <w:lang w:val="en-US" w:eastAsia="zh-CN"/>
        </w:rPr>
        <w:t>三</w:t>
      </w:r>
      <w:r>
        <w:rPr>
          <w:rFonts w:hint="default" w:ascii="Times New Roman" w:hAnsi="Times New Roman" w:cs="Times New Roman"/>
          <w:bCs/>
          <w:color w:val="0000FF"/>
          <w:sz w:val="24"/>
        </w:rPr>
        <w:t>楼管网布置示意图</w:t>
      </w:r>
    </w:p>
    <w:p w14:paraId="20902395">
      <w:pPr>
        <w:adjustRightInd w:val="0"/>
        <w:snapToGrid w:val="0"/>
        <w:spacing w:line="360" w:lineRule="auto"/>
        <w:jc w:val="left"/>
        <w:rPr>
          <w:rFonts w:hint="default" w:ascii="Times New Roman" w:hAnsi="Times New Roman" w:cs="Times New Roman"/>
          <w:bCs/>
          <w:color w:val="0000FF"/>
          <w:sz w:val="24"/>
        </w:rPr>
      </w:pPr>
      <w:r>
        <w:rPr>
          <w:rFonts w:hint="default" w:ascii="Times New Roman" w:hAnsi="Times New Roman" w:cs="Times New Roman"/>
          <w:bCs/>
          <w:color w:val="0000FF"/>
          <w:sz w:val="24"/>
        </w:rPr>
        <w:t>附图</w:t>
      </w:r>
      <w:r>
        <w:rPr>
          <w:rFonts w:hint="eastAsia" w:cs="Times New Roman"/>
          <w:bCs/>
          <w:color w:val="0000FF"/>
          <w:sz w:val="24"/>
          <w:lang w:val="en-US" w:eastAsia="zh-CN"/>
        </w:rPr>
        <w:t>8</w:t>
      </w:r>
      <w:r>
        <w:rPr>
          <w:rFonts w:hint="default" w:ascii="Times New Roman" w:hAnsi="Times New Roman" w:cs="Times New Roman"/>
          <w:bCs/>
          <w:color w:val="0000FF"/>
          <w:sz w:val="24"/>
        </w:rPr>
        <w:t>-</w:t>
      </w:r>
      <w:r>
        <w:rPr>
          <w:rFonts w:hint="default" w:ascii="Times New Roman" w:hAnsi="Times New Roman" w:cs="Times New Roman"/>
          <w:bCs/>
          <w:color w:val="0000FF"/>
          <w:sz w:val="24"/>
          <w:lang w:val="en-US" w:eastAsia="zh-CN"/>
        </w:rPr>
        <w:t>4</w:t>
      </w:r>
      <w:r>
        <w:rPr>
          <w:rFonts w:hint="default" w:ascii="Times New Roman" w:hAnsi="Times New Roman" w:cs="Times New Roman"/>
          <w:bCs/>
          <w:color w:val="0000FF"/>
          <w:sz w:val="24"/>
        </w:rPr>
        <w:t xml:space="preserve"> </w:t>
      </w:r>
      <w:r>
        <w:rPr>
          <w:rFonts w:hint="default" w:ascii="Times New Roman" w:hAnsi="Times New Roman" w:cs="Times New Roman"/>
          <w:bCs/>
          <w:color w:val="0000FF"/>
          <w:sz w:val="24"/>
          <w:lang w:val="en-US" w:eastAsia="zh-CN"/>
        </w:rPr>
        <w:t>四</w:t>
      </w:r>
      <w:r>
        <w:rPr>
          <w:rFonts w:hint="default" w:ascii="Times New Roman" w:hAnsi="Times New Roman" w:cs="Times New Roman"/>
          <w:bCs/>
          <w:color w:val="0000FF"/>
          <w:sz w:val="24"/>
        </w:rPr>
        <w:t>楼管网布置示意图</w:t>
      </w:r>
    </w:p>
    <w:p w14:paraId="737A5ED8">
      <w:pPr>
        <w:adjustRightInd w:val="0"/>
        <w:snapToGrid w:val="0"/>
        <w:spacing w:line="360" w:lineRule="auto"/>
        <w:jc w:val="left"/>
        <w:rPr>
          <w:rFonts w:hint="default" w:ascii="Times New Roman" w:hAnsi="Times New Roman" w:cs="Times New Roman"/>
          <w:bCs/>
          <w:color w:val="0000FF"/>
          <w:sz w:val="24"/>
        </w:rPr>
      </w:pPr>
      <w:r>
        <w:rPr>
          <w:rFonts w:hint="default" w:ascii="Times New Roman" w:hAnsi="Times New Roman" w:cs="Times New Roman"/>
          <w:bCs/>
          <w:color w:val="0000FF"/>
          <w:sz w:val="24"/>
        </w:rPr>
        <w:t>附图</w:t>
      </w:r>
      <w:r>
        <w:rPr>
          <w:rFonts w:hint="eastAsia" w:cs="Times New Roman"/>
          <w:bCs/>
          <w:color w:val="0000FF"/>
          <w:sz w:val="24"/>
          <w:lang w:val="en-US" w:eastAsia="zh-CN"/>
        </w:rPr>
        <w:t>8</w:t>
      </w:r>
      <w:r>
        <w:rPr>
          <w:rFonts w:hint="default" w:ascii="Times New Roman" w:hAnsi="Times New Roman" w:cs="Times New Roman"/>
          <w:bCs/>
          <w:color w:val="0000FF"/>
          <w:sz w:val="24"/>
        </w:rPr>
        <w:t>-</w:t>
      </w:r>
      <w:r>
        <w:rPr>
          <w:rFonts w:hint="default" w:ascii="Times New Roman" w:hAnsi="Times New Roman" w:cs="Times New Roman"/>
          <w:bCs/>
          <w:color w:val="0000FF"/>
          <w:sz w:val="24"/>
          <w:lang w:val="en-US" w:eastAsia="zh-CN"/>
        </w:rPr>
        <w:t>5</w:t>
      </w:r>
      <w:r>
        <w:rPr>
          <w:rFonts w:hint="default" w:ascii="Times New Roman" w:hAnsi="Times New Roman" w:cs="Times New Roman"/>
          <w:bCs/>
          <w:color w:val="0000FF"/>
          <w:sz w:val="24"/>
        </w:rPr>
        <w:t xml:space="preserve"> </w:t>
      </w:r>
      <w:r>
        <w:rPr>
          <w:rFonts w:hint="default" w:ascii="Times New Roman" w:hAnsi="Times New Roman" w:cs="Times New Roman"/>
          <w:bCs/>
          <w:color w:val="0000FF"/>
          <w:sz w:val="24"/>
          <w:lang w:val="en-US" w:eastAsia="zh-CN"/>
        </w:rPr>
        <w:t>五</w:t>
      </w:r>
      <w:r>
        <w:rPr>
          <w:rFonts w:hint="default" w:ascii="Times New Roman" w:hAnsi="Times New Roman" w:cs="Times New Roman"/>
          <w:bCs/>
          <w:color w:val="0000FF"/>
          <w:sz w:val="24"/>
        </w:rPr>
        <w:t>楼管网布置示意图</w:t>
      </w:r>
    </w:p>
    <w:p w14:paraId="43E32FC6">
      <w:pPr>
        <w:adjustRightInd w:val="0"/>
        <w:snapToGrid w:val="0"/>
        <w:spacing w:line="360" w:lineRule="auto"/>
        <w:jc w:val="left"/>
        <w:rPr>
          <w:rFonts w:hint="default" w:ascii="Times New Roman" w:hAnsi="Times New Roman" w:cs="Times New Roman"/>
          <w:bCs/>
          <w:color w:val="0000FF"/>
          <w:sz w:val="24"/>
        </w:rPr>
      </w:pPr>
      <w:r>
        <w:rPr>
          <w:rFonts w:hint="default" w:ascii="Times New Roman" w:hAnsi="Times New Roman" w:cs="Times New Roman"/>
          <w:bCs/>
          <w:color w:val="0000FF"/>
          <w:sz w:val="24"/>
        </w:rPr>
        <w:t>附图</w:t>
      </w:r>
      <w:r>
        <w:rPr>
          <w:rFonts w:hint="eastAsia" w:cs="Times New Roman"/>
          <w:bCs/>
          <w:color w:val="0000FF"/>
          <w:sz w:val="24"/>
          <w:lang w:val="en-US" w:eastAsia="zh-CN"/>
        </w:rPr>
        <w:t>9</w:t>
      </w:r>
      <w:r>
        <w:rPr>
          <w:rFonts w:hint="default" w:ascii="Times New Roman" w:hAnsi="Times New Roman" w:cs="Times New Roman"/>
          <w:bCs/>
          <w:color w:val="0000FF"/>
          <w:sz w:val="24"/>
        </w:rPr>
        <w:t>-1 一号房一楼分区防渗示意图</w:t>
      </w:r>
    </w:p>
    <w:p w14:paraId="25231C5F">
      <w:pPr>
        <w:adjustRightInd w:val="0"/>
        <w:snapToGrid w:val="0"/>
        <w:spacing w:line="360" w:lineRule="auto"/>
        <w:jc w:val="left"/>
        <w:rPr>
          <w:rFonts w:hint="default" w:ascii="Times New Roman" w:hAnsi="Times New Roman" w:cs="Times New Roman"/>
          <w:bCs/>
          <w:color w:val="0000FF"/>
          <w:sz w:val="24"/>
        </w:rPr>
      </w:pPr>
      <w:r>
        <w:rPr>
          <w:rFonts w:hint="default" w:ascii="Times New Roman" w:hAnsi="Times New Roman" w:cs="Times New Roman"/>
          <w:bCs/>
          <w:color w:val="0000FF"/>
          <w:sz w:val="24"/>
        </w:rPr>
        <w:t>附图</w:t>
      </w:r>
      <w:r>
        <w:rPr>
          <w:rFonts w:hint="eastAsia" w:cs="Times New Roman"/>
          <w:bCs/>
          <w:color w:val="0000FF"/>
          <w:sz w:val="24"/>
          <w:lang w:val="en-US" w:eastAsia="zh-CN"/>
        </w:rPr>
        <w:t>9</w:t>
      </w:r>
      <w:r>
        <w:rPr>
          <w:rFonts w:hint="default" w:ascii="Times New Roman" w:hAnsi="Times New Roman" w:cs="Times New Roman"/>
          <w:bCs/>
          <w:color w:val="0000FF"/>
          <w:sz w:val="24"/>
        </w:rPr>
        <w:t>-2 二号房一楼分区防渗示意图</w:t>
      </w:r>
    </w:p>
    <w:p w14:paraId="1CEAC605">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
          <w:color w:val="0000FF"/>
          <w:sz w:val="24"/>
        </w:rPr>
      </w:pPr>
      <w:bookmarkStart w:id="30" w:name="_Toc10512"/>
      <w:r>
        <w:rPr>
          <w:rFonts w:hint="default" w:ascii="Times New Roman" w:hAnsi="Times New Roman" w:cs="Times New Roman"/>
          <w:b/>
          <w:color w:val="0000FF"/>
          <w:sz w:val="24"/>
        </w:rPr>
        <w:t>附件</w:t>
      </w:r>
      <w:bookmarkEnd w:id="30"/>
    </w:p>
    <w:p w14:paraId="7C7AB127">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Cs/>
          <w:color w:val="0000FF"/>
          <w:sz w:val="24"/>
        </w:rPr>
      </w:pPr>
      <w:r>
        <w:rPr>
          <w:rFonts w:hint="default" w:ascii="Times New Roman" w:hAnsi="Times New Roman" w:cs="Times New Roman"/>
          <w:bCs/>
          <w:color w:val="0000FF"/>
          <w:sz w:val="24"/>
        </w:rPr>
        <w:t>附件1 项目备案</w:t>
      </w:r>
    </w:p>
    <w:p w14:paraId="199E87DD">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Cs/>
          <w:color w:val="0000FF"/>
          <w:sz w:val="24"/>
        </w:rPr>
      </w:pPr>
      <w:bookmarkStart w:id="31" w:name="_Toc30318"/>
      <w:r>
        <w:rPr>
          <w:rFonts w:hint="default" w:ascii="Times New Roman" w:hAnsi="Times New Roman" w:cs="Times New Roman"/>
          <w:bCs/>
          <w:color w:val="0000FF"/>
          <w:sz w:val="24"/>
        </w:rPr>
        <w:t>附件2 现有项目环评批复</w:t>
      </w:r>
    </w:p>
    <w:p w14:paraId="35BC9B5D">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Cs/>
          <w:color w:val="0000FF"/>
          <w:sz w:val="24"/>
        </w:rPr>
      </w:pPr>
      <w:bookmarkStart w:id="32" w:name="_Toc15972"/>
      <w:r>
        <w:rPr>
          <w:rFonts w:hint="default" w:ascii="Times New Roman" w:hAnsi="Times New Roman" w:cs="Times New Roman"/>
          <w:bCs/>
          <w:color w:val="0000FF"/>
          <w:sz w:val="24"/>
        </w:rPr>
        <w:t>附件3 现有项目验收专家意见</w:t>
      </w:r>
    </w:p>
    <w:bookmarkEnd w:id="32"/>
    <w:p w14:paraId="24E55236">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Cs/>
          <w:color w:val="0000FF"/>
          <w:sz w:val="24"/>
        </w:rPr>
      </w:pPr>
      <w:r>
        <w:rPr>
          <w:rFonts w:hint="default" w:ascii="Times New Roman" w:hAnsi="Times New Roman" w:cs="Times New Roman"/>
          <w:bCs/>
          <w:color w:val="0000FF"/>
          <w:sz w:val="24"/>
        </w:rPr>
        <w:t>附件4 排污许可登记回执</w:t>
      </w:r>
    </w:p>
    <w:p w14:paraId="438B5BDE">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Cs/>
          <w:color w:val="0000FF"/>
          <w:sz w:val="24"/>
        </w:rPr>
      </w:pPr>
      <w:bookmarkStart w:id="33" w:name="_Toc28746"/>
      <w:r>
        <w:rPr>
          <w:rFonts w:hint="default" w:ascii="Times New Roman" w:hAnsi="Times New Roman" w:cs="Times New Roman"/>
          <w:bCs/>
          <w:color w:val="0000FF"/>
          <w:sz w:val="24"/>
        </w:rPr>
        <w:t xml:space="preserve">附件5-1  </w:t>
      </w:r>
      <w:bookmarkEnd w:id="33"/>
      <w:r>
        <w:rPr>
          <w:rFonts w:hint="default" w:ascii="Times New Roman" w:hAnsi="Times New Roman" w:cs="Times New Roman"/>
          <w:bCs/>
          <w:color w:val="0000FF"/>
          <w:sz w:val="24"/>
        </w:rPr>
        <w:t>危废协议</w:t>
      </w:r>
    </w:p>
    <w:p w14:paraId="7F464A16">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Cs/>
          <w:color w:val="0000FF"/>
          <w:sz w:val="24"/>
        </w:rPr>
      </w:pPr>
      <w:bookmarkStart w:id="34" w:name="_Toc2597"/>
      <w:bookmarkStart w:id="35" w:name="_Toc19939"/>
      <w:r>
        <w:rPr>
          <w:rFonts w:hint="default" w:ascii="Times New Roman" w:hAnsi="Times New Roman" w:cs="Times New Roman"/>
          <w:bCs/>
          <w:color w:val="0000FF"/>
          <w:sz w:val="24"/>
        </w:rPr>
        <w:t xml:space="preserve">附件5-2 </w:t>
      </w:r>
      <w:r>
        <w:rPr>
          <w:rFonts w:hint="eastAsia" w:cs="Times New Roman"/>
          <w:bCs/>
          <w:color w:val="0000FF"/>
          <w:sz w:val="24"/>
          <w:lang w:val="en-US" w:eastAsia="zh-CN"/>
        </w:rPr>
        <w:t>验收</w:t>
      </w:r>
      <w:r>
        <w:rPr>
          <w:rFonts w:hint="default" w:ascii="Times New Roman" w:hAnsi="Times New Roman" w:cs="Times New Roman"/>
          <w:bCs/>
          <w:color w:val="0000FF"/>
          <w:sz w:val="24"/>
        </w:rPr>
        <w:t>监测报告</w:t>
      </w:r>
    </w:p>
    <w:p w14:paraId="05C32730">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bCs/>
          <w:color w:val="0000FF"/>
          <w:sz w:val="24"/>
        </w:rPr>
      </w:pPr>
      <w:r>
        <w:rPr>
          <w:rFonts w:hint="default" w:ascii="Times New Roman" w:hAnsi="Times New Roman" w:cs="Times New Roman"/>
          <w:bCs/>
          <w:color w:val="0000FF"/>
          <w:sz w:val="24"/>
        </w:rPr>
        <w:t>附件6 园区规划环评审查意见</w:t>
      </w:r>
    </w:p>
    <w:p w14:paraId="091ECEE8">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color w:val="0000FF"/>
          <w:sz w:val="24"/>
        </w:rPr>
      </w:pPr>
      <w:r>
        <w:rPr>
          <w:rFonts w:hint="default" w:ascii="Times New Roman" w:hAnsi="Times New Roman" w:cs="Times New Roman"/>
          <w:color w:val="0000FF"/>
          <w:sz w:val="24"/>
        </w:rPr>
        <w:t>附件7  三线一单</w:t>
      </w:r>
      <w:r>
        <w:rPr>
          <w:rFonts w:hint="default" w:ascii="Times New Roman" w:hAnsi="Times New Roman" w:cs="Times New Roman"/>
          <w:color w:val="0000FF"/>
          <w:sz w:val="24"/>
          <w:lang w:val="en-US" w:eastAsia="zh-CN"/>
        </w:rPr>
        <w:t>检测</w:t>
      </w:r>
      <w:r>
        <w:rPr>
          <w:rFonts w:hint="default" w:ascii="Times New Roman" w:hAnsi="Times New Roman" w:cs="Times New Roman"/>
          <w:color w:val="0000FF"/>
          <w:sz w:val="24"/>
        </w:rPr>
        <w:t>报告</w:t>
      </w:r>
    </w:p>
    <w:p w14:paraId="48E78D25">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color w:val="0000FF"/>
          <w:sz w:val="24"/>
        </w:rPr>
      </w:pPr>
      <w:r>
        <w:rPr>
          <w:rFonts w:hint="default" w:ascii="Times New Roman" w:hAnsi="Times New Roman" w:cs="Times New Roman"/>
          <w:color w:val="0000FF"/>
          <w:sz w:val="24"/>
        </w:rPr>
        <w:t xml:space="preserve">附件8  </w:t>
      </w:r>
      <w:bookmarkEnd w:id="34"/>
      <w:bookmarkEnd w:id="35"/>
      <w:r>
        <w:rPr>
          <w:rFonts w:hint="default" w:ascii="Times New Roman" w:hAnsi="Times New Roman" w:cs="Times New Roman"/>
          <w:color w:val="0000FF"/>
          <w:sz w:val="24"/>
        </w:rPr>
        <w:t>厂房租赁合同</w:t>
      </w:r>
    </w:p>
    <w:bookmarkEnd w:id="31"/>
    <w:p w14:paraId="57411957">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color w:val="0000FF"/>
          <w:sz w:val="24"/>
        </w:rPr>
      </w:pPr>
      <w:r>
        <w:rPr>
          <w:rFonts w:hint="default" w:ascii="Times New Roman" w:hAnsi="Times New Roman" w:cs="Times New Roman"/>
          <w:color w:val="0000FF"/>
          <w:sz w:val="24"/>
        </w:rPr>
        <w:t>附件9-1 长效防锈剂MSDS</w:t>
      </w:r>
    </w:p>
    <w:p w14:paraId="7A8561B0">
      <w:pPr>
        <w:pStyle w:val="14"/>
        <w:keepNext w:val="0"/>
        <w:keepLines w:val="0"/>
        <w:pageBreakBefore w:val="0"/>
        <w:kinsoku/>
        <w:wordWrap/>
        <w:overflowPunct/>
        <w:topLinePunct w:val="0"/>
        <w:autoSpaceDE/>
        <w:autoSpaceDN/>
        <w:bidi w:val="0"/>
        <w:snapToGrid w:val="0"/>
        <w:spacing w:before="0" w:after="0" w:line="360" w:lineRule="auto"/>
        <w:textAlignment w:val="auto"/>
        <w:rPr>
          <w:rFonts w:hint="default" w:ascii="Times New Roman" w:hAnsi="Times New Roman" w:cs="Times New Roman"/>
          <w:color w:val="0000FF"/>
          <w:sz w:val="24"/>
        </w:rPr>
      </w:pPr>
      <w:r>
        <w:rPr>
          <w:rFonts w:hint="default" w:ascii="Times New Roman" w:hAnsi="Times New Roman" w:cs="Times New Roman"/>
          <w:color w:val="0000FF"/>
          <w:sz w:val="24"/>
        </w:rPr>
        <w:t>附件9-2 除锈剂MSDS</w:t>
      </w:r>
    </w:p>
    <w:p w14:paraId="19841A87">
      <w:pPr>
        <w:pStyle w:val="14"/>
        <w:keepNext w:val="0"/>
        <w:keepLines w:val="0"/>
        <w:pageBreakBefore w:val="0"/>
        <w:kinsoku/>
        <w:wordWrap/>
        <w:overflowPunct/>
        <w:topLinePunct w:val="0"/>
        <w:autoSpaceDE/>
        <w:autoSpaceDN/>
        <w:bidi w:val="0"/>
        <w:snapToGrid w:val="0"/>
        <w:spacing w:before="0" w:after="0" w:line="360" w:lineRule="auto"/>
        <w:textAlignment w:val="auto"/>
        <w:rPr>
          <w:rFonts w:hint="default" w:ascii="Times New Roman" w:hAnsi="Times New Roman" w:cs="Times New Roman"/>
          <w:color w:val="0000FF"/>
          <w:sz w:val="24"/>
        </w:rPr>
      </w:pPr>
      <w:r>
        <w:rPr>
          <w:rFonts w:hint="default" w:ascii="Times New Roman" w:hAnsi="Times New Roman" w:cs="Times New Roman"/>
          <w:color w:val="0000FF"/>
          <w:sz w:val="24"/>
        </w:rPr>
        <w:t>附件9-3 固化剂MSDS</w:t>
      </w:r>
    </w:p>
    <w:p w14:paraId="219C5AD4">
      <w:pPr>
        <w:pStyle w:val="14"/>
        <w:keepNext w:val="0"/>
        <w:keepLines w:val="0"/>
        <w:pageBreakBefore w:val="0"/>
        <w:kinsoku/>
        <w:wordWrap/>
        <w:overflowPunct/>
        <w:topLinePunct w:val="0"/>
        <w:autoSpaceDE/>
        <w:autoSpaceDN/>
        <w:bidi w:val="0"/>
        <w:snapToGrid w:val="0"/>
        <w:spacing w:before="0" w:after="0" w:line="360" w:lineRule="auto"/>
        <w:textAlignment w:val="auto"/>
        <w:rPr>
          <w:rFonts w:hint="default" w:ascii="Times New Roman" w:hAnsi="Times New Roman" w:cs="Times New Roman"/>
          <w:color w:val="0000FF"/>
          <w:sz w:val="24"/>
        </w:rPr>
      </w:pPr>
      <w:r>
        <w:rPr>
          <w:rFonts w:hint="default" w:ascii="Times New Roman" w:hAnsi="Times New Roman" w:cs="Times New Roman"/>
          <w:color w:val="0000FF"/>
          <w:sz w:val="24"/>
        </w:rPr>
        <w:t>附件9-4 稀释剂MSDS</w:t>
      </w:r>
    </w:p>
    <w:p w14:paraId="7B76EEAE">
      <w:pPr>
        <w:pStyle w:val="14"/>
        <w:keepNext w:val="0"/>
        <w:keepLines w:val="0"/>
        <w:pageBreakBefore w:val="0"/>
        <w:kinsoku/>
        <w:wordWrap/>
        <w:overflowPunct/>
        <w:topLinePunct w:val="0"/>
        <w:autoSpaceDE/>
        <w:autoSpaceDN/>
        <w:bidi w:val="0"/>
        <w:snapToGrid w:val="0"/>
        <w:spacing w:before="0" w:after="0" w:line="360" w:lineRule="auto"/>
        <w:textAlignment w:val="auto"/>
        <w:rPr>
          <w:rFonts w:hint="default" w:ascii="Times New Roman" w:hAnsi="Times New Roman" w:cs="Times New Roman"/>
          <w:color w:val="0000FF"/>
          <w:sz w:val="24"/>
        </w:rPr>
      </w:pPr>
      <w:r>
        <w:rPr>
          <w:rFonts w:hint="default" w:ascii="Times New Roman" w:hAnsi="Times New Roman" w:cs="Times New Roman"/>
          <w:color w:val="0000FF"/>
          <w:sz w:val="24"/>
        </w:rPr>
        <w:t>附件9-5 油墨MSDS</w:t>
      </w:r>
    </w:p>
    <w:p w14:paraId="47646198">
      <w:pPr>
        <w:pStyle w:val="14"/>
        <w:keepNext w:val="0"/>
        <w:keepLines w:val="0"/>
        <w:pageBreakBefore w:val="0"/>
        <w:kinsoku/>
        <w:wordWrap/>
        <w:overflowPunct/>
        <w:topLinePunct w:val="0"/>
        <w:autoSpaceDE/>
        <w:autoSpaceDN/>
        <w:bidi w:val="0"/>
        <w:snapToGrid w:val="0"/>
        <w:spacing w:before="0" w:after="0" w:line="360" w:lineRule="auto"/>
        <w:textAlignment w:val="auto"/>
        <w:rPr>
          <w:rFonts w:hint="default" w:ascii="Times New Roman" w:hAnsi="Times New Roman" w:cs="Times New Roman"/>
          <w:color w:val="0000FF"/>
          <w:sz w:val="24"/>
        </w:rPr>
      </w:pPr>
      <w:r>
        <w:rPr>
          <w:rFonts w:hint="default" w:ascii="Times New Roman" w:hAnsi="Times New Roman" w:cs="Times New Roman"/>
          <w:color w:val="0000FF"/>
          <w:sz w:val="24"/>
        </w:rPr>
        <w:t>附件9-6 防白水MSDS</w:t>
      </w:r>
    </w:p>
    <w:p w14:paraId="2EBC5E48">
      <w:pPr>
        <w:pStyle w:val="14"/>
        <w:keepNext w:val="0"/>
        <w:keepLines w:val="0"/>
        <w:pageBreakBefore w:val="0"/>
        <w:kinsoku/>
        <w:wordWrap/>
        <w:overflowPunct/>
        <w:topLinePunct w:val="0"/>
        <w:autoSpaceDE/>
        <w:autoSpaceDN/>
        <w:bidi w:val="0"/>
        <w:snapToGrid w:val="0"/>
        <w:spacing w:before="0" w:after="0" w:line="360" w:lineRule="auto"/>
        <w:textAlignment w:val="auto"/>
        <w:rPr>
          <w:rFonts w:hint="eastAsia"/>
          <w:color w:val="0000FF"/>
          <w:sz w:val="24"/>
        </w:rPr>
      </w:pPr>
      <w:r>
        <w:rPr>
          <w:rFonts w:hint="default" w:ascii="Times New Roman" w:hAnsi="Times New Roman" w:cs="Times New Roman"/>
          <w:color w:val="0000FF"/>
          <w:sz w:val="24"/>
        </w:rPr>
        <w:t>附件9-7 洗网水MSDS</w:t>
      </w:r>
    </w:p>
    <w:sectPr>
      <w:pgSz w:w="11906" w:h="16838"/>
      <w:pgMar w:top="1701" w:right="1531" w:bottom="1701" w:left="1531" w:header="851" w:footer="851"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微软雅黑 Regular">
    <w:altName w:val="黑体"/>
    <w:panose1 w:val="00000000000000000000"/>
    <w:charset w:val="00"/>
    <w:family w:val="auto"/>
    <w:pitch w:val="default"/>
    <w:sig w:usb0="00000000" w:usb1="00000000" w:usb2="00000000" w:usb3="00000000" w:csb0="00040001" w:csb1="00000000"/>
  </w:font>
  <w:font w:name="微软雅黑 Bold">
    <w:altName w:val="黑体"/>
    <w:panose1 w:val="020B0703020204020201"/>
    <w:charset w:val="00"/>
    <w:family w:val="auto"/>
    <w:pitch w:val="default"/>
    <w:sig w:usb0="00000000" w:usb1="00000000" w:usb2="00000000"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Dutch801 Rm BT">
    <w:panose1 w:val="02020603060505020304"/>
    <w:charset w:val="00"/>
    <w:family w:val="roman"/>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 w:name="Arial Unicode MS">
    <w:panose1 w:val="020B0604020202020204"/>
    <w:charset w:val="86"/>
    <w:family w:val="roman"/>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serif">
    <w:altName w:val="微软雅黑"/>
    <w:panose1 w:val="00000000000000000000"/>
    <w:charset w:val="00"/>
    <w:family w:val="auto"/>
    <w:pitch w:val="default"/>
    <w:sig w:usb0="00000000" w:usb1="00000000" w:usb2="00000000" w:usb3="00000000" w:csb0="00040001" w:csb1="00000000"/>
  </w:font>
  <w:font w:name="方正小标宋_GBK">
    <w:altName w:val="Arial Unicode MS"/>
    <w:panose1 w:val="02000000000000000000"/>
    <w:charset w:val="86"/>
    <w:family w:val="script"/>
    <w:pitch w:val="default"/>
    <w:sig w:usb0="00000000" w:usb1="00000000" w:usb2="00082016" w:usb3="00000000" w:csb0="00040001" w:csb1="00000000"/>
  </w:font>
  <w:font w:name="Wingdings 2">
    <w:panose1 w:val="05020102010507070707"/>
    <w:charset w:val="02"/>
    <w:family w:val="roman"/>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FBD2B">
    <w:pPr>
      <w:pStyle w:val="2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F66B5">
    <w:pPr>
      <w:pStyle w:val="22"/>
      <w:framePr w:wrap="around" w:vAnchor="text" w:hAnchor="margin" w:xAlign="center" w:y="1"/>
      <w:rPr>
        <w:rStyle w:val="39"/>
      </w:rPr>
    </w:pPr>
    <w:r>
      <w:fldChar w:fldCharType="begin"/>
    </w:r>
    <w:r>
      <w:rPr>
        <w:rStyle w:val="39"/>
      </w:rPr>
      <w:instrText xml:space="preserve">PAGE  </w:instrText>
    </w:r>
    <w:r>
      <w:fldChar w:fldCharType="end"/>
    </w:r>
  </w:p>
  <w:p w14:paraId="723CA00A">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B7160">
    <w:pPr>
      <w:pStyle w:val="22"/>
      <w:tabs>
        <w:tab w:val="center" w:pos="4482"/>
        <w:tab w:val="left" w:pos="6500"/>
      </w:tabs>
      <w:ind w:right="360" w:firstLine="360"/>
      <w:jc w:val="left"/>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A755A9B">
                          <w:pPr>
                            <w:pStyle w:val="22"/>
                            <w:rPr>
                              <w:rStyle w:val="39"/>
                              <w:rFonts w:ascii="宋体" w:hAnsi="宋体"/>
                              <w:sz w:val="28"/>
                              <w:szCs w:val="28"/>
                            </w:rPr>
                          </w:pPr>
                          <w:r>
                            <w:rPr>
                              <w:rStyle w:val="39"/>
                              <w:rFonts w:hint="eastAsia" w:ascii="宋体" w:hAnsi="宋体"/>
                              <w:sz w:val="28"/>
                              <w:szCs w:val="28"/>
                            </w:rPr>
                            <w:t>—</w:t>
                          </w:r>
                          <w:r>
                            <w:rPr>
                              <w:rStyle w:val="39"/>
                              <w:rFonts w:hint="eastAsia" w:ascii="宋体" w:hAnsi="宋体"/>
                              <w:sz w:val="20"/>
                            </w:rPr>
                            <w:t xml:space="preserve">  </w:t>
                          </w:r>
                          <w:r>
                            <w:rPr>
                              <w:rFonts w:ascii="宋体" w:hAnsi="宋体"/>
                              <w:sz w:val="26"/>
                              <w:szCs w:val="26"/>
                            </w:rPr>
                            <w:fldChar w:fldCharType="begin"/>
                          </w:r>
                          <w:r>
                            <w:rPr>
                              <w:rStyle w:val="39"/>
                              <w:rFonts w:ascii="宋体" w:hAnsi="宋体"/>
                              <w:sz w:val="26"/>
                              <w:szCs w:val="26"/>
                            </w:rPr>
                            <w:instrText xml:space="preserve">PAGE  </w:instrText>
                          </w:r>
                          <w:r>
                            <w:rPr>
                              <w:rFonts w:ascii="宋体" w:hAnsi="宋体"/>
                              <w:sz w:val="26"/>
                              <w:szCs w:val="26"/>
                            </w:rPr>
                            <w:fldChar w:fldCharType="separate"/>
                          </w:r>
                          <w:r>
                            <w:rPr>
                              <w:rStyle w:val="39"/>
                              <w:rFonts w:ascii="宋体" w:hAnsi="宋体"/>
                              <w:sz w:val="26"/>
                              <w:szCs w:val="26"/>
                            </w:rPr>
                            <w:t>82</w:t>
                          </w:r>
                          <w:r>
                            <w:rPr>
                              <w:rFonts w:ascii="宋体" w:hAnsi="宋体"/>
                              <w:sz w:val="26"/>
                              <w:szCs w:val="26"/>
                            </w:rPr>
                            <w:fldChar w:fldCharType="end"/>
                          </w:r>
                          <w:r>
                            <w:rPr>
                              <w:rStyle w:val="39"/>
                              <w:rFonts w:hint="eastAsia" w:ascii="宋体" w:hAnsi="宋体"/>
                              <w:sz w:val="20"/>
                            </w:rPr>
                            <w:t xml:space="preserve">  </w:t>
                          </w:r>
                          <w:r>
                            <w:rPr>
                              <w:rStyle w:val="39"/>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2049"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KqtrgLgAQAAwgMAAA4AAAAA&#10;AAAAAQAgAAAAHgEAAGRycy9lMm9Eb2MueG1sUEsFBgAAAAAGAAYAWQEAAHAFAAAAAA==&#10;">
              <v:fill on="f" focussize="0,0"/>
              <v:stroke on="f"/>
              <v:imagedata o:title=""/>
              <o:lock v:ext="edit" aspectratio="f"/>
              <v:textbox inset="0mm,0mm,0mm,0mm" style="mso-fit-shape-to-text:t;">
                <w:txbxContent>
                  <w:p w14:paraId="0A755A9B">
                    <w:pPr>
                      <w:pStyle w:val="22"/>
                      <w:rPr>
                        <w:rStyle w:val="39"/>
                        <w:rFonts w:ascii="宋体" w:hAnsi="宋体"/>
                        <w:sz w:val="28"/>
                        <w:szCs w:val="28"/>
                      </w:rPr>
                    </w:pPr>
                    <w:r>
                      <w:rPr>
                        <w:rStyle w:val="39"/>
                        <w:rFonts w:hint="eastAsia" w:ascii="宋体" w:hAnsi="宋体"/>
                        <w:sz w:val="28"/>
                        <w:szCs w:val="28"/>
                      </w:rPr>
                      <w:t>—</w:t>
                    </w:r>
                    <w:r>
                      <w:rPr>
                        <w:rStyle w:val="39"/>
                        <w:rFonts w:hint="eastAsia" w:ascii="宋体" w:hAnsi="宋体"/>
                        <w:sz w:val="20"/>
                      </w:rPr>
                      <w:t xml:space="preserve">  </w:t>
                    </w:r>
                    <w:r>
                      <w:rPr>
                        <w:rFonts w:ascii="宋体" w:hAnsi="宋体"/>
                        <w:sz w:val="26"/>
                        <w:szCs w:val="26"/>
                      </w:rPr>
                      <w:fldChar w:fldCharType="begin"/>
                    </w:r>
                    <w:r>
                      <w:rPr>
                        <w:rStyle w:val="39"/>
                        <w:rFonts w:ascii="宋体" w:hAnsi="宋体"/>
                        <w:sz w:val="26"/>
                        <w:szCs w:val="26"/>
                      </w:rPr>
                      <w:instrText xml:space="preserve">PAGE  </w:instrText>
                    </w:r>
                    <w:r>
                      <w:rPr>
                        <w:rFonts w:ascii="宋体" w:hAnsi="宋体"/>
                        <w:sz w:val="26"/>
                        <w:szCs w:val="26"/>
                      </w:rPr>
                      <w:fldChar w:fldCharType="separate"/>
                    </w:r>
                    <w:r>
                      <w:rPr>
                        <w:rStyle w:val="39"/>
                        <w:rFonts w:ascii="宋体" w:hAnsi="宋体"/>
                        <w:sz w:val="26"/>
                        <w:szCs w:val="26"/>
                      </w:rPr>
                      <w:t>82</w:t>
                    </w:r>
                    <w:r>
                      <w:rPr>
                        <w:rFonts w:ascii="宋体" w:hAnsi="宋体"/>
                        <w:sz w:val="26"/>
                        <w:szCs w:val="26"/>
                      </w:rPr>
                      <w:fldChar w:fldCharType="end"/>
                    </w:r>
                    <w:r>
                      <w:rPr>
                        <w:rStyle w:val="39"/>
                        <w:rFonts w:hint="eastAsia" w:ascii="宋体" w:hAnsi="宋体"/>
                        <w:sz w:val="20"/>
                      </w:rPr>
                      <w:t xml:space="preserve">  </w:t>
                    </w:r>
                    <w:r>
                      <w:rPr>
                        <w:rStyle w:val="39"/>
                        <w:rFonts w:hint="eastAsia" w:ascii="宋体" w:hAnsi="宋体"/>
                        <w:sz w:val="28"/>
                        <w:szCs w:val="28"/>
                      </w:rPr>
                      <w:t>—</w:t>
                    </w:r>
                  </w:p>
                </w:txbxContent>
              </v:textbox>
            </v:shape>
          </w:pict>
        </mc:Fallback>
      </mc:AlternateContent>
    </w:r>
    <w:r>
      <w:rPr>
        <w:rFonts w:hint="eastAsia"/>
        <w:lang w:eastAsia="zh-CN"/>
      </w:rPr>
      <w:tab/>
    </w:r>
    <w:r>
      <w:rPr>
        <w:rFonts w:hint="eastAsia"/>
        <w:lang w:eastAsia="zh-CN"/>
      </w:rPr>
      <w:tab/>
    </w:r>
    <w:r>
      <w:rPr>
        <w:rFonts w:hint="eastAsia"/>
        <w:lang w:eastAsia="zh-CN"/>
      </w:rPr>
      <w:tab/>
    </w: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C9E81">
    <w:pPr>
      <w:pStyle w:val="22"/>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2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08C956">
                          <w:pPr>
                            <w:pStyle w:val="22"/>
                            <w:rPr>
                              <w:rStyle w:val="39"/>
                              <w:rFonts w:ascii="宋体" w:hAnsi="宋体"/>
                              <w:sz w:val="28"/>
                              <w:szCs w:val="28"/>
                            </w:rPr>
                          </w:pPr>
                          <w:r>
                            <w:rPr>
                              <w:rStyle w:val="39"/>
                              <w:rFonts w:hint="eastAsia" w:ascii="宋体" w:hAnsi="宋体"/>
                              <w:sz w:val="28"/>
                              <w:szCs w:val="28"/>
                            </w:rPr>
                            <w:t>—</w:t>
                          </w:r>
                          <w:r>
                            <w:rPr>
                              <w:rStyle w:val="39"/>
                              <w:rFonts w:hint="eastAsia" w:ascii="宋体" w:hAnsi="宋体"/>
                              <w:sz w:val="20"/>
                            </w:rPr>
                            <w:t xml:space="preserve">  </w:t>
                          </w:r>
                          <w:r>
                            <w:rPr>
                              <w:rFonts w:ascii="宋体" w:hAnsi="宋体"/>
                              <w:sz w:val="26"/>
                              <w:szCs w:val="26"/>
                            </w:rPr>
                            <w:fldChar w:fldCharType="begin"/>
                          </w:r>
                          <w:r>
                            <w:rPr>
                              <w:rStyle w:val="39"/>
                              <w:rFonts w:ascii="宋体" w:hAnsi="宋体"/>
                              <w:sz w:val="26"/>
                              <w:szCs w:val="26"/>
                            </w:rPr>
                            <w:instrText xml:space="preserve">PAGE  </w:instrText>
                          </w:r>
                          <w:r>
                            <w:rPr>
                              <w:rFonts w:ascii="宋体" w:hAnsi="宋体"/>
                              <w:sz w:val="26"/>
                              <w:szCs w:val="26"/>
                            </w:rPr>
                            <w:fldChar w:fldCharType="separate"/>
                          </w:r>
                          <w:r>
                            <w:rPr>
                              <w:rStyle w:val="39"/>
                              <w:rFonts w:ascii="宋体" w:hAnsi="宋体"/>
                              <w:sz w:val="26"/>
                              <w:szCs w:val="26"/>
                            </w:rPr>
                            <w:t>101</w:t>
                          </w:r>
                          <w:r>
                            <w:rPr>
                              <w:rFonts w:ascii="宋体" w:hAnsi="宋体"/>
                              <w:sz w:val="26"/>
                              <w:szCs w:val="26"/>
                            </w:rPr>
                            <w:fldChar w:fldCharType="end"/>
                          </w:r>
                          <w:r>
                            <w:rPr>
                              <w:rStyle w:val="39"/>
                              <w:rFonts w:hint="eastAsia" w:ascii="宋体" w:hAnsi="宋体"/>
                              <w:sz w:val="20"/>
                            </w:rPr>
                            <w:t xml:space="preserve">  </w:t>
                          </w:r>
                          <w:r>
                            <w:rPr>
                              <w:rStyle w:val="39"/>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2050"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CpQrW/gAQAAwgMAAA4AAAAA&#10;AAAAAQAgAAAAHgEAAGRycy9lMm9Eb2MueG1sUEsFBgAAAAAGAAYAWQEAAHAFAAAAAA==&#10;">
              <v:fill on="f" focussize="0,0"/>
              <v:stroke on="f"/>
              <v:imagedata o:title=""/>
              <o:lock v:ext="edit" aspectratio="f"/>
              <v:textbox inset="0mm,0mm,0mm,0mm" style="mso-fit-shape-to-text:t;">
                <w:txbxContent>
                  <w:p w14:paraId="6F08C956">
                    <w:pPr>
                      <w:pStyle w:val="22"/>
                      <w:rPr>
                        <w:rStyle w:val="39"/>
                        <w:rFonts w:ascii="宋体" w:hAnsi="宋体"/>
                        <w:sz w:val="28"/>
                        <w:szCs w:val="28"/>
                      </w:rPr>
                    </w:pPr>
                    <w:r>
                      <w:rPr>
                        <w:rStyle w:val="39"/>
                        <w:rFonts w:hint="eastAsia" w:ascii="宋体" w:hAnsi="宋体"/>
                        <w:sz w:val="28"/>
                        <w:szCs w:val="28"/>
                      </w:rPr>
                      <w:t>—</w:t>
                    </w:r>
                    <w:r>
                      <w:rPr>
                        <w:rStyle w:val="39"/>
                        <w:rFonts w:hint="eastAsia" w:ascii="宋体" w:hAnsi="宋体"/>
                        <w:sz w:val="20"/>
                      </w:rPr>
                      <w:t xml:space="preserve">  </w:t>
                    </w:r>
                    <w:r>
                      <w:rPr>
                        <w:rFonts w:ascii="宋体" w:hAnsi="宋体"/>
                        <w:sz w:val="26"/>
                        <w:szCs w:val="26"/>
                      </w:rPr>
                      <w:fldChar w:fldCharType="begin"/>
                    </w:r>
                    <w:r>
                      <w:rPr>
                        <w:rStyle w:val="39"/>
                        <w:rFonts w:ascii="宋体" w:hAnsi="宋体"/>
                        <w:sz w:val="26"/>
                        <w:szCs w:val="26"/>
                      </w:rPr>
                      <w:instrText xml:space="preserve">PAGE  </w:instrText>
                    </w:r>
                    <w:r>
                      <w:rPr>
                        <w:rFonts w:ascii="宋体" w:hAnsi="宋体"/>
                        <w:sz w:val="26"/>
                        <w:szCs w:val="26"/>
                      </w:rPr>
                      <w:fldChar w:fldCharType="separate"/>
                    </w:r>
                    <w:r>
                      <w:rPr>
                        <w:rStyle w:val="39"/>
                        <w:rFonts w:ascii="宋体" w:hAnsi="宋体"/>
                        <w:sz w:val="26"/>
                        <w:szCs w:val="26"/>
                      </w:rPr>
                      <w:t>101</w:t>
                    </w:r>
                    <w:r>
                      <w:rPr>
                        <w:rFonts w:ascii="宋体" w:hAnsi="宋体"/>
                        <w:sz w:val="26"/>
                        <w:szCs w:val="26"/>
                      </w:rPr>
                      <w:fldChar w:fldCharType="end"/>
                    </w:r>
                    <w:r>
                      <w:rPr>
                        <w:rStyle w:val="39"/>
                        <w:rFonts w:hint="eastAsia" w:ascii="宋体" w:hAnsi="宋体"/>
                        <w:sz w:val="20"/>
                      </w:rPr>
                      <w:t xml:space="preserve">  </w:t>
                    </w:r>
                    <w:r>
                      <w:rPr>
                        <w:rStyle w:val="39"/>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A560E">
    <w:pPr>
      <w:pStyle w:val="2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973F9BF"/>
    <w:multiLevelType w:val="singleLevel"/>
    <w:tmpl w:val="3973F9BF"/>
    <w:lvl w:ilvl="0" w:tentative="0">
      <w:start w:val="4"/>
      <w:numFmt w:val="chineseCounting"/>
      <w:suff w:val="nothing"/>
      <w:lvlText w:val="（%1）"/>
      <w:lvlJc w:val="left"/>
      <w:rPr>
        <w:rFonts w:hint="eastAsia"/>
      </w:rPr>
    </w:lvl>
  </w:abstractNum>
  <w:abstractNum w:abstractNumId="1">
    <w:nsid w:val="41862CA9"/>
    <w:multiLevelType w:val="multilevel"/>
    <w:tmpl w:val="41862CA9"/>
    <w:lvl w:ilvl="0" w:tentative="0">
      <w:start w:val="1"/>
      <w:numFmt w:val="decimal"/>
      <w:suff w:val="space"/>
      <w:lvlText w:val="%1"/>
      <w:lvlJc w:val="left"/>
      <w:pPr>
        <w:ind w:left="0" w:firstLine="0"/>
      </w:pPr>
      <w:rPr>
        <w:rFonts w:hint="eastAsia"/>
        <w:sz w:val="30"/>
        <w:szCs w:val="30"/>
      </w:rPr>
    </w:lvl>
    <w:lvl w:ilvl="1" w:tentative="0">
      <w:start w:val="1"/>
      <w:numFmt w:val="decimal"/>
      <w:pStyle w:val="77"/>
      <w:suff w:val="space"/>
      <w:lvlText w:val="%1.%2"/>
      <w:lvlJc w:val="left"/>
      <w:pPr>
        <w:ind w:left="1417"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5DD598F1"/>
    <w:multiLevelType w:val="singleLevel"/>
    <w:tmpl w:val="5DD598F1"/>
    <w:lvl w:ilvl="0" w:tentative="0">
      <w:start w:val="1"/>
      <w:numFmt w:val="bullet"/>
      <w:pStyle w:val="18"/>
      <w:lvlText w:val=""/>
      <w:lvlJc w:val="left"/>
      <w:pPr>
        <w:tabs>
          <w:tab w:val="left" w:pos="2040"/>
        </w:tabs>
        <w:ind w:left="2040" w:hanging="360"/>
      </w:pPr>
      <w:rPr>
        <w:rFonts w:hint="default" w:ascii="Wingdings" w:hAnsi="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E3YmY0ZTA1YjdmOWVjNmNiYzY1NDYzZDEwNjk3ZDcifQ=="/>
  </w:docVars>
  <w:rsids>
    <w:rsidRoot w:val="00172A27"/>
    <w:rsid w:val="000018E1"/>
    <w:rsid w:val="00002C65"/>
    <w:rsid w:val="000060B3"/>
    <w:rsid w:val="00010D0C"/>
    <w:rsid w:val="00014CBD"/>
    <w:rsid w:val="00016451"/>
    <w:rsid w:val="0001793C"/>
    <w:rsid w:val="000221BC"/>
    <w:rsid w:val="0002561E"/>
    <w:rsid w:val="0002770A"/>
    <w:rsid w:val="00034FEE"/>
    <w:rsid w:val="0004364B"/>
    <w:rsid w:val="00043983"/>
    <w:rsid w:val="00043DA7"/>
    <w:rsid w:val="00050230"/>
    <w:rsid w:val="00050B52"/>
    <w:rsid w:val="00056166"/>
    <w:rsid w:val="00061B1F"/>
    <w:rsid w:val="00070AC7"/>
    <w:rsid w:val="000733C4"/>
    <w:rsid w:val="00074783"/>
    <w:rsid w:val="00076EA7"/>
    <w:rsid w:val="0008070B"/>
    <w:rsid w:val="00080DF2"/>
    <w:rsid w:val="000810AC"/>
    <w:rsid w:val="00081A02"/>
    <w:rsid w:val="00082231"/>
    <w:rsid w:val="00087327"/>
    <w:rsid w:val="00087BA1"/>
    <w:rsid w:val="0009075B"/>
    <w:rsid w:val="00092D38"/>
    <w:rsid w:val="0009377B"/>
    <w:rsid w:val="00094D65"/>
    <w:rsid w:val="000A0899"/>
    <w:rsid w:val="000A20C9"/>
    <w:rsid w:val="000A219D"/>
    <w:rsid w:val="000B058F"/>
    <w:rsid w:val="000B4467"/>
    <w:rsid w:val="000B4DB9"/>
    <w:rsid w:val="000B61A1"/>
    <w:rsid w:val="000C09AC"/>
    <w:rsid w:val="000C537B"/>
    <w:rsid w:val="000C573B"/>
    <w:rsid w:val="000C6FDD"/>
    <w:rsid w:val="000C767F"/>
    <w:rsid w:val="000D59EE"/>
    <w:rsid w:val="000D5A44"/>
    <w:rsid w:val="000E20BF"/>
    <w:rsid w:val="000E3ED2"/>
    <w:rsid w:val="00102066"/>
    <w:rsid w:val="0011760F"/>
    <w:rsid w:val="00120A3D"/>
    <w:rsid w:val="00121F55"/>
    <w:rsid w:val="00124D2E"/>
    <w:rsid w:val="001315D9"/>
    <w:rsid w:val="00131F42"/>
    <w:rsid w:val="00133387"/>
    <w:rsid w:val="001357F1"/>
    <w:rsid w:val="00140FA8"/>
    <w:rsid w:val="00142FEB"/>
    <w:rsid w:val="00143A2D"/>
    <w:rsid w:val="00145A41"/>
    <w:rsid w:val="00151675"/>
    <w:rsid w:val="00157435"/>
    <w:rsid w:val="0016155A"/>
    <w:rsid w:val="00161C7A"/>
    <w:rsid w:val="001647C9"/>
    <w:rsid w:val="0016627C"/>
    <w:rsid w:val="001711AC"/>
    <w:rsid w:val="0017504D"/>
    <w:rsid w:val="001754E3"/>
    <w:rsid w:val="0017671A"/>
    <w:rsid w:val="00177422"/>
    <w:rsid w:val="00180536"/>
    <w:rsid w:val="00184590"/>
    <w:rsid w:val="001870D1"/>
    <w:rsid w:val="0018781E"/>
    <w:rsid w:val="0019262D"/>
    <w:rsid w:val="00194664"/>
    <w:rsid w:val="001A0374"/>
    <w:rsid w:val="001A1B35"/>
    <w:rsid w:val="001A39BC"/>
    <w:rsid w:val="001A48A2"/>
    <w:rsid w:val="001A6F61"/>
    <w:rsid w:val="001B108F"/>
    <w:rsid w:val="001B72B8"/>
    <w:rsid w:val="001C082B"/>
    <w:rsid w:val="001C33C3"/>
    <w:rsid w:val="001C3D90"/>
    <w:rsid w:val="001C59A1"/>
    <w:rsid w:val="001C5F23"/>
    <w:rsid w:val="001C69B3"/>
    <w:rsid w:val="001D010D"/>
    <w:rsid w:val="001D36EB"/>
    <w:rsid w:val="001D4EBB"/>
    <w:rsid w:val="001D5595"/>
    <w:rsid w:val="001D6620"/>
    <w:rsid w:val="001D7874"/>
    <w:rsid w:val="001D7F22"/>
    <w:rsid w:val="001E7827"/>
    <w:rsid w:val="001E7E06"/>
    <w:rsid w:val="001F0F17"/>
    <w:rsid w:val="001F3347"/>
    <w:rsid w:val="001F69E4"/>
    <w:rsid w:val="001F71D5"/>
    <w:rsid w:val="00204441"/>
    <w:rsid w:val="002125B4"/>
    <w:rsid w:val="00212DBA"/>
    <w:rsid w:val="002155B8"/>
    <w:rsid w:val="002205B1"/>
    <w:rsid w:val="00224839"/>
    <w:rsid w:val="002249B2"/>
    <w:rsid w:val="00226574"/>
    <w:rsid w:val="002278EC"/>
    <w:rsid w:val="00230C1F"/>
    <w:rsid w:val="00231102"/>
    <w:rsid w:val="0023280E"/>
    <w:rsid w:val="002377D1"/>
    <w:rsid w:val="002379F9"/>
    <w:rsid w:val="002463A9"/>
    <w:rsid w:val="002506BC"/>
    <w:rsid w:val="002515E0"/>
    <w:rsid w:val="00254345"/>
    <w:rsid w:val="00255E01"/>
    <w:rsid w:val="00256F77"/>
    <w:rsid w:val="00257015"/>
    <w:rsid w:val="00264557"/>
    <w:rsid w:val="00270BE1"/>
    <w:rsid w:val="0027648C"/>
    <w:rsid w:val="002805AB"/>
    <w:rsid w:val="00284204"/>
    <w:rsid w:val="002911C0"/>
    <w:rsid w:val="00291773"/>
    <w:rsid w:val="002920CD"/>
    <w:rsid w:val="00293564"/>
    <w:rsid w:val="002956D1"/>
    <w:rsid w:val="00296A60"/>
    <w:rsid w:val="002A168C"/>
    <w:rsid w:val="002A1FD3"/>
    <w:rsid w:val="002A2F69"/>
    <w:rsid w:val="002A3DC7"/>
    <w:rsid w:val="002A6F3C"/>
    <w:rsid w:val="002B49E2"/>
    <w:rsid w:val="002B7B00"/>
    <w:rsid w:val="002B7C44"/>
    <w:rsid w:val="002C255F"/>
    <w:rsid w:val="002C2B17"/>
    <w:rsid w:val="002C51AD"/>
    <w:rsid w:val="002C53F8"/>
    <w:rsid w:val="002D25A6"/>
    <w:rsid w:val="002D25B5"/>
    <w:rsid w:val="002D3DD0"/>
    <w:rsid w:val="002D544C"/>
    <w:rsid w:val="002E1F3A"/>
    <w:rsid w:val="002E203B"/>
    <w:rsid w:val="002E298A"/>
    <w:rsid w:val="002F5554"/>
    <w:rsid w:val="002F5E05"/>
    <w:rsid w:val="00301978"/>
    <w:rsid w:val="0030332C"/>
    <w:rsid w:val="003051C2"/>
    <w:rsid w:val="003102C4"/>
    <w:rsid w:val="00311CAF"/>
    <w:rsid w:val="00312296"/>
    <w:rsid w:val="00314F0E"/>
    <w:rsid w:val="00321D8E"/>
    <w:rsid w:val="003258FD"/>
    <w:rsid w:val="00325928"/>
    <w:rsid w:val="003313B5"/>
    <w:rsid w:val="00332863"/>
    <w:rsid w:val="00333535"/>
    <w:rsid w:val="003339EC"/>
    <w:rsid w:val="0033523F"/>
    <w:rsid w:val="0033684D"/>
    <w:rsid w:val="00336EA3"/>
    <w:rsid w:val="00337B42"/>
    <w:rsid w:val="00341B42"/>
    <w:rsid w:val="00342664"/>
    <w:rsid w:val="0034348F"/>
    <w:rsid w:val="00356653"/>
    <w:rsid w:val="003569AE"/>
    <w:rsid w:val="0035743F"/>
    <w:rsid w:val="003577A2"/>
    <w:rsid w:val="00357BE2"/>
    <w:rsid w:val="00360E78"/>
    <w:rsid w:val="0036170C"/>
    <w:rsid w:val="00364076"/>
    <w:rsid w:val="00366E0F"/>
    <w:rsid w:val="00371C76"/>
    <w:rsid w:val="00373510"/>
    <w:rsid w:val="0037406D"/>
    <w:rsid w:val="00381A72"/>
    <w:rsid w:val="0038246A"/>
    <w:rsid w:val="00383CE0"/>
    <w:rsid w:val="00384676"/>
    <w:rsid w:val="00390857"/>
    <w:rsid w:val="00392960"/>
    <w:rsid w:val="00394936"/>
    <w:rsid w:val="0039499A"/>
    <w:rsid w:val="003A2BD3"/>
    <w:rsid w:val="003A433D"/>
    <w:rsid w:val="003A4BF3"/>
    <w:rsid w:val="003B420D"/>
    <w:rsid w:val="003C2914"/>
    <w:rsid w:val="003C5910"/>
    <w:rsid w:val="003C6C16"/>
    <w:rsid w:val="003D4978"/>
    <w:rsid w:val="003D794D"/>
    <w:rsid w:val="003E09A7"/>
    <w:rsid w:val="003E2E64"/>
    <w:rsid w:val="003E3058"/>
    <w:rsid w:val="003E76A9"/>
    <w:rsid w:val="003F0809"/>
    <w:rsid w:val="003F6A8C"/>
    <w:rsid w:val="003F72D8"/>
    <w:rsid w:val="003F755C"/>
    <w:rsid w:val="00404457"/>
    <w:rsid w:val="00406F01"/>
    <w:rsid w:val="00414D2B"/>
    <w:rsid w:val="00416D50"/>
    <w:rsid w:val="00416FD5"/>
    <w:rsid w:val="00417772"/>
    <w:rsid w:val="00420E6A"/>
    <w:rsid w:val="00423500"/>
    <w:rsid w:val="00425A9E"/>
    <w:rsid w:val="00425BD1"/>
    <w:rsid w:val="00426D6B"/>
    <w:rsid w:val="004277C9"/>
    <w:rsid w:val="00431E6C"/>
    <w:rsid w:val="00433CE7"/>
    <w:rsid w:val="00440271"/>
    <w:rsid w:val="00452738"/>
    <w:rsid w:val="00456091"/>
    <w:rsid w:val="00461DBD"/>
    <w:rsid w:val="00466321"/>
    <w:rsid w:val="004675B9"/>
    <w:rsid w:val="00481C1D"/>
    <w:rsid w:val="004833E0"/>
    <w:rsid w:val="00484B9B"/>
    <w:rsid w:val="004855F6"/>
    <w:rsid w:val="0048661E"/>
    <w:rsid w:val="00493C33"/>
    <w:rsid w:val="00494670"/>
    <w:rsid w:val="004A2F9F"/>
    <w:rsid w:val="004A3823"/>
    <w:rsid w:val="004B0DC2"/>
    <w:rsid w:val="004B4F8D"/>
    <w:rsid w:val="004B507F"/>
    <w:rsid w:val="004B539E"/>
    <w:rsid w:val="004C4B76"/>
    <w:rsid w:val="004C773C"/>
    <w:rsid w:val="004D0D38"/>
    <w:rsid w:val="004D2423"/>
    <w:rsid w:val="004D262B"/>
    <w:rsid w:val="004D55C2"/>
    <w:rsid w:val="004D7239"/>
    <w:rsid w:val="004D76BD"/>
    <w:rsid w:val="004E14D7"/>
    <w:rsid w:val="004E64FB"/>
    <w:rsid w:val="004E6946"/>
    <w:rsid w:val="004F1AD8"/>
    <w:rsid w:val="004F21CA"/>
    <w:rsid w:val="00502F08"/>
    <w:rsid w:val="005039CB"/>
    <w:rsid w:val="0050558F"/>
    <w:rsid w:val="00506286"/>
    <w:rsid w:val="00510813"/>
    <w:rsid w:val="00511990"/>
    <w:rsid w:val="00511DE0"/>
    <w:rsid w:val="00514870"/>
    <w:rsid w:val="00514B9B"/>
    <w:rsid w:val="00516E7B"/>
    <w:rsid w:val="00517F02"/>
    <w:rsid w:val="005224F0"/>
    <w:rsid w:val="00524303"/>
    <w:rsid w:val="005258A2"/>
    <w:rsid w:val="00530C5C"/>
    <w:rsid w:val="005401AE"/>
    <w:rsid w:val="00542E07"/>
    <w:rsid w:val="00545424"/>
    <w:rsid w:val="00551489"/>
    <w:rsid w:val="00553613"/>
    <w:rsid w:val="00554A7B"/>
    <w:rsid w:val="0055533C"/>
    <w:rsid w:val="0055572C"/>
    <w:rsid w:val="0056106A"/>
    <w:rsid w:val="00567DCB"/>
    <w:rsid w:val="005720AE"/>
    <w:rsid w:val="00583425"/>
    <w:rsid w:val="00586FEC"/>
    <w:rsid w:val="00590C3E"/>
    <w:rsid w:val="0059216E"/>
    <w:rsid w:val="00592EF2"/>
    <w:rsid w:val="00594D77"/>
    <w:rsid w:val="005969E4"/>
    <w:rsid w:val="005A06B7"/>
    <w:rsid w:val="005A1759"/>
    <w:rsid w:val="005A68A7"/>
    <w:rsid w:val="005B03CF"/>
    <w:rsid w:val="005B06BB"/>
    <w:rsid w:val="005B3E52"/>
    <w:rsid w:val="005B7029"/>
    <w:rsid w:val="005C3C57"/>
    <w:rsid w:val="005C539A"/>
    <w:rsid w:val="005D2BA9"/>
    <w:rsid w:val="005D36AB"/>
    <w:rsid w:val="005D5901"/>
    <w:rsid w:val="005D6BAB"/>
    <w:rsid w:val="005E146F"/>
    <w:rsid w:val="00612566"/>
    <w:rsid w:val="0061317A"/>
    <w:rsid w:val="00613F36"/>
    <w:rsid w:val="00616B05"/>
    <w:rsid w:val="006175C2"/>
    <w:rsid w:val="00617CC3"/>
    <w:rsid w:val="00620F23"/>
    <w:rsid w:val="00626159"/>
    <w:rsid w:val="00631323"/>
    <w:rsid w:val="0063772A"/>
    <w:rsid w:val="006377A6"/>
    <w:rsid w:val="00637A3D"/>
    <w:rsid w:val="006411EF"/>
    <w:rsid w:val="00641D7C"/>
    <w:rsid w:val="00641F6B"/>
    <w:rsid w:val="00662194"/>
    <w:rsid w:val="006625B6"/>
    <w:rsid w:val="006625E8"/>
    <w:rsid w:val="00672107"/>
    <w:rsid w:val="006748B8"/>
    <w:rsid w:val="006775C3"/>
    <w:rsid w:val="00684AFE"/>
    <w:rsid w:val="0068582C"/>
    <w:rsid w:val="0069290A"/>
    <w:rsid w:val="00693C74"/>
    <w:rsid w:val="00695F1C"/>
    <w:rsid w:val="00695F6A"/>
    <w:rsid w:val="0069775A"/>
    <w:rsid w:val="00697813"/>
    <w:rsid w:val="0069787E"/>
    <w:rsid w:val="006A3EE8"/>
    <w:rsid w:val="006A72BF"/>
    <w:rsid w:val="006B038F"/>
    <w:rsid w:val="006B03F2"/>
    <w:rsid w:val="006B37DC"/>
    <w:rsid w:val="006B4F68"/>
    <w:rsid w:val="006C0592"/>
    <w:rsid w:val="006C0C31"/>
    <w:rsid w:val="006C272E"/>
    <w:rsid w:val="006C4DAC"/>
    <w:rsid w:val="006C5479"/>
    <w:rsid w:val="006D13B5"/>
    <w:rsid w:val="006D392F"/>
    <w:rsid w:val="006E0257"/>
    <w:rsid w:val="006E0B30"/>
    <w:rsid w:val="006E0E95"/>
    <w:rsid w:val="006E12FF"/>
    <w:rsid w:val="006E287A"/>
    <w:rsid w:val="006E607E"/>
    <w:rsid w:val="006F58EA"/>
    <w:rsid w:val="006F5FA3"/>
    <w:rsid w:val="006F7F89"/>
    <w:rsid w:val="00701A18"/>
    <w:rsid w:val="0070420F"/>
    <w:rsid w:val="00706C5D"/>
    <w:rsid w:val="00713BCA"/>
    <w:rsid w:val="00713E4D"/>
    <w:rsid w:val="00715880"/>
    <w:rsid w:val="00717E9A"/>
    <w:rsid w:val="00722D15"/>
    <w:rsid w:val="0073065D"/>
    <w:rsid w:val="0073258E"/>
    <w:rsid w:val="00732922"/>
    <w:rsid w:val="00734BFB"/>
    <w:rsid w:val="00734E25"/>
    <w:rsid w:val="007402CA"/>
    <w:rsid w:val="0075162E"/>
    <w:rsid w:val="00754034"/>
    <w:rsid w:val="00756556"/>
    <w:rsid w:val="007577F7"/>
    <w:rsid w:val="007618C4"/>
    <w:rsid w:val="00767980"/>
    <w:rsid w:val="00770B19"/>
    <w:rsid w:val="00773EC3"/>
    <w:rsid w:val="0077449D"/>
    <w:rsid w:val="0077463F"/>
    <w:rsid w:val="00775106"/>
    <w:rsid w:val="007773FB"/>
    <w:rsid w:val="00780623"/>
    <w:rsid w:val="007836EA"/>
    <w:rsid w:val="00784CDA"/>
    <w:rsid w:val="007906C4"/>
    <w:rsid w:val="00791026"/>
    <w:rsid w:val="007940EA"/>
    <w:rsid w:val="007967E8"/>
    <w:rsid w:val="007A178D"/>
    <w:rsid w:val="007A2170"/>
    <w:rsid w:val="007A22BF"/>
    <w:rsid w:val="007A275E"/>
    <w:rsid w:val="007A3323"/>
    <w:rsid w:val="007B6E45"/>
    <w:rsid w:val="007B72B8"/>
    <w:rsid w:val="007B7354"/>
    <w:rsid w:val="007B7A58"/>
    <w:rsid w:val="007C198E"/>
    <w:rsid w:val="007C21B5"/>
    <w:rsid w:val="007C21F4"/>
    <w:rsid w:val="007C5245"/>
    <w:rsid w:val="007C6B93"/>
    <w:rsid w:val="007E0B1A"/>
    <w:rsid w:val="007E2DE5"/>
    <w:rsid w:val="007E4BD2"/>
    <w:rsid w:val="007E7353"/>
    <w:rsid w:val="007F1D13"/>
    <w:rsid w:val="00801393"/>
    <w:rsid w:val="00802F88"/>
    <w:rsid w:val="0081077C"/>
    <w:rsid w:val="00811C1C"/>
    <w:rsid w:val="0081293E"/>
    <w:rsid w:val="00815465"/>
    <w:rsid w:val="00817550"/>
    <w:rsid w:val="00817E9A"/>
    <w:rsid w:val="008306BD"/>
    <w:rsid w:val="00831A80"/>
    <w:rsid w:val="00832FDE"/>
    <w:rsid w:val="008331A0"/>
    <w:rsid w:val="00833743"/>
    <w:rsid w:val="008340A4"/>
    <w:rsid w:val="00840810"/>
    <w:rsid w:val="008421AA"/>
    <w:rsid w:val="00842CB2"/>
    <w:rsid w:val="0084359B"/>
    <w:rsid w:val="00843989"/>
    <w:rsid w:val="00864B23"/>
    <w:rsid w:val="00867FFD"/>
    <w:rsid w:val="008702FE"/>
    <w:rsid w:val="0087135F"/>
    <w:rsid w:val="00872D94"/>
    <w:rsid w:val="00880364"/>
    <w:rsid w:val="00891592"/>
    <w:rsid w:val="00891E9E"/>
    <w:rsid w:val="008A27FF"/>
    <w:rsid w:val="008A2F68"/>
    <w:rsid w:val="008A6EB6"/>
    <w:rsid w:val="008B4FA6"/>
    <w:rsid w:val="008B5282"/>
    <w:rsid w:val="008B7C17"/>
    <w:rsid w:val="008C1431"/>
    <w:rsid w:val="008C2D01"/>
    <w:rsid w:val="008C3BF0"/>
    <w:rsid w:val="008C3CEE"/>
    <w:rsid w:val="008C40E6"/>
    <w:rsid w:val="008D0F7A"/>
    <w:rsid w:val="008D138C"/>
    <w:rsid w:val="008D1941"/>
    <w:rsid w:val="008D2354"/>
    <w:rsid w:val="008D68E4"/>
    <w:rsid w:val="008E0506"/>
    <w:rsid w:val="008E0CFF"/>
    <w:rsid w:val="008E5D6B"/>
    <w:rsid w:val="008E76F0"/>
    <w:rsid w:val="008F15FE"/>
    <w:rsid w:val="008F1746"/>
    <w:rsid w:val="008F202D"/>
    <w:rsid w:val="008F2D29"/>
    <w:rsid w:val="008F4F83"/>
    <w:rsid w:val="008F5187"/>
    <w:rsid w:val="008F60D8"/>
    <w:rsid w:val="0090161E"/>
    <w:rsid w:val="00902727"/>
    <w:rsid w:val="0090312B"/>
    <w:rsid w:val="00903AAB"/>
    <w:rsid w:val="009079D7"/>
    <w:rsid w:val="009101B9"/>
    <w:rsid w:val="0091736D"/>
    <w:rsid w:val="0091737D"/>
    <w:rsid w:val="00920034"/>
    <w:rsid w:val="00925423"/>
    <w:rsid w:val="0093037A"/>
    <w:rsid w:val="00936276"/>
    <w:rsid w:val="0094154D"/>
    <w:rsid w:val="00941B5D"/>
    <w:rsid w:val="00941CF4"/>
    <w:rsid w:val="00942F83"/>
    <w:rsid w:val="009438BF"/>
    <w:rsid w:val="00944DDB"/>
    <w:rsid w:val="00946E10"/>
    <w:rsid w:val="00951511"/>
    <w:rsid w:val="0095155F"/>
    <w:rsid w:val="0095348F"/>
    <w:rsid w:val="00953CE1"/>
    <w:rsid w:val="00954429"/>
    <w:rsid w:val="009563CE"/>
    <w:rsid w:val="00976328"/>
    <w:rsid w:val="0097680D"/>
    <w:rsid w:val="00982438"/>
    <w:rsid w:val="0098404C"/>
    <w:rsid w:val="00985283"/>
    <w:rsid w:val="00985B3A"/>
    <w:rsid w:val="009917E2"/>
    <w:rsid w:val="00995688"/>
    <w:rsid w:val="00995992"/>
    <w:rsid w:val="009A03E5"/>
    <w:rsid w:val="009A0F3B"/>
    <w:rsid w:val="009A131B"/>
    <w:rsid w:val="009A1BB4"/>
    <w:rsid w:val="009A2628"/>
    <w:rsid w:val="009A3200"/>
    <w:rsid w:val="009A44CB"/>
    <w:rsid w:val="009A7443"/>
    <w:rsid w:val="009B0897"/>
    <w:rsid w:val="009B11FA"/>
    <w:rsid w:val="009B76BC"/>
    <w:rsid w:val="009B7BD9"/>
    <w:rsid w:val="009C2D92"/>
    <w:rsid w:val="009C7DD5"/>
    <w:rsid w:val="009D0EA3"/>
    <w:rsid w:val="009E227D"/>
    <w:rsid w:val="009E5019"/>
    <w:rsid w:val="009E5214"/>
    <w:rsid w:val="009F43C6"/>
    <w:rsid w:val="00A04F1B"/>
    <w:rsid w:val="00A0501B"/>
    <w:rsid w:val="00A14947"/>
    <w:rsid w:val="00A30376"/>
    <w:rsid w:val="00A32A83"/>
    <w:rsid w:val="00A368DB"/>
    <w:rsid w:val="00A40483"/>
    <w:rsid w:val="00A423AA"/>
    <w:rsid w:val="00A53EC6"/>
    <w:rsid w:val="00A55C0F"/>
    <w:rsid w:val="00A64C74"/>
    <w:rsid w:val="00A71379"/>
    <w:rsid w:val="00A8713F"/>
    <w:rsid w:val="00A90BA1"/>
    <w:rsid w:val="00A93275"/>
    <w:rsid w:val="00A97A9A"/>
    <w:rsid w:val="00AA0671"/>
    <w:rsid w:val="00AA2531"/>
    <w:rsid w:val="00AA746A"/>
    <w:rsid w:val="00AB1E09"/>
    <w:rsid w:val="00AB5330"/>
    <w:rsid w:val="00AB7491"/>
    <w:rsid w:val="00AB7747"/>
    <w:rsid w:val="00AC14CE"/>
    <w:rsid w:val="00AC1FDF"/>
    <w:rsid w:val="00AC25E3"/>
    <w:rsid w:val="00AC2A56"/>
    <w:rsid w:val="00AC319E"/>
    <w:rsid w:val="00AD055E"/>
    <w:rsid w:val="00AD0BD4"/>
    <w:rsid w:val="00AD3B1D"/>
    <w:rsid w:val="00AD47A7"/>
    <w:rsid w:val="00AE252F"/>
    <w:rsid w:val="00AE2C53"/>
    <w:rsid w:val="00AE5C95"/>
    <w:rsid w:val="00AE61BF"/>
    <w:rsid w:val="00AF0CBF"/>
    <w:rsid w:val="00AF257F"/>
    <w:rsid w:val="00AF2F78"/>
    <w:rsid w:val="00AF33CF"/>
    <w:rsid w:val="00AF4D50"/>
    <w:rsid w:val="00AF6179"/>
    <w:rsid w:val="00B1295A"/>
    <w:rsid w:val="00B1437E"/>
    <w:rsid w:val="00B14561"/>
    <w:rsid w:val="00B20A45"/>
    <w:rsid w:val="00B22C5C"/>
    <w:rsid w:val="00B24F30"/>
    <w:rsid w:val="00B25FB0"/>
    <w:rsid w:val="00B2614E"/>
    <w:rsid w:val="00B3060A"/>
    <w:rsid w:val="00B30C63"/>
    <w:rsid w:val="00B313B0"/>
    <w:rsid w:val="00B3186F"/>
    <w:rsid w:val="00B31ABF"/>
    <w:rsid w:val="00B33BE3"/>
    <w:rsid w:val="00B41371"/>
    <w:rsid w:val="00B4209D"/>
    <w:rsid w:val="00B42C71"/>
    <w:rsid w:val="00B53B5D"/>
    <w:rsid w:val="00B6055E"/>
    <w:rsid w:val="00B6317D"/>
    <w:rsid w:val="00B7723F"/>
    <w:rsid w:val="00B80534"/>
    <w:rsid w:val="00B81305"/>
    <w:rsid w:val="00B8433C"/>
    <w:rsid w:val="00B87491"/>
    <w:rsid w:val="00B9236F"/>
    <w:rsid w:val="00B93210"/>
    <w:rsid w:val="00B95965"/>
    <w:rsid w:val="00BA1DEF"/>
    <w:rsid w:val="00BA29E9"/>
    <w:rsid w:val="00BA33D1"/>
    <w:rsid w:val="00BA3B38"/>
    <w:rsid w:val="00BA7142"/>
    <w:rsid w:val="00BB237C"/>
    <w:rsid w:val="00BB41A3"/>
    <w:rsid w:val="00BB6A18"/>
    <w:rsid w:val="00BC32DC"/>
    <w:rsid w:val="00BC35B6"/>
    <w:rsid w:val="00BD1B51"/>
    <w:rsid w:val="00BD424E"/>
    <w:rsid w:val="00BD4596"/>
    <w:rsid w:val="00BE1405"/>
    <w:rsid w:val="00BE312D"/>
    <w:rsid w:val="00BE7ADA"/>
    <w:rsid w:val="00BF1C20"/>
    <w:rsid w:val="00C008FF"/>
    <w:rsid w:val="00C00E37"/>
    <w:rsid w:val="00C01229"/>
    <w:rsid w:val="00C07E2C"/>
    <w:rsid w:val="00C10013"/>
    <w:rsid w:val="00C10578"/>
    <w:rsid w:val="00C135BC"/>
    <w:rsid w:val="00C13F4E"/>
    <w:rsid w:val="00C15C95"/>
    <w:rsid w:val="00C1783E"/>
    <w:rsid w:val="00C2596A"/>
    <w:rsid w:val="00C26784"/>
    <w:rsid w:val="00C27537"/>
    <w:rsid w:val="00C328FE"/>
    <w:rsid w:val="00C33507"/>
    <w:rsid w:val="00C361C6"/>
    <w:rsid w:val="00C4409D"/>
    <w:rsid w:val="00C44E72"/>
    <w:rsid w:val="00C45A06"/>
    <w:rsid w:val="00C47E5B"/>
    <w:rsid w:val="00C528D4"/>
    <w:rsid w:val="00C61E4B"/>
    <w:rsid w:val="00C64845"/>
    <w:rsid w:val="00C64BFF"/>
    <w:rsid w:val="00C65122"/>
    <w:rsid w:val="00C704E9"/>
    <w:rsid w:val="00C763C9"/>
    <w:rsid w:val="00C80057"/>
    <w:rsid w:val="00C82232"/>
    <w:rsid w:val="00C82913"/>
    <w:rsid w:val="00C85EB5"/>
    <w:rsid w:val="00C90F50"/>
    <w:rsid w:val="00C972B1"/>
    <w:rsid w:val="00CA0DA4"/>
    <w:rsid w:val="00CA23A3"/>
    <w:rsid w:val="00CA2CCE"/>
    <w:rsid w:val="00CA43FD"/>
    <w:rsid w:val="00CA7EF8"/>
    <w:rsid w:val="00CB1EB4"/>
    <w:rsid w:val="00CC2DCC"/>
    <w:rsid w:val="00CC489B"/>
    <w:rsid w:val="00CD2BCD"/>
    <w:rsid w:val="00CD3A4C"/>
    <w:rsid w:val="00CE10E9"/>
    <w:rsid w:val="00CE2910"/>
    <w:rsid w:val="00CE5109"/>
    <w:rsid w:val="00CE5393"/>
    <w:rsid w:val="00CF36BE"/>
    <w:rsid w:val="00CF6000"/>
    <w:rsid w:val="00CF7221"/>
    <w:rsid w:val="00D003F3"/>
    <w:rsid w:val="00D0364F"/>
    <w:rsid w:val="00D06834"/>
    <w:rsid w:val="00D16414"/>
    <w:rsid w:val="00D2629B"/>
    <w:rsid w:val="00D27440"/>
    <w:rsid w:val="00D308ED"/>
    <w:rsid w:val="00D36D86"/>
    <w:rsid w:val="00D428AA"/>
    <w:rsid w:val="00D50A34"/>
    <w:rsid w:val="00D51DE3"/>
    <w:rsid w:val="00D51E58"/>
    <w:rsid w:val="00D53037"/>
    <w:rsid w:val="00D53EFA"/>
    <w:rsid w:val="00D670A8"/>
    <w:rsid w:val="00D67F45"/>
    <w:rsid w:val="00D71625"/>
    <w:rsid w:val="00D72B9A"/>
    <w:rsid w:val="00D81D6B"/>
    <w:rsid w:val="00D8397D"/>
    <w:rsid w:val="00D842F7"/>
    <w:rsid w:val="00D843A6"/>
    <w:rsid w:val="00D85FB3"/>
    <w:rsid w:val="00D9296E"/>
    <w:rsid w:val="00D94A7C"/>
    <w:rsid w:val="00D95896"/>
    <w:rsid w:val="00D9685A"/>
    <w:rsid w:val="00DA384D"/>
    <w:rsid w:val="00DB2983"/>
    <w:rsid w:val="00DB3DD4"/>
    <w:rsid w:val="00DC1257"/>
    <w:rsid w:val="00DC3A11"/>
    <w:rsid w:val="00DC3DC0"/>
    <w:rsid w:val="00DC5B2B"/>
    <w:rsid w:val="00DC5E6F"/>
    <w:rsid w:val="00DC6E6A"/>
    <w:rsid w:val="00DD16B0"/>
    <w:rsid w:val="00DD2CF6"/>
    <w:rsid w:val="00DD318D"/>
    <w:rsid w:val="00DE1BE7"/>
    <w:rsid w:val="00DE4EBC"/>
    <w:rsid w:val="00DE5743"/>
    <w:rsid w:val="00DF14BB"/>
    <w:rsid w:val="00DF2240"/>
    <w:rsid w:val="00DF2E12"/>
    <w:rsid w:val="00DF514A"/>
    <w:rsid w:val="00DF6690"/>
    <w:rsid w:val="00DF6804"/>
    <w:rsid w:val="00E0358D"/>
    <w:rsid w:val="00E04323"/>
    <w:rsid w:val="00E06613"/>
    <w:rsid w:val="00E070A2"/>
    <w:rsid w:val="00E126C7"/>
    <w:rsid w:val="00E2656A"/>
    <w:rsid w:val="00E30DC7"/>
    <w:rsid w:val="00E310FC"/>
    <w:rsid w:val="00E321BB"/>
    <w:rsid w:val="00E37E90"/>
    <w:rsid w:val="00E412D0"/>
    <w:rsid w:val="00E52343"/>
    <w:rsid w:val="00E55289"/>
    <w:rsid w:val="00E56322"/>
    <w:rsid w:val="00E60982"/>
    <w:rsid w:val="00E62C62"/>
    <w:rsid w:val="00E654C1"/>
    <w:rsid w:val="00E65D97"/>
    <w:rsid w:val="00E6620E"/>
    <w:rsid w:val="00E72A5A"/>
    <w:rsid w:val="00E73354"/>
    <w:rsid w:val="00E77238"/>
    <w:rsid w:val="00E80B36"/>
    <w:rsid w:val="00E81F95"/>
    <w:rsid w:val="00E84DEF"/>
    <w:rsid w:val="00E85B3B"/>
    <w:rsid w:val="00E875A8"/>
    <w:rsid w:val="00E9242D"/>
    <w:rsid w:val="00E94A10"/>
    <w:rsid w:val="00E95F81"/>
    <w:rsid w:val="00EA10B0"/>
    <w:rsid w:val="00EA120D"/>
    <w:rsid w:val="00EA138E"/>
    <w:rsid w:val="00EA1442"/>
    <w:rsid w:val="00EB07FE"/>
    <w:rsid w:val="00EB5195"/>
    <w:rsid w:val="00EB5255"/>
    <w:rsid w:val="00EB5C47"/>
    <w:rsid w:val="00EB7E60"/>
    <w:rsid w:val="00ED0639"/>
    <w:rsid w:val="00ED3BD8"/>
    <w:rsid w:val="00ED480D"/>
    <w:rsid w:val="00EF4755"/>
    <w:rsid w:val="00EF7135"/>
    <w:rsid w:val="00F027DB"/>
    <w:rsid w:val="00F0362F"/>
    <w:rsid w:val="00F1329B"/>
    <w:rsid w:val="00F13B24"/>
    <w:rsid w:val="00F142FE"/>
    <w:rsid w:val="00F14A7A"/>
    <w:rsid w:val="00F22985"/>
    <w:rsid w:val="00F30B01"/>
    <w:rsid w:val="00F31AF6"/>
    <w:rsid w:val="00F32207"/>
    <w:rsid w:val="00F332E9"/>
    <w:rsid w:val="00F3383E"/>
    <w:rsid w:val="00F423F9"/>
    <w:rsid w:val="00F465A7"/>
    <w:rsid w:val="00F50B7C"/>
    <w:rsid w:val="00F550E6"/>
    <w:rsid w:val="00F57760"/>
    <w:rsid w:val="00F644D6"/>
    <w:rsid w:val="00F663EA"/>
    <w:rsid w:val="00F6693D"/>
    <w:rsid w:val="00F701C8"/>
    <w:rsid w:val="00F70679"/>
    <w:rsid w:val="00F70A2C"/>
    <w:rsid w:val="00F74345"/>
    <w:rsid w:val="00F7462D"/>
    <w:rsid w:val="00F76363"/>
    <w:rsid w:val="00F800F0"/>
    <w:rsid w:val="00F80A0A"/>
    <w:rsid w:val="00F8130B"/>
    <w:rsid w:val="00F82B19"/>
    <w:rsid w:val="00F841D9"/>
    <w:rsid w:val="00F8422D"/>
    <w:rsid w:val="00F9212D"/>
    <w:rsid w:val="00F9472E"/>
    <w:rsid w:val="00F965DA"/>
    <w:rsid w:val="00FA406A"/>
    <w:rsid w:val="00FB1CC0"/>
    <w:rsid w:val="00FB503A"/>
    <w:rsid w:val="00FB516C"/>
    <w:rsid w:val="00FB58AD"/>
    <w:rsid w:val="00FB5B3D"/>
    <w:rsid w:val="00FB62F5"/>
    <w:rsid w:val="00FC1ADC"/>
    <w:rsid w:val="00FC5542"/>
    <w:rsid w:val="00FC57B7"/>
    <w:rsid w:val="00FC63A9"/>
    <w:rsid w:val="00FD0236"/>
    <w:rsid w:val="00FD18F4"/>
    <w:rsid w:val="00FD46CF"/>
    <w:rsid w:val="00FD54DB"/>
    <w:rsid w:val="00FD619F"/>
    <w:rsid w:val="00FD699A"/>
    <w:rsid w:val="00FE198D"/>
    <w:rsid w:val="00FE7246"/>
    <w:rsid w:val="00FE7F0D"/>
    <w:rsid w:val="00FF2F2A"/>
    <w:rsid w:val="00FF4947"/>
    <w:rsid w:val="010227A5"/>
    <w:rsid w:val="01057174"/>
    <w:rsid w:val="01067A56"/>
    <w:rsid w:val="010943F8"/>
    <w:rsid w:val="010973D4"/>
    <w:rsid w:val="010A40A7"/>
    <w:rsid w:val="010C3ADF"/>
    <w:rsid w:val="01115B19"/>
    <w:rsid w:val="01154EDD"/>
    <w:rsid w:val="01175A88"/>
    <w:rsid w:val="011A56E0"/>
    <w:rsid w:val="011B675B"/>
    <w:rsid w:val="011D4FAF"/>
    <w:rsid w:val="01261A8C"/>
    <w:rsid w:val="01287C8A"/>
    <w:rsid w:val="01290F7E"/>
    <w:rsid w:val="012A6BDB"/>
    <w:rsid w:val="012F6838"/>
    <w:rsid w:val="01303AC5"/>
    <w:rsid w:val="01307698"/>
    <w:rsid w:val="01326F3B"/>
    <w:rsid w:val="01361389"/>
    <w:rsid w:val="013838C7"/>
    <w:rsid w:val="01390BCC"/>
    <w:rsid w:val="013A33F3"/>
    <w:rsid w:val="013C7685"/>
    <w:rsid w:val="013E01E4"/>
    <w:rsid w:val="01400398"/>
    <w:rsid w:val="01423F24"/>
    <w:rsid w:val="014557C2"/>
    <w:rsid w:val="01480ED1"/>
    <w:rsid w:val="014C7037"/>
    <w:rsid w:val="015275B6"/>
    <w:rsid w:val="01584301"/>
    <w:rsid w:val="015A4CB1"/>
    <w:rsid w:val="015A7EE0"/>
    <w:rsid w:val="015C24EA"/>
    <w:rsid w:val="015C26B7"/>
    <w:rsid w:val="015D1E09"/>
    <w:rsid w:val="015D773D"/>
    <w:rsid w:val="01620834"/>
    <w:rsid w:val="01655E65"/>
    <w:rsid w:val="01664743"/>
    <w:rsid w:val="01695955"/>
    <w:rsid w:val="016C4FCE"/>
    <w:rsid w:val="016C597C"/>
    <w:rsid w:val="016D19EC"/>
    <w:rsid w:val="016F6D18"/>
    <w:rsid w:val="01710365"/>
    <w:rsid w:val="017149DC"/>
    <w:rsid w:val="0173247E"/>
    <w:rsid w:val="0176643B"/>
    <w:rsid w:val="017716F4"/>
    <w:rsid w:val="017B0110"/>
    <w:rsid w:val="017D4F5C"/>
    <w:rsid w:val="017F74E2"/>
    <w:rsid w:val="01807D8A"/>
    <w:rsid w:val="01820E26"/>
    <w:rsid w:val="01844199"/>
    <w:rsid w:val="018662BD"/>
    <w:rsid w:val="01883901"/>
    <w:rsid w:val="018A689B"/>
    <w:rsid w:val="018D7895"/>
    <w:rsid w:val="018E199F"/>
    <w:rsid w:val="018E379D"/>
    <w:rsid w:val="01912F15"/>
    <w:rsid w:val="01921DD9"/>
    <w:rsid w:val="01944054"/>
    <w:rsid w:val="01973B44"/>
    <w:rsid w:val="019D7D41"/>
    <w:rsid w:val="01A0156A"/>
    <w:rsid w:val="01A06F09"/>
    <w:rsid w:val="01A46E69"/>
    <w:rsid w:val="01A47682"/>
    <w:rsid w:val="01A56261"/>
    <w:rsid w:val="01A735B7"/>
    <w:rsid w:val="01A80F62"/>
    <w:rsid w:val="01A85D51"/>
    <w:rsid w:val="01AD762A"/>
    <w:rsid w:val="01AF1E59"/>
    <w:rsid w:val="01B04370"/>
    <w:rsid w:val="01B26E9F"/>
    <w:rsid w:val="01B6046E"/>
    <w:rsid w:val="01B931A3"/>
    <w:rsid w:val="01BA234F"/>
    <w:rsid w:val="01BB3CD7"/>
    <w:rsid w:val="01BC4A52"/>
    <w:rsid w:val="01C012ED"/>
    <w:rsid w:val="01C42B8B"/>
    <w:rsid w:val="01C81F50"/>
    <w:rsid w:val="01C974FB"/>
    <w:rsid w:val="01D24B39"/>
    <w:rsid w:val="01D434EE"/>
    <w:rsid w:val="01D442E3"/>
    <w:rsid w:val="01D80F12"/>
    <w:rsid w:val="01D84858"/>
    <w:rsid w:val="01DD1E9F"/>
    <w:rsid w:val="01DE5777"/>
    <w:rsid w:val="01E46D89"/>
    <w:rsid w:val="01E90844"/>
    <w:rsid w:val="01E943A0"/>
    <w:rsid w:val="01EB45BC"/>
    <w:rsid w:val="01EE0153"/>
    <w:rsid w:val="01F03ED4"/>
    <w:rsid w:val="01F54650"/>
    <w:rsid w:val="01FA65AD"/>
    <w:rsid w:val="01FD163A"/>
    <w:rsid w:val="01FF080C"/>
    <w:rsid w:val="020016E9"/>
    <w:rsid w:val="02026263"/>
    <w:rsid w:val="0204567E"/>
    <w:rsid w:val="020B2A9C"/>
    <w:rsid w:val="020B6A0C"/>
    <w:rsid w:val="020B6D83"/>
    <w:rsid w:val="020D2505"/>
    <w:rsid w:val="020F5540"/>
    <w:rsid w:val="021027D9"/>
    <w:rsid w:val="021A3E15"/>
    <w:rsid w:val="021D0A29"/>
    <w:rsid w:val="021D2D7C"/>
    <w:rsid w:val="021F73F0"/>
    <w:rsid w:val="022038E6"/>
    <w:rsid w:val="022573A2"/>
    <w:rsid w:val="022766A6"/>
    <w:rsid w:val="02283016"/>
    <w:rsid w:val="02290C40"/>
    <w:rsid w:val="022C03FC"/>
    <w:rsid w:val="022C3206"/>
    <w:rsid w:val="022E44A8"/>
    <w:rsid w:val="023226A0"/>
    <w:rsid w:val="023A7CC7"/>
    <w:rsid w:val="023B43AB"/>
    <w:rsid w:val="023D0359"/>
    <w:rsid w:val="023D7EE8"/>
    <w:rsid w:val="023F65A5"/>
    <w:rsid w:val="024509BD"/>
    <w:rsid w:val="02464CD1"/>
    <w:rsid w:val="024912E2"/>
    <w:rsid w:val="024973AB"/>
    <w:rsid w:val="024B2C7C"/>
    <w:rsid w:val="024B3ADE"/>
    <w:rsid w:val="02506A25"/>
    <w:rsid w:val="02532161"/>
    <w:rsid w:val="02567270"/>
    <w:rsid w:val="02594241"/>
    <w:rsid w:val="026305F6"/>
    <w:rsid w:val="02636F1A"/>
    <w:rsid w:val="02650658"/>
    <w:rsid w:val="0266002B"/>
    <w:rsid w:val="02694441"/>
    <w:rsid w:val="02697903"/>
    <w:rsid w:val="026A1B9B"/>
    <w:rsid w:val="026D6B87"/>
    <w:rsid w:val="02713AF9"/>
    <w:rsid w:val="02724FE1"/>
    <w:rsid w:val="027557D9"/>
    <w:rsid w:val="027A149C"/>
    <w:rsid w:val="027B5DC4"/>
    <w:rsid w:val="0283427E"/>
    <w:rsid w:val="02844979"/>
    <w:rsid w:val="028A383C"/>
    <w:rsid w:val="028C5F6F"/>
    <w:rsid w:val="028E5410"/>
    <w:rsid w:val="02903736"/>
    <w:rsid w:val="0292277B"/>
    <w:rsid w:val="02974438"/>
    <w:rsid w:val="0299469F"/>
    <w:rsid w:val="029A7D90"/>
    <w:rsid w:val="029C7664"/>
    <w:rsid w:val="029D06E0"/>
    <w:rsid w:val="029D4F8B"/>
    <w:rsid w:val="029D753B"/>
    <w:rsid w:val="02A209F3"/>
    <w:rsid w:val="02A30447"/>
    <w:rsid w:val="02A66735"/>
    <w:rsid w:val="02A72E4A"/>
    <w:rsid w:val="02AA0674"/>
    <w:rsid w:val="02AF4BA6"/>
    <w:rsid w:val="02B352CA"/>
    <w:rsid w:val="02BA21E0"/>
    <w:rsid w:val="02BC3862"/>
    <w:rsid w:val="02BF0B60"/>
    <w:rsid w:val="02BF77F6"/>
    <w:rsid w:val="02C44E0D"/>
    <w:rsid w:val="02CC2E6B"/>
    <w:rsid w:val="02CD6F37"/>
    <w:rsid w:val="02D037B2"/>
    <w:rsid w:val="02D0730E"/>
    <w:rsid w:val="02D704BA"/>
    <w:rsid w:val="02D74B40"/>
    <w:rsid w:val="02D82BE7"/>
    <w:rsid w:val="02DC518E"/>
    <w:rsid w:val="02E1776D"/>
    <w:rsid w:val="02E444CF"/>
    <w:rsid w:val="02E722DB"/>
    <w:rsid w:val="02E81F67"/>
    <w:rsid w:val="02E90A19"/>
    <w:rsid w:val="02EA7CF0"/>
    <w:rsid w:val="02EB05EB"/>
    <w:rsid w:val="02EB7C3D"/>
    <w:rsid w:val="02ED1C6E"/>
    <w:rsid w:val="02ED4364"/>
    <w:rsid w:val="02EE3C38"/>
    <w:rsid w:val="02EF152C"/>
    <w:rsid w:val="02F07519"/>
    <w:rsid w:val="02F759CD"/>
    <w:rsid w:val="02F841E8"/>
    <w:rsid w:val="02F91D73"/>
    <w:rsid w:val="02F96569"/>
    <w:rsid w:val="02FA25DD"/>
    <w:rsid w:val="02FE1CB7"/>
    <w:rsid w:val="0303693F"/>
    <w:rsid w:val="03056F6A"/>
    <w:rsid w:val="03065991"/>
    <w:rsid w:val="030706AF"/>
    <w:rsid w:val="03094CB4"/>
    <w:rsid w:val="030A0A85"/>
    <w:rsid w:val="030A6CC4"/>
    <w:rsid w:val="030B47EA"/>
    <w:rsid w:val="030D6007"/>
    <w:rsid w:val="030E471C"/>
    <w:rsid w:val="030F2B0F"/>
    <w:rsid w:val="030F7234"/>
    <w:rsid w:val="03116833"/>
    <w:rsid w:val="03184479"/>
    <w:rsid w:val="0318543F"/>
    <w:rsid w:val="031B4B25"/>
    <w:rsid w:val="031C07A5"/>
    <w:rsid w:val="03202CAB"/>
    <w:rsid w:val="032275FD"/>
    <w:rsid w:val="032370C8"/>
    <w:rsid w:val="03250DD1"/>
    <w:rsid w:val="03253AFD"/>
    <w:rsid w:val="03260418"/>
    <w:rsid w:val="032633D2"/>
    <w:rsid w:val="03295D4B"/>
    <w:rsid w:val="032B35F3"/>
    <w:rsid w:val="032D650E"/>
    <w:rsid w:val="032D6C6F"/>
    <w:rsid w:val="03304250"/>
    <w:rsid w:val="03330D76"/>
    <w:rsid w:val="03373831"/>
    <w:rsid w:val="03391357"/>
    <w:rsid w:val="033E68CF"/>
    <w:rsid w:val="034243AF"/>
    <w:rsid w:val="03453536"/>
    <w:rsid w:val="0349390F"/>
    <w:rsid w:val="034A277A"/>
    <w:rsid w:val="034A4AF9"/>
    <w:rsid w:val="034A5312"/>
    <w:rsid w:val="034A70C0"/>
    <w:rsid w:val="034C2851"/>
    <w:rsid w:val="03505E63"/>
    <w:rsid w:val="03522419"/>
    <w:rsid w:val="03525EBC"/>
    <w:rsid w:val="035267A2"/>
    <w:rsid w:val="0353317D"/>
    <w:rsid w:val="03585F5D"/>
    <w:rsid w:val="035A038D"/>
    <w:rsid w:val="035C4902"/>
    <w:rsid w:val="035D3297"/>
    <w:rsid w:val="035D422C"/>
    <w:rsid w:val="035E700F"/>
    <w:rsid w:val="03601A0A"/>
    <w:rsid w:val="036A59B4"/>
    <w:rsid w:val="036B5C21"/>
    <w:rsid w:val="036C7A6C"/>
    <w:rsid w:val="0370464D"/>
    <w:rsid w:val="03785A7D"/>
    <w:rsid w:val="03791753"/>
    <w:rsid w:val="037A0CE5"/>
    <w:rsid w:val="037A11E6"/>
    <w:rsid w:val="037D58E2"/>
    <w:rsid w:val="03800D34"/>
    <w:rsid w:val="03806F86"/>
    <w:rsid w:val="038241EA"/>
    <w:rsid w:val="038A5CE1"/>
    <w:rsid w:val="03935857"/>
    <w:rsid w:val="03942A31"/>
    <w:rsid w:val="039447DF"/>
    <w:rsid w:val="0397607D"/>
    <w:rsid w:val="039C5718"/>
    <w:rsid w:val="03A10CAA"/>
    <w:rsid w:val="03A32C74"/>
    <w:rsid w:val="03A635F2"/>
    <w:rsid w:val="03A65D25"/>
    <w:rsid w:val="03A676C0"/>
    <w:rsid w:val="03A70D79"/>
    <w:rsid w:val="03A77306"/>
    <w:rsid w:val="03A9113D"/>
    <w:rsid w:val="03A966D4"/>
    <w:rsid w:val="03AF786B"/>
    <w:rsid w:val="03B063E8"/>
    <w:rsid w:val="03B15391"/>
    <w:rsid w:val="03B24E15"/>
    <w:rsid w:val="03B35CEE"/>
    <w:rsid w:val="03B66504"/>
    <w:rsid w:val="03B721E0"/>
    <w:rsid w:val="03BB7FBE"/>
    <w:rsid w:val="03BF25C0"/>
    <w:rsid w:val="03BF786C"/>
    <w:rsid w:val="03C07382"/>
    <w:rsid w:val="03C07DC8"/>
    <w:rsid w:val="03C11464"/>
    <w:rsid w:val="03C174D6"/>
    <w:rsid w:val="03C70711"/>
    <w:rsid w:val="03C76963"/>
    <w:rsid w:val="03C86237"/>
    <w:rsid w:val="03CA1FAF"/>
    <w:rsid w:val="03D1546E"/>
    <w:rsid w:val="03D62D5E"/>
    <w:rsid w:val="03D80B70"/>
    <w:rsid w:val="03D93131"/>
    <w:rsid w:val="03DE35BD"/>
    <w:rsid w:val="03E1157E"/>
    <w:rsid w:val="03E147E7"/>
    <w:rsid w:val="03E26D1D"/>
    <w:rsid w:val="03E34A4D"/>
    <w:rsid w:val="03E3794D"/>
    <w:rsid w:val="03E42AB5"/>
    <w:rsid w:val="03E47515"/>
    <w:rsid w:val="03E912E0"/>
    <w:rsid w:val="03EA7B21"/>
    <w:rsid w:val="03EE5E33"/>
    <w:rsid w:val="03EF05C6"/>
    <w:rsid w:val="03EF2A24"/>
    <w:rsid w:val="03F25569"/>
    <w:rsid w:val="03F51722"/>
    <w:rsid w:val="03FA6D38"/>
    <w:rsid w:val="03FC475A"/>
    <w:rsid w:val="03FC535E"/>
    <w:rsid w:val="03FF640C"/>
    <w:rsid w:val="040C25C7"/>
    <w:rsid w:val="040E4DD6"/>
    <w:rsid w:val="040F1BAA"/>
    <w:rsid w:val="0414147C"/>
    <w:rsid w:val="041A1DAA"/>
    <w:rsid w:val="041A2636"/>
    <w:rsid w:val="041C7DF0"/>
    <w:rsid w:val="041D1E12"/>
    <w:rsid w:val="041F6DED"/>
    <w:rsid w:val="042558A4"/>
    <w:rsid w:val="042655EB"/>
    <w:rsid w:val="04265EF0"/>
    <w:rsid w:val="04275653"/>
    <w:rsid w:val="042E69E2"/>
    <w:rsid w:val="042F2436"/>
    <w:rsid w:val="043079EB"/>
    <w:rsid w:val="0433241F"/>
    <w:rsid w:val="04352071"/>
    <w:rsid w:val="04370DB1"/>
    <w:rsid w:val="043B4C5B"/>
    <w:rsid w:val="043C062B"/>
    <w:rsid w:val="043D68F3"/>
    <w:rsid w:val="043F299D"/>
    <w:rsid w:val="0444647C"/>
    <w:rsid w:val="04456D66"/>
    <w:rsid w:val="04472FF6"/>
    <w:rsid w:val="04492E45"/>
    <w:rsid w:val="04497378"/>
    <w:rsid w:val="044B2210"/>
    <w:rsid w:val="044C50BA"/>
    <w:rsid w:val="044C6E68"/>
    <w:rsid w:val="045301F6"/>
    <w:rsid w:val="045413BF"/>
    <w:rsid w:val="045774EB"/>
    <w:rsid w:val="045E7EDD"/>
    <w:rsid w:val="04602913"/>
    <w:rsid w:val="046046C1"/>
    <w:rsid w:val="04607107"/>
    <w:rsid w:val="04644EC2"/>
    <w:rsid w:val="046674B4"/>
    <w:rsid w:val="0468552F"/>
    <w:rsid w:val="046A3F1E"/>
    <w:rsid w:val="046B632C"/>
    <w:rsid w:val="04736067"/>
    <w:rsid w:val="047563BF"/>
    <w:rsid w:val="04785555"/>
    <w:rsid w:val="0479266B"/>
    <w:rsid w:val="047B3103"/>
    <w:rsid w:val="047E73CD"/>
    <w:rsid w:val="047F5828"/>
    <w:rsid w:val="047F68A3"/>
    <w:rsid w:val="0480052F"/>
    <w:rsid w:val="04812FB5"/>
    <w:rsid w:val="04825AB3"/>
    <w:rsid w:val="04854128"/>
    <w:rsid w:val="04893C18"/>
    <w:rsid w:val="048B63FD"/>
    <w:rsid w:val="048C7EA2"/>
    <w:rsid w:val="048D195A"/>
    <w:rsid w:val="04910D1F"/>
    <w:rsid w:val="0493517F"/>
    <w:rsid w:val="04936DAD"/>
    <w:rsid w:val="04952722"/>
    <w:rsid w:val="04963FC8"/>
    <w:rsid w:val="049802FF"/>
    <w:rsid w:val="049A5C13"/>
    <w:rsid w:val="049B0D31"/>
    <w:rsid w:val="049B1897"/>
    <w:rsid w:val="049D1278"/>
    <w:rsid w:val="04A3117E"/>
    <w:rsid w:val="04A40A52"/>
    <w:rsid w:val="04A40E44"/>
    <w:rsid w:val="04A42800"/>
    <w:rsid w:val="04A43B8C"/>
    <w:rsid w:val="04A46CA4"/>
    <w:rsid w:val="04A575B9"/>
    <w:rsid w:val="04A821BA"/>
    <w:rsid w:val="04A82509"/>
    <w:rsid w:val="04AA171C"/>
    <w:rsid w:val="04AA6011"/>
    <w:rsid w:val="04B14F1D"/>
    <w:rsid w:val="04B663D0"/>
    <w:rsid w:val="04BA3C3B"/>
    <w:rsid w:val="04BA64C7"/>
    <w:rsid w:val="04BD1B14"/>
    <w:rsid w:val="04C82992"/>
    <w:rsid w:val="04C9495C"/>
    <w:rsid w:val="04CF3B72"/>
    <w:rsid w:val="04D37589"/>
    <w:rsid w:val="04D57FCB"/>
    <w:rsid w:val="04DA2A26"/>
    <w:rsid w:val="04DB04DD"/>
    <w:rsid w:val="04DF335C"/>
    <w:rsid w:val="04E43544"/>
    <w:rsid w:val="04E62D71"/>
    <w:rsid w:val="04E672BC"/>
    <w:rsid w:val="04E92909"/>
    <w:rsid w:val="04E9341A"/>
    <w:rsid w:val="04ED32D3"/>
    <w:rsid w:val="04EE404C"/>
    <w:rsid w:val="04EF3956"/>
    <w:rsid w:val="04EF3DAF"/>
    <w:rsid w:val="04FD577C"/>
    <w:rsid w:val="05010512"/>
    <w:rsid w:val="05033049"/>
    <w:rsid w:val="05085485"/>
    <w:rsid w:val="050E2700"/>
    <w:rsid w:val="05125876"/>
    <w:rsid w:val="0515117F"/>
    <w:rsid w:val="05174F51"/>
    <w:rsid w:val="051B2931"/>
    <w:rsid w:val="051C2CDE"/>
    <w:rsid w:val="051D5498"/>
    <w:rsid w:val="051E042F"/>
    <w:rsid w:val="051E6A56"/>
    <w:rsid w:val="052216D9"/>
    <w:rsid w:val="0522283D"/>
    <w:rsid w:val="05235E1B"/>
    <w:rsid w:val="05243941"/>
    <w:rsid w:val="05256F93"/>
    <w:rsid w:val="05261FAA"/>
    <w:rsid w:val="05281448"/>
    <w:rsid w:val="05296150"/>
    <w:rsid w:val="053079EB"/>
    <w:rsid w:val="05324986"/>
    <w:rsid w:val="0534627A"/>
    <w:rsid w:val="05353DA0"/>
    <w:rsid w:val="05365EB9"/>
    <w:rsid w:val="0538146F"/>
    <w:rsid w:val="053C32C0"/>
    <w:rsid w:val="05403A17"/>
    <w:rsid w:val="05404FEA"/>
    <w:rsid w:val="054272B6"/>
    <w:rsid w:val="054378A1"/>
    <w:rsid w:val="054E61B2"/>
    <w:rsid w:val="05500F27"/>
    <w:rsid w:val="05502988"/>
    <w:rsid w:val="05527A69"/>
    <w:rsid w:val="05584536"/>
    <w:rsid w:val="055E1056"/>
    <w:rsid w:val="055E5B29"/>
    <w:rsid w:val="0563090D"/>
    <w:rsid w:val="05630C87"/>
    <w:rsid w:val="0565609B"/>
    <w:rsid w:val="05676873"/>
    <w:rsid w:val="05687A1E"/>
    <w:rsid w:val="056978A2"/>
    <w:rsid w:val="056B4270"/>
    <w:rsid w:val="056D44AE"/>
    <w:rsid w:val="056F39DC"/>
    <w:rsid w:val="056F72B2"/>
    <w:rsid w:val="05706B86"/>
    <w:rsid w:val="05720B50"/>
    <w:rsid w:val="05760640"/>
    <w:rsid w:val="05776166"/>
    <w:rsid w:val="05795FBB"/>
    <w:rsid w:val="057B7A05"/>
    <w:rsid w:val="057D6BA7"/>
    <w:rsid w:val="05804160"/>
    <w:rsid w:val="05816FE5"/>
    <w:rsid w:val="058340E2"/>
    <w:rsid w:val="0585208C"/>
    <w:rsid w:val="05856AD5"/>
    <w:rsid w:val="058821C8"/>
    <w:rsid w:val="058846E6"/>
    <w:rsid w:val="058A1B8B"/>
    <w:rsid w:val="058B2C36"/>
    <w:rsid w:val="058D12E8"/>
    <w:rsid w:val="058E6FF4"/>
    <w:rsid w:val="058F34B0"/>
    <w:rsid w:val="05957C26"/>
    <w:rsid w:val="05961AD7"/>
    <w:rsid w:val="059B334A"/>
    <w:rsid w:val="059C5CEB"/>
    <w:rsid w:val="05A11BA2"/>
    <w:rsid w:val="05A27E57"/>
    <w:rsid w:val="05A306C5"/>
    <w:rsid w:val="05A537FD"/>
    <w:rsid w:val="05A625A8"/>
    <w:rsid w:val="05A64CE0"/>
    <w:rsid w:val="05AA7AA7"/>
    <w:rsid w:val="05AD1B88"/>
    <w:rsid w:val="05AD7DDA"/>
    <w:rsid w:val="05AE25ED"/>
    <w:rsid w:val="05AE35CC"/>
    <w:rsid w:val="05B533F4"/>
    <w:rsid w:val="05B922DB"/>
    <w:rsid w:val="05BA5E77"/>
    <w:rsid w:val="05BD626F"/>
    <w:rsid w:val="05C50C80"/>
    <w:rsid w:val="05C62AEE"/>
    <w:rsid w:val="05C77B35"/>
    <w:rsid w:val="05C80770"/>
    <w:rsid w:val="05CB4FE3"/>
    <w:rsid w:val="05CB64BA"/>
    <w:rsid w:val="05CE4FBC"/>
    <w:rsid w:val="05CF5FA2"/>
    <w:rsid w:val="05CF70AF"/>
    <w:rsid w:val="05D22286"/>
    <w:rsid w:val="05D47E7F"/>
    <w:rsid w:val="05D61CD9"/>
    <w:rsid w:val="05D709AD"/>
    <w:rsid w:val="05D80518"/>
    <w:rsid w:val="05DB4947"/>
    <w:rsid w:val="05DB7AFF"/>
    <w:rsid w:val="05DE2681"/>
    <w:rsid w:val="05DE7794"/>
    <w:rsid w:val="05DF05BF"/>
    <w:rsid w:val="05DF4968"/>
    <w:rsid w:val="05E10BE5"/>
    <w:rsid w:val="05E1122E"/>
    <w:rsid w:val="05E219D2"/>
    <w:rsid w:val="05E6470B"/>
    <w:rsid w:val="05E71616"/>
    <w:rsid w:val="05E80C9C"/>
    <w:rsid w:val="05E903C4"/>
    <w:rsid w:val="05EA6938"/>
    <w:rsid w:val="05EB66C4"/>
    <w:rsid w:val="05F1156C"/>
    <w:rsid w:val="05F41565"/>
    <w:rsid w:val="05F475D8"/>
    <w:rsid w:val="05F530BF"/>
    <w:rsid w:val="05F83EAE"/>
    <w:rsid w:val="05FF6C49"/>
    <w:rsid w:val="060C68AF"/>
    <w:rsid w:val="060F45F1"/>
    <w:rsid w:val="061148C2"/>
    <w:rsid w:val="061576A1"/>
    <w:rsid w:val="0618714D"/>
    <w:rsid w:val="061C19DC"/>
    <w:rsid w:val="061D0A53"/>
    <w:rsid w:val="061F0D1C"/>
    <w:rsid w:val="061F2A86"/>
    <w:rsid w:val="06231E4A"/>
    <w:rsid w:val="062448BA"/>
    <w:rsid w:val="0624635C"/>
    <w:rsid w:val="06257970"/>
    <w:rsid w:val="062B5639"/>
    <w:rsid w:val="062E4A77"/>
    <w:rsid w:val="062F07EF"/>
    <w:rsid w:val="0634787B"/>
    <w:rsid w:val="06372198"/>
    <w:rsid w:val="063B53E6"/>
    <w:rsid w:val="063B7C72"/>
    <w:rsid w:val="063C0009"/>
    <w:rsid w:val="063D412C"/>
    <w:rsid w:val="063E7D85"/>
    <w:rsid w:val="06415432"/>
    <w:rsid w:val="064249C6"/>
    <w:rsid w:val="064424ED"/>
    <w:rsid w:val="064747B7"/>
    <w:rsid w:val="0648365F"/>
    <w:rsid w:val="065344DE"/>
    <w:rsid w:val="065379F4"/>
    <w:rsid w:val="065418BF"/>
    <w:rsid w:val="06574054"/>
    <w:rsid w:val="06582431"/>
    <w:rsid w:val="06587D46"/>
    <w:rsid w:val="0659714D"/>
    <w:rsid w:val="065D62CE"/>
    <w:rsid w:val="065E0A23"/>
    <w:rsid w:val="06600A21"/>
    <w:rsid w:val="06652463"/>
    <w:rsid w:val="0668026F"/>
    <w:rsid w:val="06685682"/>
    <w:rsid w:val="06695EE3"/>
    <w:rsid w:val="066E30C6"/>
    <w:rsid w:val="066E664F"/>
    <w:rsid w:val="067234DB"/>
    <w:rsid w:val="06730C95"/>
    <w:rsid w:val="067526A6"/>
    <w:rsid w:val="0681614C"/>
    <w:rsid w:val="06846D8D"/>
    <w:rsid w:val="06873C60"/>
    <w:rsid w:val="06892981"/>
    <w:rsid w:val="06896151"/>
    <w:rsid w:val="068E39F4"/>
    <w:rsid w:val="06917922"/>
    <w:rsid w:val="06930711"/>
    <w:rsid w:val="06982838"/>
    <w:rsid w:val="06991C9F"/>
    <w:rsid w:val="069A3EBB"/>
    <w:rsid w:val="069A7E4C"/>
    <w:rsid w:val="069B3E0F"/>
    <w:rsid w:val="069C40D7"/>
    <w:rsid w:val="069D39AB"/>
    <w:rsid w:val="069F5975"/>
    <w:rsid w:val="069F6081"/>
    <w:rsid w:val="06A0349B"/>
    <w:rsid w:val="06A05249"/>
    <w:rsid w:val="06A461F2"/>
    <w:rsid w:val="06A47BCF"/>
    <w:rsid w:val="06A73EF1"/>
    <w:rsid w:val="06A812BB"/>
    <w:rsid w:val="06AA2722"/>
    <w:rsid w:val="06AC1F59"/>
    <w:rsid w:val="06AE5179"/>
    <w:rsid w:val="06B14C94"/>
    <w:rsid w:val="06B5329A"/>
    <w:rsid w:val="06B558F3"/>
    <w:rsid w:val="06B94731"/>
    <w:rsid w:val="06B9758F"/>
    <w:rsid w:val="06BE2395"/>
    <w:rsid w:val="06C4362D"/>
    <w:rsid w:val="06C6180A"/>
    <w:rsid w:val="06C64923"/>
    <w:rsid w:val="06C76C7A"/>
    <w:rsid w:val="06CA19AC"/>
    <w:rsid w:val="06CE1DB6"/>
    <w:rsid w:val="06CF67EC"/>
    <w:rsid w:val="06D24ED8"/>
    <w:rsid w:val="06D44292"/>
    <w:rsid w:val="06D45041"/>
    <w:rsid w:val="06D505D2"/>
    <w:rsid w:val="06D60D20"/>
    <w:rsid w:val="06D611BB"/>
    <w:rsid w:val="06D827E1"/>
    <w:rsid w:val="06E154AC"/>
    <w:rsid w:val="06E4782C"/>
    <w:rsid w:val="06E710CA"/>
    <w:rsid w:val="06E770E1"/>
    <w:rsid w:val="06EE495C"/>
    <w:rsid w:val="06EF2EA4"/>
    <w:rsid w:val="06EF34E8"/>
    <w:rsid w:val="06F33846"/>
    <w:rsid w:val="06F626CA"/>
    <w:rsid w:val="06F7755F"/>
    <w:rsid w:val="06FA704F"/>
    <w:rsid w:val="06FB553A"/>
    <w:rsid w:val="06FC3C1F"/>
    <w:rsid w:val="06FF2B3A"/>
    <w:rsid w:val="06FF6413"/>
    <w:rsid w:val="07040643"/>
    <w:rsid w:val="070954E4"/>
    <w:rsid w:val="070B4DB8"/>
    <w:rsid w:val="070B6B66"/>
    <w:rsid w:val="070F032C"/>
    <w:rsid w:val="070F26FC"/>
    <w:rsid w:val="070F2F32"/>
    <w:rsid w:val="071023CF"/>
    <w:rsid w:val="071029B5"/>
    <w:rsid w:val="07160CCF"/>
    <w:rsid w:val="07161BAF"/>
    <w:rsid w:val="07165DED"/>
    <w:rsid w:val="0717375D"/>
    <w:rsid w:val="071D4AEC"/>
    <w:rsid w:val="071E0BC4"/>
    <w:rsid w:val="071E2D3E"/>
    <w:rsid w:val="071F5F07"/>
    <w:rsid w:val="07205EF4"/>
    <w:rsid w:val="072212D4"/>
    <w:rsid w:val="07242AB0"/>
    <w:rsid w:val="07274834"/>
    <w:rsid w:val="072916E2"/>
    <w:rsid w:val="07293586"/>
    <w:rsid w:val="07295285"/>
    <w:rsid w:val="072A23D5"/>
    <w:rsid w:val="072B545A"/>
    <w:rsid w:val="072C12DA"/>
    <w:rsid w:val="072D06F5"/>
    <w:rsid w:val="072E75B3"/>
    <w:rsid w:val="0730155B"/>
    <w:rsid w:val="07302A71"/>
    <w:rsid w:val="073065CD"/>
    <w:rsid w:val="0731481C"/>
    <w:rsid w:val="07350087"/>
    <w:rsid w:val="073C1416"/>
    <w:rsid w:val="073D2DA9"/>
    <w:rsid w:val="073F3359"/>
    <w:rsid w:val="07425BE1"/>
    <w:rsid w:val="07442078"/>
    <w:rsid w:val="074B3407"/>
    <w:rsid w:val="075110BB"/>
    <w:rsid w:val="07523557"/>
    <w:rsid w:val="075423A9"/>
    <w:rsid w:val="075524D7"/>
    <w:rsid w:val="07563BE4"/>
    <w:rsid w:val="07586A53"/>
    <w:rsid w:val="075C5AC1"/>
    <w:rsid w:val="07636392"/>
    <w:rsid w:val="076646E5"/>
    <w:rsid w:val="07666493"/>
    <w:rsid w:val="07667417"/>
    <w:rsid w:val="07686EDA"/>
    <w:rsid w:val="076E28F2"/>
    <w:rsid w:val="07750484"/>
    <w:rsid w:val="07753BD7"/>
    <w:rsid w:val="07753D59"/>
    <w:rsid w:val="07761A01"/>
    <w:rsid w:val="07763B89"/>
    <w:rsid w:val="07770C56"/>
    <w:rsid w:val="077A0FB5"/>
    <w:rsid w:val="077B0622"/>
    <w:rsid w:val="077C7A64"/>
    <w:rsid w:val="077F25A1"/>
    <w:rsid w:val="07816602"/>
    <w:rsid w:val="078556F2"/>
    <w:rsid w:val="07860F6D"/>
    <w:rsid w:val="078B20B2"/>
    <w:rsid w:val="078D0075"/>
    <w:rsid w:val="078F7797"/>
    <w:rsid w:val="07907F9E"/>
    <w:rsid w:val="0792741E"/>
    <w:rsid w:val="07935DE5"/>
    <w:rsid w:val="079428C1"/>
    <w:rsid w:val="079914BD"/>
    <w:rsid w:val="079A322B"/>
    <w:rsid w:val="079B3952"/>
    <w:rsid w:val="07A02487"/>
    <w:rsid w:val="07A1396F"/>
    <w:rsid w:val="07A34FF1"/>
    <w:rsid w:val="07A3678A"/>
    <w:rsid w:val="07A46E85"/>
    <w:rsid w:val="07A63D3A"/>
    <w:rsid w:val="07A76DE7"/>
    <w:rsid w:val="07A80859"/>
    <w:rsid w:val="07AA637F"/>
    <w:rsid w:val="07AC659B"/>
    <w:rsid w:val="07B13BB2"/>
    <w:rsid w:val="07B33B0D"/>
    <w:rsid w:val="07B62F76"/>
    <w:rsid w:val="07B64F79"/>
    <w:rsid w:val="07C75183"/>
    <w:rsid w:val="07C84A57"/>
    <w:rsid w:val="07CB49AC"/>
    <w:rsid w:val="07CC079B"/>
    <w:rsid w:val="07CC3861"/>
    <w:rsid w:val="07CF5DE6"/>
    <w:rsid w:val="07D1251D"/>
    <w:rsid w:val="07D16002"/>
    <w:rsid w:val="07D17DB0"/>
    <w:rsid w:val="07D258D6"/>
    <w:rsid w:val="07D433FC"/>
    <w:rsid w:val="07D51131"/>
    <w:rsid w:val="07D652F5"/>
    <w:rsid w:val="07D96582"/>
    <w:rsid w:val="07DA463C"/>
    <w:rsid w:val="07DC6755"/>
    <w:rsid w:val="07DE071F"/>
    <w:rsid w:val="07DF2568"/>
    <w:rsid w:val="07E059BD"/>
    <w:rsid w:val="07E35D35"/>
    <w:rsid w:val="07E61381"/>
    <w:rsid w:val="07E64BB2"/>
    <w:rsid w:val="07EF07A6"/>
    <w:rsid w:val="07EF6488"/>
    <w:rsid w:val="07F2368E"/>
    <w:rsid w:val="07F43D1B"/>
    <w:rsid w:val="07F445E7"/>
    <w:rsid w:val="07FA2698"/>
    <w:rsid w:val="07FA2BD0"/>
    <w:rsid w:val="07FB307F"/>
    <w:rsid w:val="07FB4E2D"/>
    <w:rsid w:val="07FF5D67"/>
    <w:rsid w:val="080109C6"/>
    <w:rsid w:val="0801494C"/>
    <w:rsid w:val="08036B8C"/>
    <w:rsid w:val="08064A04"/>
    <w:rsid w:val="08075EF8"/>
    <w:rsid w:val="080A32C2"/>
    <w:rsid w:val="080C703A"/>
    <w:rsid w:val="08141C72"/>
    <w:rsid w:val="0816247A"/>
    <w:rsid w:val="081748AE"/>
    <w:rsid w:val="081C17FC"/>
    <w:rsid w:val="082039A3"/>
    <w:rsid w:val="0822685D"/>
    <w:rsid w:val="0822735E"/>
    <w:rsid w:val="08234384"/>
    <w:rsid w:val="082520AE"/>
    <w:rsid w:val="08252FA0"/>
    <w:rsid w:val="0825634E"/>
    <w:rsid w:val="082645E6"/>
    <w:rsid w:val="08265A16"/>
    <w:rsid w:val="0827133D"/>
    <w:rsid w:val="0828199A"/>
    <w:rsid w:val="0829250B"/>
    <w:rsid w:val="082C6AB8"/>
    <w:rsid w:val="082E725B"/>
    <w:rsid w:val="083420ED"/>
    <w:rsid w:val="0837037B"/>
    <w:rsid w:val="084207E3"/>
    <w:rsid w:val="08454FF6"/>
    <w:rsid w:val="08461D2C"/>
    <w:rsid w:val="08491FD0"/>
    <w:rsid w:val="084A16CA"/>
    <w:rsid w:val="084A3647"/>
    <w:rsid w:val="085069FD"/>
    <w:rsid w:val="08584952"/>
    <w:rsid w:val="08592B54"/>
    <w:rsid w:val="085973BE"/>
    <w:rsid w:val="085B6DBF"/>
    <w:rsid w:val="085C4274"/>
    <w:rsid w:val="085D56CD"/>
    <w:rsid w:val="085F31B7"/>
    <w:rsid w:val="08610C0D"/>
    <w:rsid w:val="08613A78"/>
    <w:rsid w:val="08614263"/>
    <w:rsid w:val="086438FA"/>
    <w:rsid w:val="086545D9"/>
    <w:rsid w:val="08663352"/>
    <w:rsid w:val="08670714"/>
    <w:rsid w:val="086E3851"/>
    <w:rsid w:val="08714A57"/>
    <w:rsid w:val="087207EA"/>
    <w:rsid w:val="0874698D"/>
    <w:rsid w:val="08762834"/>
    <w:rsid w:val="087846CF"/>
    <w:rsid w:val="087B41C0"/>
    <w:rsid w:val="087F780C"/>
    <w:rsid w:val="08816208"/>
    <w:rsid w:val="088249E2"/>
    <w:rsid w:val="08872AB6"/>
    <w:rsid w:val="08874912"/>
    <w:rsid w:val="08962DA7"/>
    <w:rsid w:val="089A61DC"/>
    <w:rsid w:val="089D0184"/>
    <w:rsid w:val="089D5EE4"/>
    <w:rsid w:val="089E3A0A"/>
    <w:rsid w:val="089F1D13"/>
    <w:rsid w:val="08A11479"/>
    <w:rsid w:val="08A12A54"/>
    <w:rsid w:val="08AA442D"/>
    <w:rsid w:val="08B079B0"/>
    <w:rsid w:val="08B51480"/>
    <w:rsid w:val="08B561E4"/>
    <w:rsid w:val="08B66FA6"/>
    <w:rsid w:val="08BA4F3B"/>
    <w:rsid w:val="08BB12E0"/>
    <w:rsid w:val="08BB45BC"/>
    <w:rsid w:val="08BC4F40"/>
    <w:rsid w:val="08BE35C2"/>
    <w:rsid w:val="08C4732B"/>
    <w:rsid w:val="08C47FFD"/>
    <w:rsid w:val="08C6543B"/>
    <w:rsid w:val="08C94F2B"/>
    <w:rsid w:val="08CD6D1E"/>
    <w:rsid w:val="08D613F4"/>
    <w:rsid w:val="08D70A30"/>
    <w:rsid w:val="08D833C0"/>
    <w:rsid w:val="08DA3F17"/>
    <w:rsid w:val="08DD3747"/>
    <w:rsid w:val="08E73603"/>
    <w:rsid w:val="08EB30F3"/>
    <w:rsid w:val="08EC34F2"/>
    <w:rsid w:val="08ED74F0"/>
    <w:rsid w:val="08EF1F24"/>
    <w:rsid w:val="08F06236"/>
    <w:rsid w:val="08F24482"/>
    <w:rsid w:val="08F655F4"/>
    <w:rsid w:val="08F77112"/>
    <w:rsid w:val="08FA6E92"/>
    <w:rsid w:val="09045F63"/>
    <w:rsid w:val="090864FC"/>
    <w:rsid w:val="090C3231"/>
    <w:rsid w:val="090D12BC"/>
    <w:rsid w:val="09102B5A"/>
    <w:rsid w:val="09184BD9"/>
    <w:rsid w:val="091B778C"/>
    <w:rsid w:val="091D459B"/>
    <w:rsid w:val="091F331A"/>
    <w:rsid w:val="092108C3"/>
    <w:rsid w:val="09212671"/>
    <w:rsid w:val="092217DD"/>
    <w:rsid w:val="0922463B"/>
    <w:rsid w:val="09256E55"/>
    <w:rsid w:val="0926412B"/>
    <w:rsid w:val="092762CF"/>
    <w:rsid w:val="09283573"/>
    <w:rsid w:val="092906CB"/>
    <w:rsid w:val="092D370C"/>
    <w:rsid w:val="092D747D"/>
    <w:rsid w:val="09300286"/>
    <w:rsid w:val="093323A4"/>
    <w:rsid w:val="0933575D"/>
    <w:rsid w:val="09383E5F"/>
    <w:rsid w:val="093920B1"/>
    <w:rsid w:val="093A7294"/>
    <w:rsid w:val="093E2451"/>
    <w:rsid w:val="09404392"/>
    <w:rsid w:val="0946453C"/>
    <w:rsid w:val="0947280A"/>
    <w:rsid w:val="094822F4"/>
    <w:rsid w:val="094B5940"/>
    <w:rsid w:val="094C31B4"/>
    <w:rsid w:val="094E71DE"/>
    <w:rsid w:val="09500780"/>
    <w:rsid w:val="09500B4F"/>
    <w:rsid w:val="0951068D"/>
    <w:rsid w:val="09524F20"/>
    <w:rsid w:val="095962AF"/>
    <w:rsid w:val="095A2027"/>
    <w:rsid w:val="09606B85"/>
    <w:rsid w:val="09610B3F"/>
    <w:rsid w:val="09616F12"/>
    <w:rsid w:val="0962344F"/>
    <w:rsid w:val="09643EC2"/>
    <w:rsid w:val="09646A02"/>
    <w:rsid w:val="09652EA6"/>
    <w:rsid w:val="096609CC"/>
    <w:rsid w:val="09680B33"/>
    <w:rsid w:val="096F502C"/>
    <w:rsid w:val="09750C0F"/>
    <w:rsid w:val="0978425B"/>
    <w:rsid w:val="097C3D4B"/>
    <w:rsid w:val="097D767F"/>
    <w:rsid w:val="097E4F40"/>
    <w:rsid w:val="098041A4"/>
    <w:rsid w:val="09815806"/>
    <w:rsid w:val="09877D9A"/>
    <w:rsid w:val="098B21E0"/>
    <w:rsid w:val="0990722E"/>
    <w:rsid w:val="09907FC4"/>
    <w:rsid w:val="0992356F"/>
    <w:rsid w:val="09931095"/>
    <w:rsid w:val="09973CC1"/>
    <w:rsid w:val="09992B4F"/>
    <w:rsid w:val="099B7748"/>
    <w:rsid w:val="099F0C87"/>
    <w:rsid w:val="09A343D5"/>
    <w:rsid w:val="09A45050"/>
    <w:rsid w:val="09A62894"/>
    <w:rsid w:val="09A84B40"/>
    <w:rsid w:val="09A933B7"/>
    <w:rsid w:val="09AA1D66"/>
    <w:rsid w:val="09AB2883"/>
    <w:rsid w:val="09AB79F4"/>
    <w:rsid w:val="09AD2157"/>
    <w:rsid w:val="09B33D56"/>
    <w:rsid w:val="09BA2AC6"/>
    <w:rsid w:val="09BF550A"/>
    <w:rsid w:val="09C00C55"/>
    <w:rsid w:val="09C15A98"/>
    <w:rsid w:val="09C175AC"/>
    <w:rsid w:val="09CB1904"/>
    <w:rsid w:val="09CE75FD"/>
    <w:rsid w:val="09D03F44"/>
    <w:rsid w:val="09D41DD9"/>
    <w:rsid w:val="09D438E6"/>
    <w:rsid w:val="09D5345C"/>
    <w:rsid w:val="09D70571"/>
    <w:rsid w:val="09D83256"/>
    <w:rsid w:val="09D94D52"/>
    <w:rsid w:val="09E24753"/>
    <w:rsid w:val="09E638BB"/>
    <w:rsid w:val="09E813E1"/>
    <w:rsid w:val="09EA6F07"/>
    <w:rsid w:val="09EC2B3F"/>
    <w:rsid w:val="09ED5513"/>
    <w:rsid w:val="09EF44EC"/>
    <w:rsid w:val="09F32412"/>
    <w:rsid w:val="09F412B3"/>
    <w:rsid w:val="09F54BF1"/>
    <w:rsid w:val="09F773D1"/>
    <w:rsid w:val="09F935EE"/>
    <w:rsid w:val="0A0124A3"/>
    <w:rsid w:val="0A031221"/>
    <w:rsid w:val="0A037858"/>
    <w:rsid w:val="0A080810"/>
    <w:rsid w:val="0A0818BB"/>
    <w:rsid w:val="0A090A62"/>
    <w:rsid w:val="0A0B577D"/>
    <w:rsid w:val="0A116BA1"/>
    <w:rsid w:val="0A122902"/>
    <w:rsid w:val="0A136FB9"/>
    <w:rsid w:val="0A175A89"/>
    <w:rsid w:val="0A1777EB"/>
    <w:rsid w:val="0A187F18"/>
    <w:rsid w:val="0A1978D5"/>
    <w:rsid w:val="0A1E44C0"/>
    <w:rsid w:val="0A1E4607"/>
    <w:rsid w:val="0A263993"/>
    <w:rsid w:val="0A2763AD"/>
    <w:rsid w:val="0A2979EA"/>
    <w:rsid w:val="0A2C3BDC"/>
    <w:rsid w:val="0A2D3AC2"/>
    <w:rsid w:val="0A300AD6"/>
    <w:rsid w:val="0A393AA6"/>
    <w:rsid w:val="0A394AC4"/>
    <w:rsid w:val="0A3B14C8"/>
    <w:rsid w:val="0A3B59B5"/>
    <w:rsid w:val="0A3D172D"/>
    <w:rsid w:val="0A3F2744"/>
    <w:rsid w:val="0A432ABB"/>
    <w:rsid w:val="0A434869"/>
    <w:rsid w:val="0A4C5883"/>
    <w:rsid w:val="0A53274B"/>
    <w:rsid w:val="0A5371A2"/>
    <w:rsid w:val="0A55224E"/>
    <w:rsid w:val="0A556ACE"/>
    <w:rsid w:val="0A575654"/>
    <w:rsid w:val="0A5C2514"/>
    <w:rsid w:val="0A5D3B7D"/>
    <w:rsid w:val="0A62542F"/>
    <w:rsid w:val="0A627B8A"/>
    <w:rsid w:val="0A6C4E8C"/>
    <w:rsid w:val="0A6F5ABE"/>
    <w:rsid w:val="0A732234"/>
    <w:rsid w:val="0A78506B"/>
    <w:rsid w:val="0A79207A"/>
    <w:rsid w:val="0A7B4003"/>
    <w:rsid w:val="0A805ABD"/>
    <w:rsid w:val="0A8408B9"/>
    <w:rsid w:val="0A8455AD"/>
    <w:rsid w:val="0A886720"/>
    <w:rsid w:val="0A895FE4"/>
    <w:rsid w:val="0A8B082C"/>
    <w:rsid w:val="0A8F399C"/>
    <w:rsid w:val="0A8F3B95"/>
    <w:rsid w:val="0A933D6B"/>
    <w:rsid w:val="0A9450C5"/>
    <w:rsid w:val="0A9715AA"/>
    <w:rsid w:val="0A980775"/>
    <w:rsid w:val="0A9B28F7"/>
    <w:rsid w:val="0A9B46A5"/>
    <w:rsid w:val="0A9B744E"/>
    <w:rsid w:val="0A9E522E"/>
    <w:rsid w:val="0A9F23E7"/>
    <w:rsid w:val="0AA031B6"/>
    <w:rsid w:val="0AA755DF"/>
    <w:rsid w:val="0AA958D1"/>
    <w:rsid w:val="0AAE58E8"/>
    <w:rsid w:val="0AAF7892"/>
    <w:rsid w:val="0AB00E0A"/>
    <w:rsid w:val="0AB94C63"/>
    <w:rsid w:val="0ABB6311"/>
    <w:rsid w:val="0ABE2142"/>
    <w:rsid w:val="0AC05EBA"/>
    <w:rsid w:val="0AC10F38"/>
    <w:rsid w:val="0AC27E84"/>
    <w:rsid w:val="0AC65787"/>
    <w:rsid w:val="0AD35069"/>
    <w:rsid w:val="0AD41965"/>
    <w:rsid w:val="0AD6169E"/>
    <w:rsid w:val="0AD80851"/>
    <w:rsid w:val="0AD90B24"/>
    <w:rsid w:val="0ADE216C"/>
    <w:rsid w:val="0AE9610A"/>
    <w:rsid w:val="0AEB5CEB"/>
    <w:rsid w:val="0AEC7BE8"/>
    <w:rsid w:val="0AEE0C79"/>
    <w:rsid w:val="0AF0679F"/>
    <w:rsid w:val="0AF12517"/>
    <w:rsid w:val="0AF15462"/>
    <w:rsid w:val="0AF65D7F"/>
    <w:rsid w:val="0AF93EBF"/>
    <w:rsid w:val="0AFA23E4"/>
    <w:rsid w:val="0B037800"/>
    <w:rsid w:val="0B047371"/>
    <w:rsid w:val="0B053EB8"/>
    <w:rsid w:val="0B064CAC"/>
    <w:rsid w:val="0B0803D6"/>
    <w:rsid w:val="0B094CA1"/>
    <w:rsid w:val="0B0B182B"/>
    <w:rsid w:val="0B110A59"/>
    <w:rsid w:val="0B120D44"/>
    <w:rsid w:val="0B141B52"/>
    <w:rsid w:val="0B144742"/>
    <w:rsid w:val="0B16005A"/>
    <w:rsid w:val="0B195C36"/>
    <w:rsid w:val="0B1B0B00"/>
    <w:rsid w:val="0B1B59B6"/>
    <w:rsid w:val="0B1C6969"/>
    <w:rsid w:val="0B1F441B"/>
    <w:rsid w:val="0B20144F"/>
    <w:rsid w:val="0B2139FF"/>
    <w:rsid w:val="0B23170C"/>
    <w:rsid w:val="0B252989"/>
    <w:rsid w:val="0B283DA7"/>
    <w:rsid w:val="0B287B3E"/>
    <w:rsid w:val="0B293767"/>
    <w:rsid w:val="0B297BE7"/>
    <w:rsid w:val="0B2A265D"/>
    <w:rsid w:val="0B2F44F4"/>
    <w:rsid w:val="0B325009"/>
    <w:rsid w:val="0B342729"/>
    <w:rsid w:val="0B3655BA"/>
    <w:rsid w:val="0B3706B1"/>
    <w:rsid w:val="0B3A5C6C"/>
    <w:rsid w:val="0B3D2092"/>
    <w:rsid w:val="0B4537BE"/>
    <w:rsid w:val="0B454CF7"/>
    <w:rsid w:val="0B460AB5"/>
    <w:rsid w:val="0B4646C1"/>
    <w:rsid w:val="0B492385"/>
    <w:rsid w:val="0B496948"/>
    <w:rsid w:val="0B4E0E79"/>
    <w:rsid w:val="0B4E5BBB"/>
    <w:rsid w:val="0B506925"/>
    <w:rsid w:val="0B5228F2"/>
    <w:rsid w:val="0B527DA5"/>
    <w:rsid w:val="0B534F80"/>
    <w:rsid w:val="0B566475"/>
    <w:rsid w:val="0B5807E8"/>
    <w:rsid w:val="0B591EA6"/>
    <w:rsid w:val="0B5C5BE2"/>
    <w:rsid w:val="0B5D200D"/>
    <w:rsid w:val="0B5D7BAD"/>
    <w:rsid w:val="0B642CE9"/>
    <w:rsid w:val="0B687444"/>
    <w:rsid w:val="0B6920C9"/>
    <w:rsid w:val="0B6947A3"/>
    <w:rsid w:val="0B6B6E3A"/>
    <w:rsid w:val="0B754EF6"/>
    <w:rsid w:val="0B791D3E"/>
    <w:rsid w:val="0B7C2215"/>
    <w:rsid w:val="0B7D5D15"/>
    <w:rsid w:val="0B7D7BCE"/>
    <w:rsid w:val="0B815374"/>
    <w:rsid w:val="0B835865"/>
    <w:rsid w:val="0B8909A2"/>
    <w:rsid w:val="0B8D413E"/>
    <w:rsid w:val="0B8E7D66"/>
    <w:rsid w:val="0B993593"/>
    <w:rsid w:val="0BA35808"/>
    <w:rsid w:val="0BA76047"/>
    <w:rsid w:val="0BA947A7"/>
    <w:rsid w:val="0BAA3812"/>
    <w:rsid w:val="0BAB7ABF"/>
    <w:rsid w:val="0BAC0C76"/>
    <w:rsid w:val="0BAC5FBB"/>
    <w:rsid w:val="0BB139B7"/>
    <w:rsid w:val="0BB579E9"/>
    <w:rsid w:val="0BB6041E"/>
    <w:rsid w:val="0BB775B7"/>
    <w:rsid w:val="0BB865F1"/>
    <w:rsid w:val="0BB97992"/>
    <w:rsid w:val="0BC1513B"/>
    <w:rsid w:val="0BC769FA"/>
    <w:rsid w:val="0BC81BCE"/>
    <w:rsid w:val="0BCE5224"/>
    <w:rsid w:val="0BD04396"/>
    <w:rsid w:val="0BD073E6"/>
    <w:rsid w:val="0BD27BF6"/>
    <w:rsid w:val="0BD31B1A"/>
    <w:rsid w:val="0BD9318C"/>
    <w:rsid w:val="0BDB143C"/>
    <w:rsid w:val="0BE930C6"/>
    <w:rsid w:val="0BED2CDE"/>
    <w:rsid w:val="0BEF6A57"/>
    <w:rsid w:val="0BF00A21"/>
    <w:rsid w:val="0BF14B45"/>
    <w:rsid w:val="0BF15CC2"/>
    <w:rsid w:val="0BF21BF2"/>
    <w:rsid w:val="0BF24799"/>
    <w:rsid w:val="0BF70001"/>
    <w:rsid w:val="0BFB189F"/>
    <w:rsid w:val="0BFC1173"/>
    <w:rsid w:val="0BFE56D6"/>
    <w:rsid w:val="0BFF2C8F"/>
    <w:rsid w:val="0C0149DC"/>
    <w:rsid w:val="0C016972"/>
    <w:rsid w:val="0C0266C5"/>
    <w:rsid w:val="0C0315A2"/>
    <w:rsid w:val="0C0504C1"/>
    <w:rsid w:val="0C052D84"/>
    <w:rsid w:val="0C0C2B32"/>
    <w:rsid w:val="0C1110C3"/>
    <w:rsid w:val="0C142FCD"/>
    <w:rsid w:val="0C16217C"/>
    <w:rsid w:val="0C1768E3"/>
    <w:rsid w:val="0C193651"/>
    <w:rsid w:val="0C1C35C4"/>
    <w:rsid w:val="0C1E759C"/>
    <w:rsid w:val="0C2C7CAB"/>
    <w:rsid w:val="0C2D0307"/>
    <w:rsid w:val="0C2D30DA"/>
    <w:rsid w:val="0C341CEC"/>
    <w:rsid w:val="0C355241"/>
    <w:rsid w:val="0C3B3C7D"/>
    <w:rsid w:val="0C3B4CCB"/>
    <w:rsid w:val="0C3C77C2"/>
    <w:rsid w:val="0C403756"/>
    <w:rsid w:val="0C434FF4"/>
    <w:rsid w:val="0C4B7FED"/>
    <w:rsid w:val="0C4D7C21"/>
    <w:rsid w:val="0C4E4C81"/>
    <w:rsid w:val="0C523489"/>
    <w:rsid w:val="0C554863"/>
    <w:rsid w:val="0C5B0590"/>
    <w:rsid w:val="0C5B40EC"/>
    <w:rsid w:val="0C60035E"/>
    <w:rsid w:val="0C6018FA"/>
    <w:rsid w:val="0C607954"/>
    <w:rsid w:val="0C6101BA"/>
    <w:rsid w:val="0C62191E"/>
    <w:rsid w:val="0C6260C8"/>
    <w:rsid w:val="0C655C90"/>
    <w:rsid w:val="0C664CA7"/>
    <w:rsid w:val="0C671870"/>
    <w:rsid w:val="0C675B20"/>
    <w:rsid w:val="0C683FBE"/>
    <w:rsid w:val="0C6C2991"/>
    <w:rsid w:val="0C6F43A6"/>
    <w:rsid w:val="0C753B71"/>
    <w:rsid w:val="0C776A4C"/>
    <w:rsid w:val="0C784D3F"/>
    <w:rsid w:val="0C7B29E0"/>
    <w:rsid w:val="0C7E068A"/>
    <w:rsid w:val="0C8069C5"/>
    <w:rsid w:val="0C8260AE"/>
    <w:rsid w:val="0C841C72"/>
    <w:rsid w:val="0C8A022B"/>
    <w:rsid w:val="0C8B70A1"/>
    <w:rsid w:val="0C8F3D96"/>
    <w:rsid w:val="0C9160E0"/>
    <w:rsid w:val="0C943AA2"/>
    <w:rsid w:val="0C9B6BDE"/>
    <w:rsid w:val="0C9E536F"/>
    <w:rsid w:val="0CA152FE"/>
    <w:rsid w:val="0CA15669"/>
    <w:rsid w:val="0CA2445F"/>
    <w:rsid w:val="0CA4073E"/>
    <w:rsid w:val="0CA85C19"/>
    <w:rsid w:val="0CAB2EAE"/>
    <w:rsid w:val="0CAB717D"/>
    <w:rsid w:val="0CAC1763"/>
    <w:rsid w:val="0CAE4C71"/>
    <w:rsid w:val="0CAF051D"/>
    <w:rsid w:val="0CAF4438"/>
    <w:rsid w:val="0CB16C35"/>
    <w:rsid w:val="0CB3148C"/>
    <w:rsid w:val="0CB63A18"/>
    <w:rsid w:val="0CB83BD6"/>
    <w:rsid w:val="0CBD1845"/>
    <w:rsid w:val="0CBF5CFF"/>
    <w:rsid w:val="0CBF73F8"/>
    <w:rsid w:val="0CC13BAD"/>
    <w:rsid w:val="0CC81C18"/>
    <w:rsid w:val="0CCE0D62"/>
    <w:rsid w:val="0CCF09B1"/>
    <w:rsid w:val="0CD060C9"/>
    <w:rsid w:val="0CD125C6"/>
    <w:rsid w:val="0CD5595A"/>
    <w:rsid w:val="0CDA45A3"/>
    <w:rsid w:val="0CDB347F"/>
    <w:rsid w:val="0CDD473D"/>
    <w:rsid w:val="0CE045F1"/>
    <w:rsid w:val="0CE605E6"/>
    <w:rsid w:val="0CE8622A"/>
    <w:rsid w:val="0CE95576"/>
    <w:rsid w:val="0CEC1758"/>
    <w:rsid w:val="0CF43DEE"/>
    <w:rsid w:val="0CF63E15"/>
    <w:rsid w:val="0CF663AE"/>
    <w:rsid w:val="0CF71FBF"/>
    <w:rsid w:val="0CF837EB"/>
    <w:rsid w:val="0CF92E02"/>
    <w:rsid w:val="0CFA1B57"/>
    <w:rsid w:val="0CFE6D2A"/>
    <w:rsid w:val="0CFF17A8"/>
    <w:rsid w:val="0D004C18"/>
    <w:rsid w:val="0D011384"/>
    <w:rsid w:val="0D0227BA"/>
    <w:rsid w:val="0D046532"/>
    <w:rsid w:val="0D051888"/>
    <w:rsid w:val="0D074274"/>
    <w:rsid w:val="0D096B82"/>
    <w:rsid w:val="0D0D34FD"/>
    <w:rsid w:val="0D110C4F"/>
    <w:rsid w:val="0D15240A"/>
    <w:rsid w:val="0D171E03"/>
    <w:rsid w:val="0D186481"/>
    <w:rsid w:val="0D1A2DAD"/>
    <w:rsid w:val="0D1E23D9"/>
    <w:rsid w:val="0D1F15BD"/>
    <w:rsid w:val="0D2135D0"/>
    <w:rsid w:val="0D222E5C"/>
    <w:rsid w:val="0D2B175B"/>
    <w:rsid w:val="0D311BE2"/>
    <w:rsid w:val="0D314E4D"/>
    <w:rsid w:val="0D330860"/>
    <w:rsid w:val="0D336E17"/>
    <w:rsid w:val="0D3522F7"/>
    <w:rsid w:val="0D352B8F"/>
    <w:rsid w:val="0D36577E"/>
    <w:rsid w:val="0D3B2383"/>
    <w:rsid w:val="0D411534"/>
    <w:rsid w:val="0D41246D"/>
    <w:rsid w:val="0D423901"/>
    <w:rsid w:val="0D49663A"/>
    <w:rsid w:val="0D4C1C87"/>
    <w:rsid w:val="0D4D2141"/>
    <w:rsid w:val="0D4D7BF5"/>
    <w:rsid w:val="0D5113CC"/>
    <w:rsid w:val="0D531267"/>
    <w:rsid w:val="0D533015"/>
    <w:rsid w:val="0D5523DC"/>
    <w:rsid w:val="0D555C0F"/>
    <w:rsid w:val="0D570106"/>
    <w:rsid w:val="0D590DB9"/>
    <w:rsid w:val="0D5A0848"/>
    <w:rsid w:val="0D5A6441"/>
    <w:rsid w:val="0D5F5E5E"/>
    <w:rsid w:val="0D614B3F"/>
    <w:rsid w:val="0D621C7D"/>
    <w:rsid w:val="0D633847"/>
    <w:rsid w:val="0D63594E"/>
    <w:rsid w:val="0D645222"/>
    <w:rsid w:val="0D672B34"/>
    <w:rsid w:val="0D675A5F"/>
    <w:rsid w:val="0D696CDD"/>
    <w:rsid w:val="0D6C6C92"/>
    <w:rsid w:val="0D6C7D81"/>
    <w:rsid w:val="0D6D2799"/>
    <w:rsid w:val="0D6E69B1"/>
    <w:rsid w:val="0D6F33EC"/>
    <w:rsid w:val="0D7240DC"/>
    <w:rsid w:val="0D725B91"/>
    <w:rsid w:val="0D7519FC"/>
    <w:rsid w:val="0D75742F"/>
    <w:rsid w:val="0D757AD1"/>
    <w:rsid w:val="0D7733AF"/>
    <w:rsid w:val="0D776940"/>
    <w:rsid w:val="0D7A67F4"/>
    <w:rsid w:val="0D7D556F"/>
    <w:rsid w:val="0D7E76D1"/>
    <w:rsid w:val="0D803A9A"/>
    <w:rsid w:val="0D862767"/>
    <w:rsid w:val="0D870F11"/>
    <w:rsid w:val="0D89320B"/>
    <w:rsid w:val="0D8A1A1C"/>
    <w:rsid w:val="0D8B57EA"/>
    <w:rsid w:val="0D8D6959"/>
    <w:rsid w:val="0D902653"/>
    <w:rsid w:val="0D921D8F"/>
    <w:rsid w:val="0D9378B6"/>
    <w:rsid w:val="0D94691D"/>
    <w:rsid w:val="0D9A3032"/>
    <w:rsid w:val="0D9E433A"/>
    <w:rsid w:val="0DA430A7"/>
    <w:rsid w:val="0DA6583B"/>
    <w:rsid w:val="0DA67D2E"/>
    <w:rsid w:val="0DA90E87"/>
    <w:rsid w:val="0DA97744"/>
    <w:rsid w:val="0DBC0BBA"/>
    <w:rsid w:val="0DBE24E9"/>
    <w:rsid w:val="0DC0446D"/>
    <w:rsid w:val="0DC22342"/>
    <w:rsid w:val="0DC31951"/>
    <w:rsid w:val="0DC43F13"/>
    <w:rsid w:val="0DC5583E"/>
    <w:rsid w:val="0DC708B6"/>
    <w:rsid w:val="0DC76AB2"/>
    <w:rsid w:val="0DCB04A4"/>
    <w:rsid w:val="0DD233EB"/>
    <w:rsid w:val="0DD36CEE"/>
    <w:rsid w:val="0DD87E34"/>
    <w:rsid w:val="0DD925A0"/>
    <w:rsid w:val="0DDA7292"/>
    <w:rsid w:val="0DDE3227"/>
    <w:rsid w:val="0DE01C8F"/>
    <w:rsid w:val="0DE01ED3"/>
    <w:rsid w:val="0DE0625D"/>
    <w:rsid w:val="0DE171C1"/>
    <w:rsid w:val="0DE24AF9"/>
    <w:rsid w:val="0DE25A9A"/>
    <w:rsid w:val="0DE3117D"/>
    <w:rsid w:val="0DE63E89"/>
    <w:rsid w:val="0DE93EE3"/>
    <w:rsid w:val="0DF02F5A"/>
    <w:rsid w:val="0DF31735"/>
    <w:rsid w:val="0DF41CC4"/>
    <w:rsid w:val="0DF450C4"/>
    <w:rsid w:val="0DF91E0E"/>
    <w:rsid w:val="0DFA5B87"/>
    <w:rsid w:val="0DFE554D"/>
    <w:rsid w:val="0E012A71"/>
    <w:rsid w:val="0E032C8D"/>
    <w:rsid w:val="0E036B4C"/>
    <w:rsid w:val="0E044BB9"/>
    <w:rsid w:val="0E076F7E"/>
    <w:rsid w:val="0E0C14ED"/>
    <w:rsid w:val="0E0D7668"/>
    <w:rsid w:val="0E121D8E"/>
    <w:rsid w:val="0E124C7E"/>
    <w:rsid w:val="0E13104F"/>
    <w:rsid w:val="0E151942"/>
    <w:rsid w:val="0E157EE5"/>
    <w:rsid w:val="0E160C52"/>
    <w:rsid w:val="0E17442F"/>
    <w:rsid w:val="0E193821"/>
    <w:rsid w:val="0E214EC1"/>
    <w:rsid w:val="0E2341E5"/>
    <w:rsid w:val="0E245572"/>
    <w:rsid w:val="0E250E55"/>
    <w:rsid w:val="0E2A646C"/>
    <w:rsid w:val="0E2A7BC7"/>
    <w:rsid w:val="0E2D1AB8"/>
    <w:rsid w:val="0E3052EE"/>
    <w:rsid w:val="0E320403"/>
    <w:rsid w:val="0E343B3E"/>
    <w:rsid w:val="0E364879"/>
    <w:rsid w:val="0E3A41D5"/>
    <w:rsid w:val="0E3C7F4D"/>
    <w:rsid w:val="0E4303B3"/>
    <w:rsid w:val="0E4312DC"/>
    <w:rsid w:val="0E460590"/>
    <w:rsid w:val="0E4A6BAC"/>
    <w:rsid w:val="0E4D64D7"/>
    <w:rsid w:val="0E4E6478"/>
    <w:rsid w:val="0E501060"/>
    <w:rsid w:val="0E52455A"/>
    <w:rsid w:val="0E5337A2"/>
    <w:rsid w:val="0E536E9C"/>
    <w:rsid w:val="0E545B85"/>
    <w:rsid w:val="0E56100F"/>
    <w:rsid w:val="0E5B222E"/>
    <w:rsid w:val="0E5D6FB7"/>
    <w:rsid w:val="0E611762"/>
    <w:rsid w:val="0E63197E"/>
    <w:rsid w:val="0E643140"/>
    <w:rsid w:val="0E65470A"/>
    <w:rsid w:val="0E6A2D0C"/>
    <w:rsid w:val="0E6A76C5"/>
    <w:rsid w:val="0E6B4921"/>
    <w:rsid w:val="0E6D21BC"/>
    <w:rsid w:val="0E73034D"/>
    <w:rsid w:val="0E75548B"/>
    <w:rsid w:val="0E7B6CC7"/>
    <w:rsid w:val="0E7C07D8"/>
    <w:rsid w:val="0E7D2A40"/>
    <w:rsid w:val="0E80608C"/>
    <w:rsid w:val="0E806FB3"/>
    <w:rsid w:val="0E886315"/>
    <w:rsid w:val="0E8A7650"/>
    <w:rsid w:val="0E8B4723"/>
    <w:rsid w:val="0E8F4521"/>
    <w:rsid w:val="0E8F45F1"/>
    <w:rsid w:val="0E903CEC"/>
    <w:rsid w:val="0E90419B"/>
    <w:rsid w:val="0E9E387E"/>
    <w:rsid w:val="0E9F5862"/>
    <w:rsid w:val="0EA30A8C"/>
    <w:rsid w:val="0EA54360"/>
    <w:rsid w:val="0EAC0C2F"/>
    <w:rsid w:val="0EAF6971"/>
    <w:rsid w:val="0EB06FD4"/>
    <w:rsid w:val="0EB421E4"/>
    <w:rsid w:val="0EB61AAE"/>
    <w:rsid w:val="0EB71C6C"/>
    <w:rsid w:val="0EB75826"/>
    <w:rsid w:val="0EBB70C4"/>
    <w:rsid w:val="0EC12847"/>
    <w:rsid w:val="0EC57542"/>
    <w:rsid w:val="0EC67291"/>
    <w:rsid w:val="0ECE5049"/>
    <w:rsid w:val="0ED11C79"/>
    <w:rsid w:val="0ED4462A"/>
    <w:rsid w:val="0ED55585"/>
    <w:rsid w:val="0ED63EFE"/>
    <w:rsid w:val="0ED71A24"/>
    <w:rsid w:val="0ED80E5F"/>
    <w:rsid w:val="0ED879FC"/>
    <w:rsid w:val="0EDA6E5D"/>
    <w:rsid w:val="0EDB2399"/>
    <w:rsid w:val="0EE16D6C"/>
    <w:rsid w:val="0EE31C8F"/>
    <w:rsid w:val="0EE63C63"/>
    <w:rsid w:val="0EE83C31"/>
    <w:rsid w:val="0EED6FD9"/>
    <w:rsid w:val="0EEE6853"/>
    <w:rsid w:val="0EEF3211"/>
    <w:rsid w:val="0EEF55E1"/>
    <w:rsid w:val="0EEF5AAA"/>
    <w:rsid w:val="0EF079FC"/>
    <w:rsid w:val="0EF13E3B"/>
    <w:rsid w:val="0EF34AB0"/>
    <w:rsid w:val="0EF427EC"/>
    <w:rsid w:val="0EF44384"/>
    <w:rsid w:val="0EF600FC"/>
    <w:rsid w:val="0EF6634E"/>
    <w:rsid w:val="0EF66D4E"/>
    <w:rsid w:val="0EFD148A"/>
    <w:rsid w:val="0EFE111D"/>
    <w:rsid w:val="0EFF16A6"/>
    <w:rsid w:val="0F016EF2"/>
    <w:rsid w:val="0F0466D0"/>
    <w:rsid w:val="0F0767AD"/>
    <w:rsid w:val="0F0E18EA"/>
    <w:rsid w:val="0F1128D2"/>
    <w:rsid w:val="0F13775A"/>
    <w:rsid w:val="0F144A26"/>
    <w:rsid w:val="0F164219"/>
    <w:rsid w:val="0F18313A"/>
    <w:rsid w:val="0F1A028E"/>
    <w:rsid w:val="0F1D1B2D"/>
    <w:rsid w:val="0F240BE1"/>
    <w:rsid w:val="0F291EB6"/>
    <w:rsid w:val="0F2A530F"/>
    <w:rsid w:val="0F2E4F1C"/>
    <w:rsid w:val="0F2F360E"/>
    <w:rsid w:val="0F2F3912"/>
    <w:rsid w:val="0F330C02"/>
    <w:rsid w:val="0F3375A2"/>
    <w:rsid w:val="0F341052"/>
    <w:rsid w:val="0F38025F"/>
    <w:rsid w:val="0F3D17DE"/>
    <w:rsid w:val="0F41098E"/>
    <w:rsid w:val="0F4A0448"/>
    <w:rsid w:val="0F4B54FB"/>
    <w:rsid w:val="0F4C2412"/>
    <w:rsid w:val="0F4C748E"/>
    <w:rsid w:val="0F517A28"/>
    <w:rsid w:val="0F535BB4"/>
    <w:rsid w:val="0F5645BF"/>
    <w:rsid w:val="0F5B2655"/>
    <w:rsid w:val="0F5C2348"/>
    <w:rsid w:val="0F5C2FE8"/>
    <w:rsid w:val="0F5F45FE"/>
    <w:rsid w:val="0F6132AC"/>
    <w:rsid w:val="0F642482"/>
    <w:rsid w:val="0F643DE8"/>
    <w:rsid w:val="0F661DB2"/>
    <w:rsid w:val="0F694C46"/>
    <w:rsid w:val="0F6F59D1"/>
    <w:rsid w:val="0F706B6F"/>
    <w:rsid w:val="0F717106"/>
    <w:rsid w:val="0F7532EB"/>
    <w:rsid w:val="0F761E6A"/>
    <w:rsid w:val="0F7756E1"/>
    <w:rsid w:val="0F777EAA"/>
    <w:rsid w:val="0F80233D"/>
    <w:rsid w:val="0F814FE4"/>
    <w:rsid w:val="0F827B13"/>
    <w:rsid w:val="0F834D96"/>
    <w:rsid w:val="0F841BAC"/>
    <w:rsid w:val="0F8676D2"/>
    <w:rsid w:val="0F87344A"/>
    <w:rsid w:val="0F8C2DE6"/>
    <w:rsid w:val="0F8E3F0F"/>
    <w:rsid w:val="0F900C87"/>
    <w:rsid w:val="0F9343FC"/>
    <w:rsid w:val="0F937B15"/>
    <w:rsid w:val="0F957915"/>
    <w:rsid w:val="0F9670A0"/>
    <w:rsid w:val="0F9A112B"/>
    <w:rsid w:val="0F9A54E6"/>
    <w:rsid w:val="0F9B14FE"/>
    <w:rsid w:val="0F9D7C98"/>
    <w:rsid w:val="0F9E2330"/>
    <w:rsid w:val="0F9E4C29"/>
    <w:rsid w:val="0FA1450C"/>
    <w:rsid w:val="0FA20284"/>
    <w:rsid w:val="0FA341CE"/>
    <w:rsid w:val="0FA43AC2"/>
    <w:rsid w:val="0FA5626C"/>
    <w:rsid w:val="0FA67869"/>
    <w:rsid w:val="0FA70040"/>
    <w:rsid w:val="0FA8433B"/>
    <w:rsid w:val="0FA91612"/>
    <w:rsid w:val="0FA933C0"/>
    <w:rsid w:val="0FAC300F"/>
    <w:rsid w:val="0FAC3203"/>
    <w:rsid w:val="0FAD1102"/>
    <w:rsid w:val="0FB0474F"/>
    <w:rsid w:val="0FB11962"/>
    <w:rsid w:val="0FBD6E6C"/>
    <w:rsid w:val="0FBE2DDE"/>
    <w:rsid w:val="0FBE3F89"/>
    <w:rsid w:val="0FC107D6"/>
    <w:rsid w:val="0FC226D4"/>
    <w:rsid w:val="0FC246CB"/>
    <w:rsid w:val="0FC54015"/>
    <w:rsid w:val="0FCA5EBC"/>
    <w:rsid w:val="0FCE0F02"/>
    <w:rsid w:val="0FCE28F2"/>
    <w:rsid w:val="0FCE4CFF"/>
    <w:rsid w:val="0FD32136"/>
    <w:rsid w:val="0FD46AE0"/>
    <w:rsid w:val="0FD70270"/>
    <w:rsid w:val="0FD8584B"/>
    <w:rsid w:val="0FDA17CC"/>
    <w:rsid w:val="0FDA3DE2"/>
    <w:rsid w:val="0FDC3304"/>
    <w:rsid w:val="0FDE7B2B"/>
    <w:rsid w:val="0FDF3286"/>
    <w:rsid w:val="0FE152B7"/>
    <w:rsid w:val="0FE449DB"/>
    <w:rsid w:val="0FEB1C2B"/>
    <w:rsid w:val="0FEC7A1F"/>
    <w:rsid w:val="0FF177BB"/>
    <w:rsid w:val="0FF3288D"/>
    <w:rsid w:val="0FF32CCC"/>
    <w:rsid w:val="0FF51E74"/>
    <w:rsid w:val="0FF81D7D"/>
    <w:rsid w:val="0FFE5DB6"/>
    <w:rsid w:val="10044A9B"/>
    <w:rsid w:val="10053E65"/>
    <w:rsid w:val="100B44A9"/>
    <w:rsid w:val="100C3C0C"/>
    <w:rsid w:val="100C57E1"/>
    <w:rsid w:val="100D2A68"/>
    <w:rsid w:val="10152804"/>
    <w:rsid w:val="10184D5C"/>
    <w:rsid w:val="101B5DB0"/>
    <w:rsid w:val="101C1B4F"/>
    <w:rsid w:val="101D0C26"/>
    <w:rsid w:val="101D790A"/>
    <w:rsid w:val="102337D5"/>
    <w:rsid w:val="102B21E9"/>
    <w:rsid w:val="102F7CB8"/>
    <w:rsid w:val="10346486"/>
    <w:rsid w:val="10352221"/>
    <w:rsid w:val="1039196C"/>
    <w:rsid w:val="10391F5F"/>
    <w:rsid w:val="10394744"/>
    <w:rsid w:val="104135F9"/>
    <w:rsid w:val="104444E2"/>
    <w:rsid w:val="10463078"/>
    <w:rsid w:val="10475AFD"/>
    <w:rsid w:val="10482E63"/>
    <w:rsid w:val="104906FF"/>
    <w:rsid w:val="104C32F3"/>
    <w:rsid w:val="104C7923"/>
    <w:rsid w:val="104E1806"/>
    <w:rsid w:val="104E1969"/>
    <w:rsid w:val="10505F32"/>
    <w:rsid w:val="10520C1D"/>
    <w:rsid w:val="10521CAA"/>
    <w:rsid w:val="1053409D"/>
    <w:rsid w:val="1054157E"/>
    <w:rsid w:val="105477D0"/>
    <w:rsid w:val="105772C0"/>
    <w:rsid w:val="10594DE6"/>
    <w:rsid w:val="105A290D"/>
    <w:rsid w:val="105B0B5E"/>
    <w:rsid w:val="105F7F23"/>
    <w:rsid w:val="1060257A"/>
    <w:rsid w:val="10612472"/>
    <w:rsid w:val="10623767"/>
    <w:rsid w:val="106519DD"/>
    <w:rsid w:val="106C2D6C"/>
    <w:rsid w:val="106D2F64"/>
    <w:rsid w:val="107240FA"/>
    <w:rsid w:val="10757746"/>
    <w:rsid w:val="10763B33"/>
    <w:rsid w:val="10771710"/>
    <w:rsid w:val="107909F0"/>
    <w:rsid w:val="107A53B8"/>
    <w:rsid w:val="107E1F99"/>
    <w:rsid w:val="107E65FB"/>
    <w:rsid w:val="10802373"/>
    <w:rsid w:val="10852004"/>
    <w:rsid w:val="10867620"/>
    <w:rsid w:val="10887A2D"/>
    <w:rsid w:val="10896434"/>
    <w:rsid w:val="108A0B1E"/>
    <w:rsid w:val="108D73F6"/>
    <w:rsid w:val="108E4601"/>
    <w:rsid w:val="108F6A5A"/>
    <w:rsid w:val="10907883"/>
    <w:rsid w:val="10910F07"/>
    <w:rsid w:val="10927217"/>
    <w:rsid w:val="10927C7A"/>
    <w:rsid w:val="10993435"/>
    <w:rsid w:val="109C1685"/>
    <w:rsid w:val="10A35CF6"/>
    <w:rsid w:val="10AA1776"/>
    <w:rsid w:val="10AA3894"/>
    <w:rsid w:val="10B20A08"/>
    <w:rsid w:val="10B63710"/>
    <w:rsid w:val="10B843D2"/>
    <w:rsid w:val="10BE4C49"/>
    <w:rsid w:val="10BF1F18"/>
    <w:rsid w:val="10C556C7"/>
    <w:rsid w:val="10C77FA2"/>
    <w:rsid w:val="10C85AC8"/>
    <w:rsid w:val="10CC0B80"/>
    <w:rsid w:val="10D014B7"/>
    <w:rsid w:val="10D66437"/>
    <w:rsid w:val="10D71C99"/>
    <w:rsid w:val="10D8282E"/>
    <w:rsid w:val="10DA097E"/>
    <w:rsid w:val="10DE410E"/>
    <w:rsid w:val="10E02E8A"/>
    <w:rsid w:val="10E03636"/>
    <w:rsid w:val="10E11DAB"/>
    <w:rsid w:val="10E46E37"/>
    <w:rsid w:val="10E5667A"/>
    <w:rsid w:val="10E612D2"/>
    <w:rsid w:val="10EA3C90"/>
    <w:rsid w:val="10EB121E"/>
    <w:rsid w:val="10ED3781"/>
    <w:rsid w:val="10F06835"/>
    <w:rsid w:val="10F10820"/>
    <w:rsid w:val="10F57DA7"/>
    <w:rsid w:val="10F6205D"/>
    <w:rsid w:val="10F9350E"/>
    <w:rsid w:val="10FA6B26"/>
    <w:rsid w:val="10FB5853"/>
    <w:rsid w:val="10FD1F35"/>
    <w:rsid w:val="11001236"/>
    <w:rsid w:val="110034B4"/>
    <w:rsid w:val="1102722C"/>
    <w:rsid w:val="11031619"/>
    <w:rsid w:val="11061F1E"/>
    <w:rsid w:val="11074842"/>
    <w:rsid w:val="11085D9D"/>
    <w:rsid w:val="11086D90"/>
    <w:rsid w:val="110A7E8F"/>
    <w:rsid w:val="110B1C50"/>
    <w:rsid w:val="11140D0D"/>
    <w:rsid w:val="11166833"/>
    <w:rsid w:val="111725AC"/>
    <w:rsid w:val="111B02EE"/>
    <w:rsid w:val="111B209C"/>
    <w:rsid w:val="111B419D"/>
    <w:rsid w:val="111C08E8"/>
    <w:rsid w:val="111C2F7A"/>
    <w:rsid w:val="111D5E14"/>
    <w:rsid w:val="111F7DDE"/>
    <w:rsid w:val="11201E87"/>
    <w:rsid w:val="11214DAC"/>
    <w:rsid w:val="11224892"/>
    <w:rsid w:val="11246A71"/>
    <w:rsid w:val="11252648"/>
    <w:rsid w:val="11290813"/>
    <w:rsid w:val="11292A0B"/>
    <w:rsid w:val="112C0B0C"/>
    <w:rsid w:val="112E76DF"/>
    <w:rsid w:val="112F4301"/>
    <w:rsid w:val="113123F2"/>
    <w:rsid w:val="11352D6A"/>
    <w:rsid w:val="1135541B"/>
    <w:rsid w:val="113A1798"/>
    <w:rsid w:val="113B1662"/>
    <w:rsid w:val="113D64B6"/>
    <w:rsid w:val="113F3068"/>
    <w:rsid w:val="1145536B"/>
    <w:rsid w:val="114854F1"/>
    <w:rsid w:val="1149766D"/>
    <w:rsid w:val="114D3F18"/>
    <w:rsid w:val="114D677E"/>
    <w:rsid w:val="114E2471"/>
    <w:rsid w:val="114F1ADD"/>
    <w:rsid w:val="114F39FF"/>
    <w:rsid w:val="114F5648"/>
    <w:rsid w:val="115B693C"/>
    <w:rsid w:val="115D52B0"/>
    <w:rsid w:val="115F642C"/>
    <w:rsid w:val="11616749"/>
    <w:rsid w:val="1163274D"/>
    <w:rsid w:val="11665CA1"/>
    <w:rsid w:val="11691059"/>
    <w:rsid w:val="11694893"/>
    <w:rsid w:val="11697101"/>
    <w:rsid w:val="116A4DD1"/>
    <w:rsid w:val="116D4627"/>
    <w:rsid w:val="116F23E8"/>
    <w:rsid w:val="1173012A"/>
    <w:rsid w:val="117479FE"/>
    <w:rsid w:val="11783073"/>
    <w:rsid w:val="11785740"/>
    <w:rsid w:val="117A1288"/>
    <w:rsid w:val="11825553"/>
    <w:rsid w:val="11842CE9"/>
    <w:rsid w:val="11850FF5"/>
    <w:rsid w:val="11851C0B"/>
    <w:rsid w:val="11852AC6"/>
    <w:rsid w:val="118659F4"/>
    <w:rsid w:val="118714DF"/>
    <w:rsid w:val="11875983"/>
    <w:rsid w:val="11875A3F"/>
    <w:rsid w:val="11904838"/>
    <w:rsid w:val="11943BFC"/>
    <w:rsid w:val="11951E4E"/>
    <w:rsid w:val="119537AC"/>
    <w:rsid w:val="11965BC6"/>
    <w:rsid w:val="11974899"/>
    <w:rsid w:val="119B0476"/>
    <w:rsid w:val="11A55E09"/>
    <w:rsid w:val="11A622AD"/>
    <w:rsid w:val="11AC535A"/>
    <w:rsid w:val="11AC7198"/>
    <w:rsid w:val="11AE0013"/>
    <w:rsid w:val="11AE548E"/>
    <w:rsid w:val="11B0282C"/>
    <w:rsid w:val="11B82C6A"/>
    <w:rsid w:val="11BA2999"/>
    <w:rsid w:val="11BA3663"/>
    <w:rsid w:val="11BF336F"/>
    <w:rsid w:val="11C33CAB"/>
    <w:rsid w:val="11C75D80"/>
    <w:rsid w:val="11C76995"/>
    <w:rsid w:val="11CA0B93"/>
    <w:rsid w:val="11CB1EA7"/>
    <w:rsid w:val="11CC281A"/>
    <w:rsid w:val="11CE35B2"/>
    <w:rsid w:val="11D230A2"/>
    <w:rsid w:val="11D5049D"/>
    <w:rsid w:val="11D54941"/>
    <w:rsid w:val="11D75EC6"/>
    <w:rsid w:val="11D80C94"/>
    <w:rsid w:val="11D84431"/>
    <w:rsid w:val="11D92CA0"/>
    <w:rsid w:val="11DB41C9"/>
    <w:rsid w:val="11DF30C9"/>
    <w:rsid w:val="11E10CBE"/>
    <w:rsid w:val="11E42DD6"/>
    <w:rsid w:val="11E63645"/>
    <w:rsid w:val="11E70B37"/>
    <w:rsid w:val="11EA1294"/>
    <w:rsid w:val="11EF1F01"/>
    <w:rsid w:val="11F50B26"/>
    <w:rsid w:val="11F84060"/>
    <w:rsid w:val="11F8418B"/>
    <w:rsid w:val="11FF1362"/>
    <w:rsid w:val="11FF551A"/>
    <w:rsid w:val="12003CA1"/>
    <w:rsid w:val="1201211A"/>
    <w:rsid w:val="1202500A"/>
    <w:rsid w:val="12040D82"/>
    <w:rsid w:val="120668A8"/>
    <w:rsid w:val="12094A71"/>
    <w:rsid w:val="120B3C17"/>
    <w:rsid w:val="120E63FF"/>
    <w:rsid w:val="12100052"/>
    <w:rsid w:val="12105979"/>
    <w:rsid w:val="12163B1E"/>
    <w:rsid w:val="1218370A"/>
    <w:rsid w:val="121F1411"/>
    <w:rsid w:val="122136E2"/>
    <w:rsid w:val="12244F80"/>
    <w:rsid w:val="122469F0"/>
    <w:rsid w:val="12255C4E"/>
    <w:rsid w:val="122643CE"/>
    <w:rsid w:val="122A4C8C"/>
    <w:rsid w:val="122D652B"/>
    <w:rsid w:val="122D7706"/>
    <w:rsid w:val="12307DC9"/>
    <w:rsid w:val="12333CFB"/>
    <w:rsid w:val="1234541B"/>
    <w:rsid w:val="12353631"/>
    <w:rsid w:val="12362B85"/>
    <w:rsid w:val="1237448E"/>
    <w:rsid w:val="123833EC"/>
    <w:rsid w:val="123C27A6"/>
    <w:rsid w:val="123D4FD6"/>
    <w:rsid w:val="123E2FFB"/>
    <w:rsid w:val="12441AA8"/>
    <w:rsid w:val="12445622"/>
    <w:rsid w:val="124A7B27"/>
    <w:rsid w:val="124B784C"/>
    <w:rsid w:val="12502219"/>
    <w:rsid w:val="12503FC7"/>
    <w:rsid w:val="12505D75"/>
    <w:rsid w:val="1252552F"/>
    <w:rsid w:val="125735A8"/>
    <w:rsid w:val="125A2BD5"/>
    <w:rsid w:val="125E1A1B"/>
    <w:rsid w:val="125E6766"/>
    <w:rsid w:val="126561C9"/>
    <w:rsid w:val="126637EB"/>
    <w:rsid w:val="1266436F"/>
    <w:rsid w:val="12704979"/>
    <w:rsid w:val="12706417"/>
    <w:rsid w:val="12747CB6"/>
    <w:rsid w:val="12773FB7"/>
    <w:rsid w:val="12785A50"/>
    <w:rsid w:val="127A7296"/>
    <w:rsid w:val="1283393D"/>
    <w:rsid w:val="128605EB"/>
    <w:rsid w:val="128679E9"/>
    <w:rsid w:val="12884464"/>
    <w:rsid w:val="128D5BB0"/>
    <w:rsid w:val="128D6B70"/>
    <w:rsid w:val="128E689D"/>
    <w:rsid w:val="128F4AEF"/>
    <w:rsid w:val="129051AA"/>
    <w:rsid w:val="12921313"/>
    <w:rsid w:val="12960435"/>
    <w:rsid w:val="12977E48"/>
    <w:rsid w:val="12980823"/>
    <w:rsid w:val="12981977"/>
    <w:rsid w:val="12990E1B"/>
    <w:rsid w:val="129B3939"/>
    <w:rsid w:val="129F1B30"/>
    <w:rsid w:val="12A10CC7"/>
    <w:rsid w:val="12A409FA"/>
    <w:rsid w:val="12A51B9A"/>
    <w:rsid w:val="12AD33CD"/>
    <w:rsid w:val="12B46AE6"/>
    <w:rsid w:val="12B66520"/>
    <w:rsid w:val="12B75DF4"/>
    <w:rsid w:val="12BA47FA"/>
    <w:rsid w:val="12BB58E4"/>
    <w:rsid w:val="12BC0ACF"/>
    <w:rsid w:val="12BC340B"/>
    <w:rsid w:val="12BC78AF"/>
    <w:rsid w:val="12BD1A92"/>
    <w:rsid w:val="12BE5A0E"/>
    <w:rsid w:val="12BF0102"/>
    <w:rsid w:val="12C066FA"/>
    <w:rsid w:val="12C52D58"/>
    <w:rsid w:val="12CD4308"/>
    <w:rsid w:val="12D01010"/>
    <w:rsid w:val="12D05228"/>
    <w:rsid w:val="12D133CA"/>
    <w:rsid w:val="12D15B34"/>
    <w:rsid w:val="12D44BF8"/>
    <w:rsid w:val="12D644BF"/>
    <w:rsid w:val="12D76496"/>
    <w:rsid w:val="12DA6A8C"/>
    <w:rsid w:val="12DA6B3E"/>
    <w:rsid w:val="12E370BA"/>
    <w:rsid w:val="12E84200"/>
    <w:rsid w:val="12EB3CF0"/>
    <w:rsid w:val="12ED4AAE"/>
    <w:rsid w:val="12EF3A8C"/>
    <w:rsid w:val="12EF3EDA"/>
    <w:rsid w:val="12F40DF6"/>
    <w:rsid w:val="12F708E7"/>
    <w:rsid w:val="12F73688"/>
    <w:rsid w:val="12FD771E"/>
    <w:rsid w:val="12FE7EC7"/>
    <w:rsid w:val="13003AE0"/>
    <w:rsid w:val="130124F3"/>
    <w:rsid w:val="13045CDF"/>
    <w:rsid w:val="13052BC6"/>
    <w:rsid w:val="130864F7"/>
    <w:rsid w:val="1308765F"/>
    <w:rsid w:val="130A103D"/>
    <w:rsid w:val="130A23C8"/>
    <w:rsid w:val="130A6291"/>
    <w:rsid w:val="130D2E83"/>
    <w:rsid w:val="13102CD3"/>
    <w:rsid w:val="131119A8"/>
    <w:rsid w:val="13111FC7"/>
    <w:rsid w:val="13114106"/>
    <w:rsid w:val="13130973"/>
    <w:rsid w:val="13141499"/>
    <w:rsid w:val="131673C3"/>
    <w:rsid w:val="1319085D"/>
    <w:rsid w:val="131C5060"/>
    <w:rsid w:val="132316DC"/>
    <w:rsid w:val="13246C02"/>
    <w:rsid w:val="1324792E"/>
    <w:rsid w:val="132667D3"/>
    <w:rsid w:val="132916FF"/>
    <w:rsid w:val="132C1952"/>
    <w:rsid w:val="132F62D2"/>
    <w:rsid w:val="133032AB"/>
    <w:rsid w:val="1332191F"/>
    <w:rsid w:val="133236CD"/>
    <w:rsid w:val="13367661"/>
    <w:rsid w:val="13383B0C"/>
    <w:rsid w:val="133A49B9"/>
    <w:rsid w:val="133D1120"/>
    <w:rsid w:val="133D7B22"/>
    <w:rsid w:val="133E2072"/>
    <w:rsid w:val="133E6515"/>
    <w:rsid w:val="13407A72"/>
    <w:rsid w:val="13413278"/>
    <w:rsid w:val="13427DB4"/>
    <w:rsid w:val="134445E9"/>
    <w:rsid w:val="13451652"/>
    <w:rsid w:val="13465FE5"/>
    <w:rsid w:val="13491142"/>
    <w:rsid w:val="134976C3"/>
    <w:rsid w:val="134B5AB7"/>
    <w:rsid w:val="134D4769"/>
    <w:rsid w:val="134D7D82"/>
    <w:rsid w:val="1356560D"/>
    <w:rsid w:val="13583667"/>
    <w:rsid w:val="135A334F"/>
    <w:rsid w:val="135A376A"/>
    <w:rsid w:val="135F0966"/>
    <w:rsid w:val="136123B4"/>
    <w:rsid w:val="13634CEF"/>
    <w:rsid w:val="136353E3"/>
    <w:rsid w:val="13643322"/>
    <w:rsid w:val="136743F4"/>
    <w:rsid w:val="1369319F"/>
    <w:rsid w:val="136E0BA9"/>
    <w:rsid w:val="136E6DFB"/>
    <w:rsid w:val="13700FB7"/>
    <w:rsid w:val="13720B82"/>
    <w:rsid w:val="13765CAF"/>
    <w:rsid w:val="137B1518"/>
    <w:rsid w:val="137B2AD9"/>
    <w:rsid w:val="137D703E"/>
    <w:rsid w:val="137F2DB6"/>
    <w:rsid w:val="138021EB"/>
    <w:rsid w:val="1380715C"/>
    <w:rsid w:val="13820155"/>
    <w:rsid w:val="138249BC"/>
    <w:rsid w:val="1383709F"/>
    <w:rsid w:val="138637FD"/>
    <w:rsid w:val="13893638"/>
    <w:rsid w:val="138A5A29"/>
    <w:rsid w:val="138D1297"/>
    <w:rsid w:val="139045D1"/>
    <w:rsid w:val="13912AE9"/>
    <w:rsid w:val="13916645"/>
    <w:rsid w:val="13946135"/>
    <w:rsid w:val="13951726"/>
    <w:rsid w:val="139576C2"/>
    <w:rsid w:val="13971B77"/>
    <w:rsid w:val="139920A6"/>
    <w:rsid w:val="139D148E"/>
    <w:rsid w:val="139E0D62"/>
    <w:rsid w:val="13A20852"/>
    <w:rsid w:val="13A22600"/>
    <w:rsid w:val="13A24CF6"/>
    <w:rsid w:val="13A52C2F"/>
    <w:rsid w:val="13A91C4A"/>
    <w:rsid w:val="13B14F39"/>
    <w:rsid w:val="13B87F8B"/>
    <w:rsid w:val="13BA06E0"/>
    <w:rsid w:val="13BB1914"/>
    <w:rsid w:val="13BE5548"/>
    <w:rsid w:val="13C00483"/>
    <w:rsid w:val="13CA1C9E"/>
    <w:rsid w:val="13CA2766"/>
    <w:rsid w:val="13CB4963"/>
    <w:rsid w:val="13CC1D73"/>
    <w:rsid w:val="13D11138"/>
    <w:rsid w:val="13D9618F"/>
    <w:rsid w:val="13DA7BC9"/>
    <w:rsid w:val="13E1620E"/>
    <w:rsid w:val="13E32A76"/>
    <w:rsid w:val="13E452F0"/>
    <w:rsid w:val="13E670CA"/>
    <w:rsid w:val="13E83184"/>
    <w:rsid w:val="13E918B6"/>
    <w:rsid w:val="13EB3FA7"/>
    <w:rsid w:val="13EE0724"/>
    <w:rsid w:val="13F25F1E"/>
    <w:rsid w:val="13F41CA4"/>
    <w:rsid w:val="13F912AF"/>
    <w:rsid w:val="13FD4EE8"/>
    <w:rsid w:val="140249D3"/>
    <w:rsid w:val="14045069"/>
    <w:rsid w:val="140E48EE"/>
    <w:rsid w:val="14116D82"/>
    <w:rsid w:val="14117786"/>
    <w:rsid w:val="141561C5"/>
    <w:rsid w:val="141A488D"/>
    <w:rsid w:val="141B4A8A"/>
    <w:rsid w:val="141F475E"/>
    <w:rsid w:val="14202866"/>
    <w:rsid w:val="14204B39"/>
    <w:rsid w:val="14215943"/>
    <w:rsid w:val="14232BF3"/>
    <w:rsid w:val="14244083"/>
    <w:rsid w:val="142474B9"/>
    <w:rsid w:val="142950D4"/>
    <w:rsid w:val="142A61B5"/>
    <w:rsid w:val="142E0338"/>
    <w:rsid w:val="142E3666"/>
    <w:rsid w:val="142E671E"/>
    <w:rsid w:val="14321AB7"/>
    <w:rsid w:val="14327E28"/>
    <w:rsid w:val="143771ED"/>
    <w:rsid w:val="14396509"/>
    <w:rsid w:val="143C2A55"/>
    <w:rsid w:val="143C4803"/>
    <w:rsid w:val="143D04CE"/>
    <w:rsid w:val="143D6517"/>
    <w:rsid w:val="14410C66"/>
    <w:rsid w:val="144116FF"/>
    <w:rsid w:val="14465F8D"/>
    <w:rsid w:val="144A05E1"/>
    <w:rsid w:val="144A310D"/>
    <w:rsid w:val="144E4536"/>
    <w:rsid w:val="14500797"/>
    <w:rsid w:val="14575AE1"/>
    <w:rsid w:val="14601520"/>
    <w:rsid w:val="146632DD"/>
    <w:rsid w:val="146751D1"/>
    <w:rsid w:val="14681A9C"/>
    <w:rsid w:val="146855F8"/>
    <w:rsid w:val="146B48FF"/>
    <w:rsid w:val="146F54C2"/>
    <w:rsid w:val="14777F31"/>
    <w:rsid w:val="147F2942"/>
    <w:rsid w:val="147F5AF4"/>
    <w:rsid w:val="1480502E"/>
    <w:rsid w:val="1482435B"/>
    <w:rsid w:val="14842ADA"/>
    <w:rsid w:val="1484626C"/>
    <w:rsid w:val="1485452F"/>
    <w:rsid w:val="148701EE"/>
    <w:rsid w:val="148B7D2F"/>
    <w:rsid w:val="148E2195"/>
    <w:rsid w:val="14927C85"/>
    <w:rsid w:val="14942A1F"/>
    <w:rsid w:val="149553FE"/>
    <w:rsid w:val="149A3C1F"/>
    <w:rsid w:val="149C7998"/>
    <w:rsid w:val="149E202D"/>
    <w:rsid w:val="149E4616"/>
    <w:rsid w:val="149F46E6"/>
    <w:rsid w:val="14A14A83"/>
    <w:rsid w:val="14A2676D"/>
    <w:rsid w:val="14A44139"/>
    <w:rsid w:val="14A53E9C"/>
    <w:rsid w:val="14A60EAE"/>
    <w:rsid w:val="14A81E98"/>
    <w:rsid w:val="14AD5701"/>
    <w:rsid w:val="14AE3227"/>
    <w:rsid w:val="14AF530F"/>
    <w:rsid w:val="14B00D4D"/>
    <w:rsid w:val="14B44CE1"/>
    <w:rsid w:val="14B7032D"/>
    <w:rsid w:val="14B74B4D"/>
    <w:rsid w:val="14BD45AD"/>
    <w:rsid w:val="14BE346A"/>
    <w:rsid w:val="14BF70E0"/>
    <w:rsid w:val="14C02376"/>
    <w:rsid w:val="14C15ED1"/>
    <w:rsid w:val="14C65291"/>
    <w:rsid w:val="14C667C2"/>
    <w:rsid w:val="14CC1208"/>
    <w:rsid w:val="14CE1951"/>
    <w:rsid w:val="14CE4A71"/>
    <w:rsid w:val="14CE4AB6"/>
    <w:rsid w:val="14CE7645"/>
    <w:rsid w:val="14D0311E"/>
    <w:rsid w:val="14D503F2"/>
    <w:rsid w:val="14DD2C3C"/>
    <w:rsid w:val="14E06F5F"/>
    <w:rsid w:val="14E3763A"/>
    <w:rsid w:val="14E7163D"/>
    <w:rsid w:val="14E91FEC"/>
    <w:rsid w:val="14EA425F"/>
    <w:rsid w:val="14EB1DDB"/>
    <w:rsid w:val="14ED72C8"/>
    <w:rsid w:val="14F31658"/>
    <w:rsid w:val="14F43A4C"/>
    <w:rsid w:val="14F70F38"/>
    <w:rsid w:val="14F9424D"/>
    <w:rsid w:val="14FA39C1"/>
    <w:rsid w:val="14FA7677"/>
    <w:rsid w:val="14FB646C"/>
    <w:rsid w:val="14FB6BE0"/>
    <w:rsid w:val="14FE13EC"/>
    <w:rsid w:val="14FE3C03"/>
    <w:rsid w:val="14FE5F5C"/>
    <w:rsid w:val="15054238"/>
    <w:rsid w:val="1505553D"/>
    <w:rsid w:val="150717C8"/>
    <w:rsid w:val="15086DDB"/>
    <w:rsid w:val="150942F6"/>
    <w:rsid w:val="150A4901"/>
    <w:rsid w:val="150B2DE7"/>
    <w:rsid w:val="150C463E"/>
    <w:rsid w:val="150E2B9F"/>
    <w:rsid w:val="150F0169"/>
    <w:rsid w:val="150F3CC6"/>
    <w:rsid w:val="15105E8B"/>
    <w:rsid w:val="15106414"/>
    <w:rsid w:val="15132841"/>
    <w:rsid w:val="151614F8"/>
    <w:rsid w:val="15170B31"/>
    <w:rsid w:val="151A0163"/>
    <w:rsid w:val="151B08BC"/>
    <w:rsid w:val="151D1E28"/>
    <w:rsid w:val="151D7CE1"/>
    <w:rsid w:val="15202377"/>
    <w:rsid w:val="152534E9"/>
    <w:rsid w:val="152732AD"/>
    <w:rsid w:val="152C1913"/>
    <w:rsid w:val="1535481E"/>
    <w:rsid w:val="1537321C"/>
    <w:rsid w:val="153B246F"/>
    <w:rsid w:val="15470103"/>
    <w:rsid w:val="15532C0C"/>
    <w:rsid w:val="155362A8"/>
    <w:rsid w:val="15565D98"/>
    <w:rsid w:val="15575425"/>
    <w:rsid w:val="155B17BB"/>
    <w:rsid w:val="155E51F8"/>
    <w:rsid w:val="155E69FB"/>
    <w:rsid w:val="15610F86"/>
    <w:rsid w:val="15632263"/>
    <w:rsid w:val="1568692E"/>
    <w:rsid w:val="156A1FA9"/>
    <w:rsid w:val="156C1313"/>
    <w:rsid w:val="156E5191"/>
    <w:rsid w:val="156E7B1C"/>
    <w:rsid w:val="157062F0"/>
    <w:rsid w:val="1570765E"/>
    <w:rsid w:val="157601E9"/>
    <w:rsid w:val="157C029C"/>
    <w:rsid w:val="157D3325"/>
    <w:rsid w:val="15806971"/>
    <w:rsid w:val="15840859"/>
    <w:rsid w:val="158B255F"/>
    <w:rsid w:val="158B5144"/>
    <w:rsid w:val="158C1DA8"/>
    <w:rsid w:val="15932B49"/>
    <w:rsid w:val="159424EE"/>
    <w:rsid w:val="159757C2"/>
    <w:rsid w:val="15994950"/>
    <w:rsid w:val="15997A33"/>
    <w:rsid w:val="159D5775"/>
    <w:rsid w:val="15A11F64"/>
    <w:rsid w:val="15A17689"/>
    <w:rsid w:val="15A22D8C"/>
    <w:rsid w:val="15A95F78"/>
    <w:rsid w:val="15AF1999"/>
    <w:rsid w:val="15AF2EC6"/>
    <w:rsid w:val="15AF54A9"/>
    <w:rsid w:val="15B34F99"/>
    <w:rsid w:val="15B825AF"/>
    <w:rsid w:val="15B91E83"/>
    <w:rsid w:val="15BC53AA"/>
    <w:rsid w:val="15BD2098"/>
    <w:rsid w:val="15BF20F0"/>
    <w:rsid w:val="15C23F19"/>
    <w:rsid w:val="15C61090"/>
    <w:rsid w:val="15C834E4"/>
    <w:rsid w:val="15CA5987"/>
    <w:rsid w:val="15CA6C61"/>
    <w:rsid w:val="15CC1BB7"/>
    <w:rsid w:val="15CD0806"/>
    <w:rsid w:val="15CE0E02"/>
    <w:rsid w:val="15D038E8"/>
    <w:rsid w:val="15D03F7F"/>
    <w:rsid w:val="15D3472B"/>
    <w:rsid w:val="15D416FF"/>
    <w:rsid w:val="15D65821"/>
    <w:rsid w:val="15D849FF"/>
    <w:rsid w:val="15D90B73"/>
    <w:rsid w:val="15DA1E32"/>
    <w:rsid w:val="15DB61A8"/>
    <w:rsid w:val="15DF5D8E"/>
    <w:rsid w:val="15E67FF2"/>
    <w:rsid w:val="15E74C42"/>
    <w:rsid w:val="15EA028F"/>
    <w:rsid w:val="15EA18AC"/>
    <w:rsid w:val="15EE08AE"/>
    <w:rsid w:val="15F05802"/>
    <w:rsid w:val="15F27F6A"/>
    <w:rsid w:val="15F31A2C"/>
    <w:rsid w:val="15F630D7"/>
    <w:rsid w:val="15F70994"/>
    <w:rsid w:val="15F7463D"/>
    <w:rsid w:val="15F76DDC"/>
    <w:rsid w:val="15F82B4C"/>
    <w:rsid w:val="15F92BFD"/>
    <w:rsid w:val="15FA5D2F"/>
    <w:rsid w:val="15FA7D7D"/>
    <w:rsid w:val="15FB1CD2"/>
    <w:rsid w:val="15FB7B67"/>
    <w:rsid w:val="15FE6A06"/>
    <w:rsid w:val="15FF6626"/>
    <w:rsid w:val="16027CCE"/>
    <w:rsid w:val="16043617"/>
    <w:rsid w:val="16060CCA"/>
    <w:rsid w:val="16070EEA"/>
    <w:rsid w:val="16073102"/>
    <w:rsid w:val="160752E5"/>
    <w:rsid w:val="16077D6F"/>
    <w:rsid w:val="16087E1D"/>
    <w:rsid w:val="16092E0B"/>
    <w:rsid w:val="160933D3"/>
    <w:rsid w:val="16096967"/>
    <w:rsid w:val="160C55D9"/>
    <w:rsid w:val="160D048F"/>
    <w:rsid w:val="160D0508"/>
    <w:rsid w:val="160F7CF5"/>
    <w:rsid w:val="16111CBF"/>
    <w:rsid w:val="16127599"/>
    <w:rsid w:val="161727D5"/>
    <w:rsid w:val="161767F2"/>
    <w:rsid w:val="16181094"/>
    <w:rsid w:val="161B48EC"/>
    <w:rsid w:val="161B6447"/>
    <w:rsid w:val="16204FC8"/>
    <w:rsid w:val="162163A6"/>
    <w:rsid w:val="16255D09"/>
    <w:rsid w:val="16286073"/>
    <w:rsid w:val="162E2871"/>
    <w:rsid w:val="163360DA"/>
    <w:rsid w:val="163776D8"/>
    <w:rsid w:val="16382C8B"/>
    <w:rsid w:val="16395629"/>
    <w:rsid w:val="163B30E6"/>
    <w:rsid w:val="164314E6"/>
    <w:rsid w:val="16441FD3"/>
    <w:rsid w:val="16443E43"/>
    <w:rsid w:val="16453F62"/>
    <w:rsid w:val="16466E55"/>
    <w:rsid w:val="16481B85"/>
    <w:rsid w:val="16524F24"/>
    <w:rsid w:val="16571DC8"/>
    <w:rsid w:val="16587230"/>
    <w:rsid w:val="16592C50"/>
    <w:rsid w:val="16603147"/>
    <w:rsid w:val="1663076D"/>
    <w:rsid w:val="16697540"/>
    <w:rsid w:val="166F3C31"/>
    <w:rsid w:val="16702E8A"/>
    <w:rsid w:val="16705C3E"/>
    <w:rsid w:val="16777D74"/>
    <w:rsid w:val="167937E5"/>
    <w:rsid w:val="167F30CD"/>
    <w:rsid w:val="168129A1"/>
    <w:rsid w:val="16816E45"/>
    <w:rsid w:val="16870D8E"/>
    <w:rsid w:val="168D7397"/>
    <w:rsid w:val="168F6536"/>
    <w:rsid w:val="16941643"/>
    <w:rsid w:val="169548A2"/>
    <w:rsid w:val="169C23CE"/>
    <w:rsid w:val="169F551D"/>
    <w:rsid w:val="16A0051E"/>
    <w:rsid w:val="16A35DCC"/>
    <w:rsid w:val="16A379F8"/>
    <w:rsid w:val="16A51BF1"/>
    <w:rsid w:val="16A74974"/>
    <w:rsid w:val="16A81E46"/>
    <w:rsid w:val="16B20DAC"/>
    <w:rsid w:val="16B27B85"/>
    <w:rsid w:val="16B40FC8"/>
    <w:rsid w:val="16BC27D2"/>
    <w:rsid w:val="16C05239"/>
    <w:rsid w:val="16C22A80"/>
    <w:rsid w:val="16C677C1"/>
    <w:rsid w:val="16C678A1"/>
    <w:rsid w:val="16C71D32"/>
    <w:rsid w:val="16C76BDA"/>
    <w:rsid w:val="16CA1F60"/>
    <w:rsid w:val="16D01B7A"/>
    <w:rsid w:val="16D43419"/>
    <w:rsid w:val="16D927DD"/>
    <w:rsid w:val="16DB304D"/>
    <w:rsid w:val="16DB77CE"/>
    <w:rsid w:val="16E12658"/>
    <w:rsid w:val="16E53DFE"/>
    <w:rsid w:val="16E6314C"/>
    <w:rsid w:val="16E70ECC"/>
    <w:rsid w:val="16E802DA"/>
    <w:rsid w:val="16E96950"/>
    <w:rsid w:val="16EA26B9"/>
    <w:rsid w:val="16EB42BE"/>
    <w:rsid w:val="16EC6CA3"/>
    <w:rsid w:val="16EF4043"/>
    <w:rsid w:val="16F05D79"/>
    <w:rsid w:val="16F20B32"/>
    <w:rsid w:val="16F24B29"/>
    <w:rsid w:val="16F41556"/>
    <w:rsid w:val="16F430DB"/>
    <w:rsid w:val="16F45869"/>
    <w:rsid w:val="16F70EB5"/>
    <w:rsid w:val="16F72C63"/>
    <w:rsid w:val="16FA5F36"/>
    <w:rsid w:val="16FF078C"/>
    <w:rsid w:val="16FF7D3A"/>
    <w:rsid w:val="17007FF1"/>
    <w:rsid w:val="17066B2D"/>
    <w:rsid w:val="170671B4"/>
    <w:rsid w:val="17067BF9"/>
    <w:rsid w:val="17081314"/>
    <w:rsid w:val="17097B07"/>
    <w:rsid w:val="170A0BE8"/>
    <w:rsid w:val="170A2B19"/>
    <w:rsid w:val="170B4961"/>
    <w:rsid w:val="17125CEF"/>
    <w:rsid w:val="17150879"/>
    <w:rsid w:val="17164925"/>
    <w:rsid w:val="171801EE"/>
    <w:rsid w:val="171A3531"/>
    <w:rsid w:val="171D1732"/>
    <w:rsid w:val="171E6442"/>
    <w:rsid w:val="171F352D"/>
    <w:rsid w:val="1720040C"/>
    <w:rsid w:val="172016ED"/>
    <w:rsid w:val="17233577"/>
    <w:rsid w:val="172774C3"/>
    <w:rsid w:val="172A128B"/>
    <w:rsid w:val="17312619"/>
    <w:rsid w:val="17334527"/>
    <w:rsid w:val="17342109"/>
    <w:rsid w:val="173619DD"/>
    <w:rsid w:val="17365E81"/>
    <w:rsid w:val="1737390E"/>
    <w:rsid w:val="173F76D0"/>
    <w:rsid w:val="174324EB"/>
    <w:rsid w:val="17435EA8"/>
    <w:rsid w:val="17451C21"/>
    <w:rsid w:val="174650D0"/>
    <w:rsid w:val="17481F5C"/>
    <w:rsid w:val="17485BB5"/>
    <w:rsid w:val="174F0CF1"/>
    <w:rsid w:val="175207E1"/>
    <w:rsid w:val="175273C7"/>
    <w:rsid w:val="1753670C"/>
    <w:rsid w:val="17537D79"/>
    <w:rsid w:val="17587EA8"/>
    <w:rsid w:val="17591360"/>
    <w:rsid w:val="175B58E8"/>
    <w:rsid w:val="175D4030"/>
    <w:rsid w:val="17686265"/>
    <w:rsid w:val="176A78D9"/>
    <w:rsid w:val="176C5C53"/>
    <w:rsid w:val="176F5FC2"/>
    <w:rsid w:val="17701D14"/>
    <w:rsid w:val="177249E0"/>
    <w:rsid w:val="17727CEB"/>
    <w:rsid w:val="17735226"/>
    <w:rsid w:val="17754A15"/>
    <w:rsid w:val="177574E1"/>
    <w:rsid w:val="177917AB"/>
    <w:rsid w:val="177B4B59"/>
    <w:rsid w:val="177C4A0A"/>
    <w:rsid w:val="177E0DFE"/>
    <w:rsid w:val="177E53C2"/>
    <w:rsid w:val="177F6134"/>
    <w:rsid w:val="178354E6"/>
    <w:rsid w:val="17870002"/>
    <w:rsid w:val="17872239"/>
    <w:rsid w:val="1787450E"/>
    <w:rsid w:val="1789509E"/>
    <w:rsid w:val="178F2401"/>
    <w:rsid w:val="178F478E"/>
    <w:rsid w:val="17900CEE"/>
    <w:rsid w:val="17953E2F"/>
    <w:rsid w:val="17955458"/>
    <w:rsid w:val="17993285"/>
    <w:rsid w:val="179B5CE4"/>
    <w:rsid w:val="179E3A27"/>
    <w:rsid w:val="179E5847"/>
    <w:rsid w:val="17A35D66"/>
    <w:rsid w:val="17A67F2D"/>
    <w:rsid w:val="17AA3BEE"/>
    <w:rsid w:val="17AA4179"/>
    <w:rsid w:val="17B06638"/>
    <w:rsid w:val="17B1305C"/>
    <w:rsid w:val="17B24236"/>
    <w:rsid w:val="17B608AF"/>
    <w:rsid w:val="17C23271"/>
    <w:rsid w:val="17C349C7"/>
    <w:rsid w:val="17C35C28"/>
    <w:rsid w:val="17C7251A"/>
    <w:rsid w:val="17C87161"/>
    <w:rsid w:val="17C90AA4"/>
    <w:rsid w:val="17C97A33"/>
    <w:rsid w:val="17CB262F"/>
    <w:rsid w:val="17D61EA2"/>
    <w:rsid w:val="17DC18F0"/>
    <w:rsid w:val="17DC448B"/>
    <w:rsid w:val="17DF6B30"/>
    <w:rsid w:val="17DF779A"/>
    <w:rsid w:val="17E55C42"/>
    <w:rsid w:val="17E56F60"/>
    <w:rsid w:val="17E62C77"/>
    <w:rsid w:val="17E84D69"/>
    <w:rsid w:val="17E904B8"/>
    <w:rsid w:val="17EB6C6C"/>
    <w:rsid w:val="17EE5606"/>
    <w:rsid w:val="17EF46E5"/>
    <w:rsid w:val="17F16E39"/>
    <w:rsid w:val="17F17FFA"/>
    <w:rsid w:val="17F27375"/>
    <w:rsid w:val="17F4231E"/>
    <w:rsid w:val="17F5177A"/>
    <w:rsid w:val="17F52ABD"/>
    <w:rsid w:val="17F664F3"/>
    <w:rsid w:val="17F81B7E"/>
    <w:rsid w:val="17FD699F"/>
    <w:rsid w:val="17FF44C5"/>
    <w:rsid w:val="1802036C"/>
    <w:rsid w:val="18041AC7"/>
    <w:rsid w:val="1806081C"/>
    <w:rsid w:val="1807759E"/>
    <w:rsid w:val="18117D55"/>
    <w:rsid w:val="18131D1F"/>
    <w:rsid w:val="18155DF0"/>
    <w:rsid w:val="181635BD"/>
    <w:rsid w:val="18176B20"/>
    <w:rsid w:val="181810E3"/>
    <w:rsid w:val="18182BEB"/>
    <w:rsid w:val="181E53AA"/>
    <w:rsid w:val="1820443C"/>
    <w:rsid w:val="182145DD"/>
    <w:rsid w:val="1824217E"/>
    <w:rsid w:val="18256622"/>
    <w:rsid w:val="18271C92"/>
    <w:rsid w:val="182B1D93"/>
    <w:rsid w:val="182E4DF4"/>
    <w:rsid w:val="182F4C92"/>
    <w:rsid w:val="18303CBB"/>
    <w:rsid w:val="1830446D"/>
    <w:rsid w:val="183209B5"/>
    <w:rsid w:val="183637E2"/>
    <w:rsid w:val="18375B73"/>
    <w:rsid w:val="18381C94"/>
    <w:rsid w:val="183B127D"/>
    <w:rsid w:val="183B6DB6"/>
    <w:rsid w:val="183C3336"/>
    <w:rsid w:val="183F2B14"/>
    <w:rsid w:val="18407EA5"/>
    <w:rsid w:val="1841463C"/>
    <w:rsid w:val="18450247"/>
    <w:rsid w:val="18487E7F"/>
    <w:rsid w:val="184B4E23"/>
    <w:rsid w:val="184C4678"/>
    <w:rsid w:val="184C6FDF"/>
    <w:rsid w:val="184E71FB"/>
    <w:rsid w:val="1852049A"/>
    <w:rsid w:val="1852245C"/>
    <w:rsid w:val="18585984"/>
    <w:rsid w:val="185A3ADE"/>
    <w:rsid w:val="185A775D"/>
    <w:rsid w:val="18642C95"/>
    <w:rsid w:val="18665705"/>
    <w:rsid w:val="186B66AB"/>
    <w:rsid w:val="187327BD"/>
    <w:rsid w:val="18743977"/>
    <w:rsid w:val="1875670A"/>
    <w:rsid w:val="187A1FE6"/>
    <w:rsid w:val="18816F98"/>
    <w:rsid w:val="18831547"/>
    <w:rsid w:val="188511FA"/>
    <w:rsid w:val="18860743"/>
    <w:rsid w:val="18884C1A"/>
    <w:rsid w:val="188A3191"/>
    <w:rsid w:val="188B5919"/>
    <w:rsid w:val="188E4CE1"/>
    <w:rsid w:val="188F7EF6"/>
    <w:rsid w:val="189015C1"/>
    <w:rsid w:val="18950986"/>
    <w:rsid w:val="18952734"/>
    <w:rsid w:val="189664AC"/>
    <w:rsid w:val="18983DCC"/>
    <w:rsid w:val="18991B4E"/>
    <w:rsid w:val="189920A5"/>
    <w:rsid w:val="189D2BDA"/>
    <w:rsid w:val="189D4D0E"/>
    <w:rsid w:val="189D7A20"/>
    <w:rsid w:val="189F624C"/>
    <w:rsid w:val="18A40BC9"/>
    <w:rsid w:val="18A478A8"/>
    <w:rsid w:val="18A56251"/>
    <w:rsid w:val="18A60DE5"/>
    <w:rsid w:val="18A754B2"/>
    <w:rsid w:val="18AE37F5"/>
    <w:rsid w:val="18AE3A18"/>
    <w:rsid w:val="18B028F2"/>
    <w:rsid w:val="18B07A55"/>
    <w:rsid w:val="18B4270C"/>
    <w:rsid w:val="18B617E7"/>
    <w:rsid w:val="18B708FC"/>
    <w:rsid w:val="18BA49DA"/>
    <w:rsid w:val="18C51370"/>
    <w:rsid w:val="18C8736D"/>
    <w:rsid w:val="18CC2760"/>
    <w:rsid w:val="18CE2803"/>
    <w:rsid w:val="18D10255"/>
    <w:rsid w:val="18D10D95"/>
    <w:rsid w:val="18D25736"/>
    <w:rsid w:val="18D25D3C"/>
    <w:rsid w:val="18D37C16"/>
    <w:rsid w:val="18D45952"/>
    <w:rsid w:val="18D851B5"/>
    <w:rsid w:val="18D97E3B"/>
    <w:rsid w:val="18DB409D"/>
    <w:rsid w:val="18DD37FB"/>
    <w:rsid w:val="18DF7E53"/>
    <w:rsid w:val="18E107B6"/>
    <w:rsid w:val="18E72B38"/>
    <w:rsid w:val="18E831AB"/>
    <w:rsid w:val="18E90CD1"/>
    <w:rsid w:val="18EA56D1"/>
    <w:rsid w:val="18ED2E08"/>
    <w:rsid w:val="18ED4BE6"/>
    <w:rsid w:val="18F32CCF"/>
    <w:rsid w:val="18F356AC"/>
    <w:rsid w:val="18F51424"/>
    <w:rsid w:val="18F552E3"/>
    <w:rsid w:val="18F9614C"/>
    <w:rsid w:val="18FA0FDC"/>
    <w:rsid w:val="18FC2175"/>
    <w:rsid w:val="18FF2F37"/>
    <w:rsid w:val="18FF3077"/>
    <w:rsid w:val="19004335"/>
    <w:rsid w:val="19014ACA"/>
    <w:rsid w:val="19017DC9"/>
    <w:rsid w:val="19032E20"/>
    <w:rsid w:val="19046B90"/>
    <w:rsid w:val="19046D46"/>
    <w:rsid w:val="190568B9"/>
    <w:rsid w:val="190F0738"/>
    <w:rsid w:val="190F687E"/>
    <w:rsid w:val="19152886"/>
    <w:rsid w:val="19154B0C"/>
    <w:rsid w:val="19194749"/>
    <w:rsid w:val="191A283A"/>
    <w:rsid w:val="191A3096"/>
    <w:rsid w:val="191F46F3"/>
    <w:rsid w:val="191F64A1"/>
    <w:rsid w:val="19205339"/>
    <w:rsid w:val="19222A2D"/>
    <w:rsid w:val="19247A7B"/>
    <w:rsid w:val="192501A9"/>
    <w:rsid w:val="192817FA"/>
    <w:rsid w:val="192B7464"/>
    <w:rsid w:val="192F260A"/>
    <w:rsid w:val="192F5006"/>
    <w:rsid w:val="193217B9"/>
    <w:rsid w:val="19322678"/>
    <w:rsid w:val="19341F4D"/>
    <w:rsid w:val="19376461"/>
    <w:rsid w:val="193B5E3E"/>
    <w:rsid w:val="193C23DA"/>
    <w:rsid w:val="193D02BF"/>
    <w:rsid w:val="193E1F39"/>
    <w:rsid w:val="193E68D8"/>
    <w:rsid w:val="193F4E9F"/>
    <w:rsid w:val="19404D95"/>
    <w:rsid w:val="19434010"/>
    <w:rsid w:val="1945328B"/>
    <w:rsid w:val="1945787B"/>
    <w:rsid w:val="19462677"/>
    <w:rsid w:val="194C3D23"/>
    <w:rsid w:val="19514257"/>
    <w:rsid w:val="19516FA3"/>
    <w:rsid w:val="195C76F5"/>
    <w:rsid w:val="195E6FCA"/>
    <w:rsid w:val="19651B2C"/>
    <w:rsid w:val="19651BEC"/>
    <w:rsid w:val="196A1AB7"/>
    <w:rsid w:val="196A319C"/>
    <w:rsid w:val="196B0D46"/>
    <w:rsid w:val="196C5B8A"/>
    <w:rsid w:val="196E71DC"/>
    <w:rsid w:val="19740538"/>
    <w:rsid w:val="19780EE1"/>
    <w:rsid w:val="197B0BEB"/>
    <w:rsid w:val="1980089F"/>
    <w:rsid w:val="19805192"/>
    <w:rsid w:val="19862772"/>
    <w:rsid w:val="19894442"/>
    <w:rsid w:val="198A4263"/>
    <w:rsid w:val="1991739F"/>
    <w:rsid w:val="19950EA8"/>
    <w:rsid w:val="1997072D"/>
    <w:rsid w:val="199919A7"/>
    <w:rsid w:val="199E5DC5"/>
    <w:rsid w:val="19A1335A"/>
    <w:rsid w:val="19A33E41"/>
    <w:rsid w:val="19A902B2"/>
    <w:rsid w:val="19A9564B"/>
    <w:rsid w:val="19AA220F"/>
    <w:rsid w:val="19AD656E"/>
    <w:rsid w:val="19AF1F1B"/>
    <w:rsid w:val="19B117EF"/>
    <w:rsid w:val="19B122C8"/>
    <w:rsid w:val="19B250D3"/>
    <w:rsid w:val="19B32B29"/>
    <w:rsid w:val="19B34546"/>
    <w:rsid w:val="19B97804"/>
    <w:rsid w:val="19C02D6F"/>
    <w:rsid w:val="19C10A24"/>
    <w:rsid w:val="19C5529B"/>
    <w:rsid w:val="19C67714"/>
    <w:rsid w:val="19C850EB"/>
    <w:rsid w:val="19C86A0C"/>
    <w:rsid w:val="19CC629C"/>
    <w:rsid w:val="19CC710F"/>
    <w:rsid w:val="19CE05F3"/>
    <w:rsid w:val="19D50A61"/>
    <w:rsid w:val="19D572A1"/>
    <w:rsid w:val="19D77F30"/>
    <w:rsid w:val="19D8128E"/>
    <w:rsid w:val="19DB061A"/>
    <w:rsid w:val="19DE29C4"/>
    <w:rsid w:val="19DF187E"/>
    <w:rsid w:val="19E03E83"/>
    <w:rsid w:val="19E27BFB"/>
    <w:rsid w:val="19E3613F"/>
    <w:rsid w:val="19E51499"/>
    <w:rsid w:val="19E707CC"/>
    <w:rsid w:val="19EB686E"/>
    <w:rsid w:val="19EB6940"/>
    <w:rsid w:val="19EE2A43"/>
    <w:rsid w:val="19F11DE2"/>
    <w:rsid w:val="19F415BB"/>
    <w:rsid w:val="19F65454"/>
    <w:rsid w:val="19F94C96"/>
    <w:rsid w:val="19FB2187"/>
    <w:rsid w:val="19FB493F"/>
    <w:rsid w:val="19FC6162"/>
    <w:rsid w:val="19FD2C86"/>
    <w:rsid w:val="19FD48D6"/>
    <w:rsid w:val="19FD67E3"/>
    <w:rsid w:val="19FF615F"/>
    <w:rsid w:val="1A0305C8"/>
    <w:rsid w:val="1A050756"/>
    <w:rsid w:val="1A0A53A3"/>
    <w:rsid w:val="1A0B053B"/>
    <w:rsid w:val="1A0C2EC9"/>
    <w:rsid w:val="1A0D4AD8"/>
    <w:rsid w:val="1A1520AE"/>
    <w:rsid w:val="1A165800"/>
    <w:rsid w:val="1A1678A4"/>
    <w:rsid w:val="1A171D61"/>
    <w:rsid w:val="1A187F41"/>
    <w:rsid w:val="1A1B4EBB"/>
    <w:rsid w:val="1A1C66C0"/>
    <w:rsid w:val="1A1F2BFD"/>
    <w:rsid w:val="1A1F512C"/>
    <w:rsid w:val="1A200067"/>
    <w:rsid w:val="1A2303C8"/>
    <w:rsid w:val="1A297E6F"/>
    <w:rsid w:val="1A2A07C2"/>
    <w:rsid w:val="1A2A56ED"/>
    <w:rsid w:val="1A2A6A3F"/>
    <w:rsid w:val="1A2C7EE6"/>
    <w:rsid w:val="1A310B82"/>
    <w:rsid w:val="1A332833"/>
    <w:rsid w:val="1A3348FA"/>
    <w:rsid w:val="1A383DEA"/>
    <w:rsid w:val="1A390476"/>
    <w:rsid w:val="1A3D1A5B"/>
    <w:rsid w:val="1A3E13E6"/>
    <w:rsid w:val="1A3F504D"/>
    <w:rsid w:val="1A4109B4"/>
    <w:rsid w:val="1A42393B"/>
    <w:rsid w:val="1A4632D7"/>
    <w:rsid w:val="1A463AE0"/>
    <w:rsid w:val="1A4641EE"/>
    <w:rsid w:val="1A4B50F8"/>
    <w:rsid w:val="1A4D37CE"/>
    <w:rsid w:val="1A4F2969"/>
    <w:rsid w:val="1A4F2EBC"/>
    <w:rsid w:val="1A51631A"/>
    <w:rsid w:val="1A5267D5"/>
    <w:rsid w:val="1A530AF8"/>
    <w:rsid w:val="1A5328A6"/>
    <w:rsid w:val="1A554870"/>
    <w:rsid w:val="1A562397"/>
    <w:rsid w:val="1A577E42"/>
    <w:rsid w:val="1A584361"/>
    <w:rsid w:val="1A596307"/>
    <w:rsid w:val="1A5B1C4F"/>
    <w:rsid w:val="1A5F0CF1"/>
    <w:rsid w:val="1A606D71"/>
    <w:rsid w:val="1A61007E"/>
    <w:rsid w:val="1A613215"/>
    <w:rsid w:val="1A636766"/>
    <w:rsid w:val="1A646862"/>
    <w:rsid w:val="1A657E6F"/>
    <w:rsid w:val="1A667158"/>
    <w:rsid w:val="1A6745A4"/>
    <w:rsid w:val="1A6A218D"/>
    <w:rsid w:val="1A705206"/>
    <w:rsid w:val="1A721FA7"/>
    <w:rsid w:val="1A7233F6"/>
    <w:rsid w:val="1A7A42D7"/>
    <w:rsid w:val="1A7A7CE9"/>
    <w:rsid w:val="1A832DA4"/>
    <w:rsid w:val="1A8416F8"/>
    <w:rsid w:val="1A8567D8"/>
    <w:rsid w:val="1A891DA2"/>
    <w:rsid w:val="1A907657"/>
    <w:rsid w:val="1A954694"/>
    <w:rsid w:val="1A9649C1"/>
    <w:rsid w:val="1A98650B"/>
    <w:rsid w:val="1A9A0DA0"/>
    <w:rsid w:val="1A9A2283"/>
    <w:rsid w:val="1A9A6D77"/>
    <w:rsid w:val="1A9D023B"/>
    <w:rsid w:val="1A9F5AEC"/>
    <w:rsid w:val="1AA4436A"/>
    <w:rsid w:val="1AA44EB0"/>
    <w:rsid w:val="1AA54C4D"/>
    <w:rsid w:val="1AA749A0"/>
    <w:rsid w:val="1AA93A9E"/>
    <w:rsid w:val="1AAB623F"/>
    <w:rsid w:val="1AAD45DE"/>
    <w:rsid w:val="1AAD645B"/>
    <w:rsid w:val="1AAE3F81"/>
    <w:rsid w:val="1AAE4C71"/>
    <w:rsid w:val="1AAF41B2"/>
    <w:rsid w:val="1AAF5FAC"/>
    <w:rsid w:val="1AB05F4B"/>
    <w:rsid w:val="1AB570BD"/>
    <w:rsid w:val="1ABF37C4"/>
    <w:rsid w:val="1AC139A6"/>
    <w:rsid w:val="1AC271D0"/>
    <w:rsid w:val="1ACD2375"/>
    <w:rsid w:val="1ACE017F"/>
    <w:rsid w:val="1AD339E7"/>
    <w:rsid w:val="1AD35795"/>
    <w:rsid w:val="1AD46B4F"/>
    <w:rsid w:val="1AD4739F"/>
    <w:rsid w:val="1AD63A13"/>
    <w:rsid w:val="1AE21F89"/>
    <w:rsid w:val="1AE36953"/>
    <w:rsid w:val="1AE45BF4"/>
    <w:rsid w:val="1AE554CA"/>
    <w:rsid w:val="1AEB5F3A"/>
    <w:rsid w:val="1AEE0821"/>
    <w:rsid w:val="1AF0667A"/>
    <w:rsid w:val="1AF07E89"/>
    <w:rsid w:val="1AF358E9"/>
    <w:rsid w:val="1AF61FD0"/>
    <w:rsid w:val="1AF80434"/>
    <w:rsid w:val="1AF86869"/>
    <w:rsid w:val="1AFA75C7"/>
    <w:rsid w:val="1B013CB7"/>
    <w:rsid w:val="1B015D91"/>
    <w:rsid w:val="1B046F80"/>
    <w:rsid w:val="1B087B35"/>
    <w:rsid w:val="1B0A474D"/>
    <w:rsid w:val="1B0D4C89"/>
    <w:rsid w:val="1B107A8A"/>
    <w:rsid w:val="1B117F32"/>
    <w:rsid w:val="1B1262BE"/>
    <w:rsid w:val="1B140288"/>
    <w:rsid w:val="1B141348"/>
    <w:rsid w:val="1B155DAE"/>
    <w:rsid w:val="1B157B5C"/>
    <w:rsid w:val="1B197CFB"/>
    <w:rsid w:val="1B1D4C62"/>
    <w:rsid w:val="1B1E2EB4"/>
    <w:rsid w:val="1B225562"/>
    <w:rsid w:val="1B2326B0"/>
    <w:rsid w:val="1B270B09"/>
    <w:rsid w:val="1B2915DB"/>
    <w:rsid w:val="1B296C78"/>
    <w:rsid w:val="1B297880"/>
    <w:rsid w:val="1B2F36F2"/>
    <w:rsid w:val="1B305349"/>
    <w:rsid w:val="1B3267B5"/>
    <w:rsid w:val="1B34092A"/>
    <w:rsid w:val="1B35736B"/>
    <w:rsid w:val="1B364A43"/>
    <w:rsid w:val="1B3672B3"/>
    <w:rsid w:val="1B3704E7"/>
    <w:rsid w:val="1B3B1CB8"/>
    <w:rsid w:val="1B3D7186"/>
    <w:rsid w:val="1B3F2E2B"/>
    <w:rsid w:val="1B400D76"/>
    <w:rsid w:val="1B40161D"/>
    <w:rsid w:val="1B413E83"/>
    <w:rsid w:val="1B415FCD"/>
    <w:rsid w:val="1B4246EE"/>
    <w:rsid w:val="1B441859"/>
    <w:rsid w:val="1B487750"/>
    <w:rsid w:val="1B527002"/>
    <w:rsid w:val="1B5763C6"/>
    <w:rsid w:val="1B5771AB"/>
    <w:rsid w:val="1B582759"/>
    <w:rsid w:val="1B58760E"/>
    <w:rsid w:val="1B5C1C2F"/>
    <w:rsid w:val="1B5C56F7"/>
    <w:rsid w:val="1B5D6A3F"/>
    <w:rsid w:val="1B612F2D"/>
    <w:rsid w:val="1B646D7F"/>
    <w:rsid w:val="1B656D35"/>
    <w:rsid w:val="1B6603B7"/>
    <w:rsid w:val="1B6606B1"/>
    <w:rsid w:val="1B667053"/>
    <w:rsid w:val="1B6A250C"/>
    <w:rsid w:val="1B6B3C20"/>
    <w:rsid w:val="1B6F24F3"/>
    <w:rsid w:val="1B776A68"/>
    <w:rsid w:val="1B7D2CDE"/>
    <w:rsid w:val="1B7E7DF7"/>
    <w:rsid w:val="1B813443"/>
    <w:rsid w:val="1B8229A5"/>
    <w:rsid w:val="1B8550DB"/>
    <w:rsid w:val="1B886E82"/>
    <w:rsid w:val="1B8A679C"/>
    <w:rsid w:val="1B8B6070"/>
    <w:rsid w:val="1B9071E8"/>
    <w:rsid w:val="1B925650"/>
    <w:rsid w:val="1B937BE6"/>
    <w:rsid w:val="1B937BED"/>
    <w:rsid w:val="1B94273B"/>
    <w:rsid w:val="1B943177"/>
    <w:rsid w:val="1B947303"/>
    <w:rsid w:val="1B966EEF"/>
    <w:rsid w:val="1B9E3FF5"/>
    <w:rsid w:val="1B9F2E29"/>
    <w:rsid w:val="1BA07D6D"/>
    <w:rsid w:val="1BA216CC"/>
    <w:rsid w:val="1BA3160C"/>
    <w:rsid w:val="1BA977ED"/>
    <w:rsid w:val="1BAA0AF2"/>
    <w:rsid w:val="1BAA4748"/>
    <w:rsid w:val="1BAB571B"/>
    <w:rsid w:val="1BB12991"/>
    <w:rsid w:val="1BB52CDC"/>
    <w:rsid w:val="1BB81765"/>
    <w:rsid w:val="1BBA7246"/>
    <w:rsid w:val="1BBB06F1"/>
    <w:rsid w:val="1BBE6F12"/>
    <w:rsid w:val="1BBF2CD9"/>
    <w:rsid w:val="1BC15538"/>
    <w:rsid w:val="1BC55F52"/>
    <w:rsid w:val="1BCD0942"/>
    <w:rsid w:val="1BCF2401"/>
    <w:rsid w:val="1BD22E8F"/>
    <w:rsid w:val="1BD6378F"/>
    <w:rsid w:val="1BDA551F"/>
    <w:rsid w:val="1BDB409A"/>
    <w:rsid w:val="1BE340FE"/>
    <w:rsid w:val="1BE578E2"/>
    <w:rsid w:val="1BE91862"/>
    <w:rsid w:val="1BEA3119"/>
    <w:rsid w:val="1BEA548C"/>
    <w:rsid w:val="1BEC6B0F"/>
    <w:rsid w:val="1BEF6055"/>
    <w:rsid w:val="1BF43C15"/>
    <w:rsid w:val="1BF4733B"/>
    <w:rsid w:val="1BF522B5"/>
    <w:rsid w:val="1BF63E31"/>
    <w:rsid w:val="1BF72E6E"/>
    <w:rsid w:val="1BF800DA"/>
    <w:rsid w:val="1BFF7A26"/>
    <w:rsid w:val="1C004B34"/>
    <w:rsid w:val="1C005B84"/>
    <w:rsid w:val="1C0145E9"/>
    <w:rsid w:val="1C0227D6"/>
    <w:rsid w:val="1C053B84"/>
    <w:rsid w:val="1C0562EA"/>
    <w:rsid w:val="1C07165A"/>
    <w:rsid w:val="1C0A2EA0"/>
    <w:rsid w:val="1C116575"/>
    <w:rsid w:val="1C1366CD"/>
    <w:rsid w:val="1C155249"/>
    <w:rsid w:val="1C156D5D"/>
    <w:rsid w:val="1C177904"/>
    <w:rsid w:val="1C1A7A3A"/>
    <w:rsid w:val="1C1B1EB3"/>
    <w:rsid w:val="1C230AC0"/>
    <w:rsid w:val="1C246163"/>
    <w:rsid w:val="1C253579"/>
    <w:rsid w:val="1C254395"/>
    <w:rsid w:val="1C2C76AF"/>
    <w:rsid w:val="1C2D2F43"/>
    <w:rsid w:val="1C314E69"/>
    <w:rsid w:val="1C334F74"/>
    <w:rsid w:val="1C36151F"/>
    <w:rsid w:val="1C3927E6"/>
    <w:rsid w:val="1C3D380E"/>
    <w:rsid w:val="1C3E6139"/>
    <w:rsid w:val="1C405EF3"/>
    <w:rsid w:val="1C4122C0"/>
    <w:rsid w:val="1C41355E"/>
    <w:rsid w:val="1C441E8E"/>
    <w:rsid w:val="1C44694B"/>
    <w:rsid w:val="1C454471"/>
    <w:rsid w:val="1C4905E7"/>
    <w:rsid w:val="1C4A278A"/>
    <w:rsid w:val="1C4A589C"/>
    <w:rsid w:val="1C4A59C7"/>
    <w:rsid w:val="1C5A43C0"/>
    <w:rsid w:val="1C5B3333"/>
    <w:rsid w:val="1C5C6219"/>
    <w:rsid w:val="1C5D17BA"/>
    <w:rsid w:val="1C5D7A0C"/>
    <w:rsid w:val="1C5E7925"/>
    <w:rsid w:val="1C5F19D6"/>
    <w:rsid w:val="1C60027F"/>
    <w:rsid w:val="1C632B49"/>
    <w:rsid w:val="1C6A75FA"/>
    <w:rsid w:val="1C6B3E0D"/>
    <w:rsid w:val="1C6C3736"/>
    <w:rsid w:val="1C6E5776"/>
    <w:rsid w:val="1C6E7151"/>
    <w:rsid w:val="1C6E733E"/>
    <w:rsid w:val="1C7134B8"/>
    <w:rsid w:val="1C715266"/>
    <w:rsid w:val="1C723820"/>
    <w:rsid w:val="1C724D19"/>
    <w:rsid w:val="1C782AC5"/>
    <w:rsid w:val="1C7F02FF"/>
    <w:rsid w:val="1C7F6157"/>
    <w:rsid w:val="1C837C6F"/>
    <w:rsid w:val="1C8831CD"/>
    <w:rsid w:val="1C890801"/>
    <w:rsid w:val="1C896A53"/>
    <w:rsid w:val="1C8A0461"/>
    <w:rsid w:val="1C8F393E"/>
    <w:rsid w:val="1C8F7E24"/>
    <w:rsid w:val="1C931680"/>
    <w:rsid w:val="1C99656B"/>
    <w:rsid w:val="1C9B40CC"/>
    <w:rsid w:val="1C9D244A"/>
    <w:rsid w:val="1C9D24FF"/>
    <w:rsid w:val="1CA31D82"/>
    <w:rsid w:val="1CA42B29"/>
    <w:rsid w:val="1CA43439"/>
    <w:rsid w:val="1CA532CE"/>
    <w:rsid w:val="1CA72EFC"/>
    <w:rsid w:val="1CA736D3"/>
    <w:rsid w:val="1CA83640"/>
    <w:rsid w:val="1CA83A79"/>
    <w:rsid w:val="1CAC629E"/>
    <w:rsid w:val="1CAF2463"/>
    <w:rsid w:val="1CB46F25"/>
    <w:rsid w:val="1CB50FA1"/>
    <w:rsid w:val="1CB71904"/>
    <w:rsid w:val="1CB76200"/>
    <w:rsid w:val="1CBC1441"/>
    <w:rsid w:val="1CBC619A"/>
    <w:rsid w:val="1CBD5C06"/>
    <w:rsid w:val="1CBF5055"/>
    <w:rsid w:val="1CC155E3"/>
    <w:rsid w:val="1CC161ED"/>
    <w:rsid w:val="1CCB0E1A"/>
    <w:rsid w:val="1CCF06C0"/>
    <w:rsid w:val="1CD26D49"/>
    <w:rsid w:val="1CD7615D"/>
    <w:rsid w:val="1CD87093"/>
    <w:rsid w:val="1CDF6673"/>
    <w:rsid w:val="1CE119EA"/>
    <w:rsid w:val="1CE4012E"/>
    <w:rsid w:val="1CE41EDC"/>
    <w:rsid w:val="1CE44078"/>
    <w:rsid w:val="1CE57F1E"/>
    <w:rsid w:val="1CE67379"/>
    <w:rsid w:val="1CEB14BC"/>
    <w:rsid w:val="1CEF74C6"/>
    <w:rsid w:val="1CF32045"/>
    <w:rsid w:val="1CF50C6A"/>
    <w:rsid w:val="1CFB3CB2"/>
    <w:rsid w:val="1CFD070F"/>
    <w:rsid w:val="1CFE4764"/>
    <w:rsid w:val="1CFF6A68"/>
    <w:rsid w:val="1CFF7AB5"/>
    <w:rsid w:val="1D013333"/>
    <w:rsid w:val="1D04432C"/>
    <w:rsid w:val="1D061E52"/>
    <w:rsid w:val="1D0B5C9E"/>
    <w:rsid w:val="1D0C4F8F"/>
    <w:rsid w:val="1D0D60DD"/>
    <w:rsid w:val="1D0E367E"/>
    <w:rsid w:val="1D0E7B88"/>
    <w:rsid w:val="1D137F3D"/>
    <w:rsid w:val="1D1502E7"/>
    <w:rsid w:val="1D152095"/>
    <w:rsid w:val="1D161315"/>
    <w:rsid w:val="1D1E3598"/>
    <w:rsid w:val="1D2336DF"/>
    <w:rsid w:val="1D237907"/>
    <w:rsid w:val="1D28626C"/>
    <w:rsid w:val="1D2A4B01"/>
    <w:rsid w:val="1D2B3667"/>
    <w:rsid w:val="1D2E13A9"/>
    <w:rsid w:val="1D314D7C"/>
    <w:rsid w:val="1D371E06"/>
    <w:rsid w:val="1D3764AF"/>
    <w:rsid w:val="1D385D84"/>
    <w:rsid w:val="1D3A2396"/>
    <w:rsid w:val="1D3B04DC"/>
    <w:rsid w:val="1D3E15EC"/>
    <w:rsid w:val="1D3E783E"/>
    <w:rsid w:val="1D3E7A35"/>
    <w:rsid w:val="1D4B24DF"/>
    <w:rsid w:val="1D522D57"/>
    <w:rsid w:val="1D552DD9"/>
    <w:rsid w:val="1D57445C"/>
    <w:rsid w:val="1D582F44"/>
    <w:rsid w:val="1D5B60BE"/>
    <w:rsid w:val="1D5C7CC4"/>
    <w:rsid w:val="1D5F6196"/>
    <w:rsid w:val="1D6132A5"/>
    <w:rsid w:val="1D626A36"/>
    <w:rsid w:val="1D641DA6"/>
    <w:rsid w:val="1D6A641C"/>
    <w:rsid w:val="1D6E0B08"/>
    <w:rsid w:val="1D6F6614"/>
    <w:rsid w:val="1D703F17"/>
    <w:rsid w:val="1D714939"/>
    <w:rsid w:val="1D716CE1"/>
    <w:rsid w:val="1D717D1B"/>
    <w:rsid w:val="1D7557D2"/>
    <w:rsid w:val="1D7A5A02"/>
    <w:rsid w:val="1D7C713F"/>
    <w:rsid w:val="1D7E03CA"/>
    <w:rsid w:val="1D8027CE"/>
    <w:rsid w:val="1D807B0D"/>
    <w:rsid w:val="1D8611E5"/>
    <w:rsid w:val="1D872AD3"/>
    <w:rsid w:val="1D882561"/>
    <w:rsid w:val="1D8D3A63"/>
    <w:rsid w:val="1D8E3722"/>
    <w:rsid w:val="1D8E56D5"/>
    <w:rsid w:val="1D93666F"/>
    <w:rsid w:val="1D94497C"/>
    <w:rsid w:val="1D96525A"/>
    <w:rsid w:val="1D9C4CD5"/>
    <w:rsid w:val="1D9D6AFB"/>
    <w:rsid w:val="1D9E348E"/>
    <w:rsid w:val="1D9E48F1"/>
    <w:rsid w:val="1DA131FA"/>
    <w:rsid w:val="1DA1334E"/>
    <w:rsid w:val="1DA20A3A"/>
    <w:rsid w:val="1DA7509A"/>
    <w:rsid w:val="1DA824F9"/>
    <w:rsid w:val="1DAF4695"/>
    <w:rsid w:val="1DB00010"/>
    <w:rsid w:val="1DB15833"/>
    <w:rsid w:val="1DB3095D"/>
    <w:rsid w:val="1DB4365C"/>
    <w:rsid w:val="1DB4543D"/>
    <w:rsid w:val="1DB63878"/>
    <w:rsid w:val="1DB64D7F"/>
    <w:rsid w:val="1DB91278"/>
    <w:rsid w:val="1DB91A81"/>
    <w:rsid w:val="1DBA1465"/>
    <w:rsid w:val="1DBA40F1"/>
    <w:rsid w:val="1DBA54A5"/>
    <w:rsid w:val="1DBB659C"/>
    <w:rsid w:val="1DC53ABB"/>
    <w:rsid w:val="1DCD7246"/>
    <w:rsid w:val="1DCE036C"/>
    <w:rsid w:val="1DCF493A"/>
    <w:rsid w:val="1DD15B3A"/>
    <w:rsid w:val="1DD2442A"/>
    <w:rsid w:val="1DD261D8"/>
    <w:rsid w:val="1DD8679C"/>
    <w:rsid w:val="1DD87B86"/>
    <w:rsid w:val="1DD97567"/>
    <w:rsid w:val="1DDB32DF"/>
    <w:rsid w:val="1DDB508D"/>
    <w:rsid w:val="1DE5046B"/>
    <w:rsid w:val="1DE51ED2"/>
    <w:rsid w:val="1DE63BB6"/>
    <w:rsid w:val="1DEA52D0"/>
    <w:rsid w:val="1DED0D28"/>
    <w:rsid w:val="1DED5466"/>
    <w:rsid w:val="1DF0665E"/>
    <w:rsid w:val="1DF23E93"/>
    <w:rsid w:val="1DF56343"/>
    <w:rsid w:val="1E004AF3"/>
    <w:rsid w:val="1E026DE5"/>
    <w:rsid w:val="1E045E68"/>
    <w:rsid w:val="1E067F6B"/>
    <w:rsid w:val="1E0761E7"/>
    <w:rsid w:val="1E081BFA"/>
    <w:rsid w:val="1E081EC2"/>
    <w:rsid w:val="1E0A7355"/>
    <w:rsid w:val="1E0B0A32"/>
    <w:rsid w:val="1E0B2C54"/>
    <w:rsid w:val="1E102163"/>
    <w:rsid w:val="1E14143C"/>
    <w:rsid w:val="1E1474BE"/>
    <w:rsid w:val="1E14771A"/>
    <w:rsid w:val="1E1843A6"/>
    <w:rsid w:val="1E1862E1"/>
    <w:rsid w:val="1E195BB5"/>
    <w:rsid w:val="1E1B192D"/>
    <w:rsid w:val="1E1C0DC5"/>
    <w:rsid w:val="1E22594E"/>
    <w:rsid w:val="1E2316E5"/>
    <w:rsid w:val="1E2708E1"/>
    <w:rsid w:val="1E273125"/>
    <w:rsid w:val="1E281110"/>
    <w:rsid w:val="1E2957F0"/>
    <w:rsid w:val="1E2D2BB4"/>
    <w:rsid w:val="1E2E5BD3"/>
    <w:rsid w:val="1E2F2CF8"/>
    <w:rsid w:val="1E2F362A"/>
    <w:rsid w:val="1E3637AE"/>
    <w:rsid w:val="1E3959EF"/>
    <w:rsid w:val="1E3B3AC0"/>
    <w:rsid w:val="1E3B3D7D"/>
    <w:rsid w:val="1E3E386E"/>
    <w:rsid w:val="1E454BFC"/>
    <w:rsid w:val="1E4731A1"/>
    <w:rsid w:val="1E4A670C"/>
    <w:rsid w:val="1E522845"/>
    <w:rsid w:val="1E54481C"/>
    <w:rsid w:val="1E5F5CBE"/>
    <w:rsid w:val="1E64127F"/>
    <w:rsid w:val="1E641526"/>
    <w:rsid w:val="1E641F06"/>
    <w:rsid w:val="1E6421B1"/>
    <w:rsid w:val="1E6578C3"/>
    <w:rsid w:val="1E662A42"/>
    <w:rsid w:val="1E6901AA"/>
    <w:rsid w:val="1E69422B"/>
    <w:rsid w:val="1E6B63ED"/>
    <w:rsid w:val="1E6C03DB"/>
    <w:rsid w:val="1E6E4153"/>
    <w:rsid w:val="1E733517"/>
    <w:rsid w:val="1E782D3A"/>
    <w:rsid w:val="1E7A43DA"/>
    <w:rsid w:val="1E7B6971"/>
    <w:rsid w:val="1E805C34"/>
    <w:rsid w:val="1E82375A"/>
    <w:rsid w:val="1E832979"/>
    <w:rsid w:val="1E854FF8"/>
    <w:rsid w:val="1E890F8D"/>
    <w:rsid w:val="1E894AE9"/>
    <w:rsid w:val="1E8A6C52"/>
    <w:rsid w:val="1E8B05C4"/>
    <w:rsid w:val="1E901623"/>
    <w:rsid w:val="1E904D8D"/>
    <w:rsid w:val="1E911C89"/>
    <w:rsid w:val="1E917E41"/>
    <w:rsid w:val="1E9606D2"/>
    <w:rsid w:val="1E960FB4"/>
    <w:rsid w:val="1E9D2A31"/>
    <w:rsid w:val="1EA23A0A"/>
    <w:rsid w:val="1EA452BF"/>
    <w:rsid w:val="1EA71038"/>
    <w:rsid w:val="1EAB38E1"/>
    <w:rsid w:val="1EAC25E8"/>
    <w:rsid w:val="1EAD5651"/>
    <w:rsid w:val="1EAF5A4D"/>
    <w:rsid w:val="1EB82386"/>
    <w:rsid w:val="1EB93707"/>
    <w:rsid w:val="1EBD39EB"/>
    <w:rsid w:val="1EC028CD"/>
    <w:rsid w:val="1EC354F1"/>
    <w:rsid w:val="1EC51EB3"/>
    <w:rsid w:val="1ECC267C"/>
    <w:rsid w:val="1ECE4BF1"/>
    <w:rsid w:val="1ECF44C6"/>
    <w:rsid w:val="1ED01E61"/>
    <w:rsid w:val="1ED17ECA"/>
    <w:rsid w:val="1ED33FB6"/>
    <w:rsid w:val="1ED8542C"/>
    <w:rsid w:val="1ED92573"/>
    <w:rsid w:val="1EDA324A"/>
    <w:rsid w:val="1EDA7384"/>
    <w:rsid w:val="1EDE4201"/>
    <w:rsid w:val="1EDE58F5"/>
    <w:rsid w:val="1EDF0BAD"/>
    <w:rsid w:val="1EDF49ED"/>
    <w:rsid w:val="1EE0531F"/>
    <w:rsid w:val="1EE2069D"/>
    <w:rsid w:val="1EE2244B"/>
    <w:rsid w:val="1EE23E6B"/>
    <w:rsid w:val="1EE53CE9"/>
    <w:rsid w:val="1EE53EE0"/>
    <w:rsid w:val="1EE7381E"/>
    <w:rsid w:val="1EE812E4"/>
    <w:rsid w:val="1EEA12FF"/>
    <w:rsid w:val="1EEA2E1A"/>
    <w:rsid w:val="1EF240A5"/>
    <w:rsid w:val="1EF76329"/>
    <w:rsid w:val="1EF86D03"/>
    <w:rsid w:val="1EF87C75"/>
    <w:rsid w:val="1EFA778F"/>
    <w:rsid w:val="1EFC175F"/>
    <w:rsid w:val="1EFD7285"/>
    <w:rsid w:val="1F0028D1"/>
    <w:rsid w:val="1F02479C"/>
    <w:rsid w:val="1F046FA5"/>
    <w:rsid w:val="1F0D7EC0"/>
    <w:rsid w:val="1F0F481A"/>
    <w:rsid w:val="1F121162"/>
    <w:rsid w:val="1F175340"/>
    <w:rsid w:val="1F180379"/>
    <w:rsid w:val="1F1B75C4"/>
    <w:rsid w:val="1F237FF0"/>
    <w:rsid w:val="1F257B38"/>
    <w:rsid w:val="1F2667DB"/>
    <w:rsid w:val="1F2E743E"/>
    <w:rsid w:val="1F2F72E1"/>
    <w:rsid w:val="1F313CD1"/>
    <w:rsid w:val="1F336002"/>
    <w:rsid w:val="1F3537A6"/>
    <w:rsid w:val="1F374D1F"/>
    <w:rsid w:val="1F386FFD"/>
    <w:rsid w:val="1F3D1AEC"/>
    <w:rsid w:val="1F3D3B8A"/>
    <w:rsid w:val="1F3E7CAA"/>
    <w:rsid w:val="1F460C2C"/>
    <w:rsid w:val="1F485A26"/>
    <w:rsid w:val="1F4B4687"/>
    <w:rsid w:val="1F506347"/>
    <w:rsid w:val="1F532B38"/>
    <w:rsid w:val="1F552C1D"/>
    <w:rsid w:val="1F570348"/>
    <w:rsid w:val="1F5844BB"/>
    <w:rsid w:val="1F584BE7"/>
    <w:rsid w:val="1F617FDA"/>
    <w:rsid w:val="1F637CCD"/>
    <w:rsid w:val="1F6410B2"/>
    <w:rsid w:val="1F666BD8"/>
    <w:rsid w:val="1F6A015A"/>
    <w:rsid w:val="1F6B0393"/>
    <w:rsid w:val="1F6C3E55"/>
    <w:rsid w:val="1F6F11A0"/>
    <w:rsid w:val="1F7A2683"/>
    <w:rsid w:val="1F7B6F6A"/>
    <w:rsid w:val="1F7C289F"/>
    <w:rsid w:val="1F7E5D8C"/>
    <w:rsid w:val="1F8049DF"/>
    <w:rsid w:val="1F833C2E"/>
    <w:rsid w:val="1F8B1D63"/>
    <w:rsid w:val="1F8B4890"/>
    <w:rsid w:val="1F8F25D3"/>
    <w:rsid w:val="1F8F335C"/>
    <w:rsid w:val="1F901A81"/>
    <w:rsid w:val="1F9432DF"/>
    <w:rsid w:val="1F9C0539"/>
    <w:rsid w:val="1F9D6372"/>
    <w:rsid w:val="1FA05299"/>
    <w:rsid w:val="1FA438AF"/>
    <w:rsid w:val="1FA626FF"/>
    <w:rsid w:val="1FA85442"/>
    <w:rsid w:val="1FA94D17"/>
    <w:rsid w:val="1FAD0F02"/>
    <w:rsid w:val="1FB060A0"/>
    <w:rsid w:val="1FB165AB"/>
    <w:rsid w:val="1FB279A2"/>
    <w:rsid w:val="1FB75686"/>
    <w:rsid w:val="1FC3437D"/>
    <w:rsid w:val="1FC36B03"/>
    <w:rsid w:val="1FC40F27"/>
    <w:rsid w:val="1FC67ACE"/>
    <w:rsid w:val="1FC81F6C"/>
    <w:rsid w:val="1FC822AC"/>
    <w:rsid w:val="1FC864E0"/>
    <w:rsid w:val="1FCF06C1"/>
    <w:rsid w:val="1FD44489"/>
    <w:rsid w:val="1FD46FF8"/>
    <w:rsid w:val="1FD47C40"/>
    <w:rsid w:val="1FD91AA0"/>
    <w:rsid w:val="1FDA286B"/>
    <w:rsid w:val="1FDD7655"/>
    <w:rsid w:val="1FE029CC"/>
    <w:rsid w:val="1FE10422"/>
    <w:rsid w:val="1FE14A0A"/>
    <w:rsid w:val="1FE16BA6"/>
    <w:rsid w:val="1FE25F9D"/>
    <w:rsid w:val="1FE44638"/>
    <w:rsid w:val="1FE4583B"/>
    <w:rsid w:val="1FE7539E"/>
    <w:rsid w:val="1FE81CE3"/>
    <w:rsid w:val="1FE83A91"/>
    <w:rsid w:val="1FE85338"/>
    <w:rsid w:val="1FEA15B7"/>
    <w:rsid w:val="1FF32026"/>
    <w:rsid w:val="1FF35DDF"/>
    <w:rsid w:val="1FF37ADE"/>
    <w:rsid w:val="1FF57F5C"/>
    <w:rsid w:val="1FF97A4C"/>
    <w:rsid w:val="1FFC696B"/>
    <w:rsid w:val="1FFD5185"/>
    <w:rsid w:val="1FFE4CCE"/>
    <w:rsid w:val="1FFE5062"/>
    <w:rsid w:val="1FFF1BCF"/>
    <w:rsid w:val="20025607"/>
    <w:rsid w:val="20034AE8"/>
    <w:rsid w:val="200B777F"/>
    <w:rsid w:val="200D28C9"/>
    <w:rsid w:val="200D799B"/>
    <w:rsid w:val="200E5237"/>
    <w:rsid w:val="2017056B"/>
    <w:rsid w:val="201A79C2"/>
    <w:rsid w:val="201B6A02"/>
    <w:rsid w:val="201D300B"/>
    <w:rsid w:val="202331F2"/>
    <w:rsid w:val="202A53C7"/>
    <w:rsid w:val="202B1798"/>
    <w:rsid w:val="202B3CDF"/>
    <w:rsid w:val="20310CA7"/>
    <w:rsid w:val="20335745"/>
    <w:rsid w:val="2039643C"/>
    <w:rsid w:val="203A6D77"/>
    <w:rsid w:val="203A7F64"/>
    <w:rsid w:val="203B1E13"/>
    <w:rsid w:val="203E7B55"/>
    <w:rsid w:val="20401B1F"/>
    <w:rsid w:val="204131A1"/>
    <w:rsid w:val="2043514F"/>
    <w:rsid w:val="20445C7D"/>
    <w:rsid w:val="20464059"/>
    <w:rsid w:val="204822D9"/>
    <w:rsid w:val="20496986"/>
    <w:rsid w:val="204A625E"/>
    <w:rsid w:val="204C14F0"/>
    <w:rsid w:val="204D58EA"/>
    <w:rsid w:val="20523600"/>
    <w:rsid w:val="205253AE"/>
    <w:rsid w:val="205350C7"/>
    <w:rsid w:val="20544B13"/>
    <w:rsid w:val="205503AD"/>
    <w:rsid w:val="20563E9D"/>
    <w:rsid w:val="20564C93"/>
    <w:rsid w:val="2059673D"/>
    <w:rsid w:val="205A2E8D"/>
    <w:rsid w:val="205C3D02"/>
    <w:rsid w:val="205E73F1"/>
    <w:rsid w:val="20600F73"/>
    <w:rsid w:val="206219EC"/>
    <w:rsid w:val="20621A95"/>
    <w:rsid w:val="2066107B"/>
    <w:rsid w:val="20671BE0"/>
    <w:rsid w:val="206D7380"/>
    <w:rsid w:val="2073078B"/>
    <w:rsid w:val="207407CA"/>
    <w:rsid w:val="207672EF"/>
    <w:rsid w:val="207E5639"/>
    <w:rsid w:val="20803CC9"/>
    <w:rsid w:val="20821001"/>
    <w:rsid w:val="20860ECA"/>
    <w:rsid w:val="20875058"/>
    <w:rsid w:val="20895C0A"/>
    <w:rsid w:val="208B1C58"/>
    <w:rsid w:val="208C1722"/>
    <w:rsid w:val="208F03B0"/>
    <w:rsid w:val="20941A5E"/>
    <w:rsid w:val="209634ED"/>
    <w:rsid w:val="20963CB8"/>
    <w:rsid w:val="20983709"/>
    <w:rsid w:val="20992FDD"/>
    <w:rsid w:val="209E23A2"/>
    <w:rsid w:val="20A12467"/>
    <w:rsid w:val="20A17F65"/>
    <w:rsid w:val="20A21E92"/>
    <w:rsid w:val="20A81A1B"/>
    <w:rsid w:val="20AA293D"/>
    <w:rsid w:val="20AA6925"/>
    <w:rsid w:val="20AB10B0"/>
    <w:rsid w:val="20AB301F"/>
    <w:rsid w:val="20AB775B"/>
    <w:rsid w:val="20AD0837"/>
    <w:rsid w:val="20AE3542"/>
    <w:rsid w:val="20AF140B"/>
    <w:rsid w:val="20B07FB6"/>
    <w:rsid w:val="20B17BA4"/>
    <w:rsid w:val="20B646FB"/>
    <w:rsid w:val="20B7495A"/>
    <w:rsid w:val="20B813A3"/>
    <w:rsid w:val="20B93996"/>
    <w:rsid w:val="20BD316F"/>
    <w:rsid w:val="20BE2A44"/>
    <w:rsid w:val="20BE4C78"/>
    <w:rsid w:val="20BF2BBD"/>
    <w:rsid w:val="20BF7151"/>
    <w:rsid w:val="20C02806"/>
    <w:rsid w:val="20C20786"/>
    <w:rsid w:val="20C36292"/>
    <w:rsid w:val="20C41D21"/>
    <w:rsid w:val="20C8153E"/>
    <w:rsid w:val="20CE1B4F"/>
    <w:rsid w:val="20CF13CE"/>
    <w:rsid w:val="20D12B0F"/>
    <w:rsid w:val="20D35D0F"/>
    <w:rsid w:val="20D45D07"/>
    <w:rsid w:val="20D52267"/>
    <w:rsid w:val="20D61B3B"/>
    <w:rsid w:val="20D858B3"/>
    <w:rsid w:val="20DC7BAB"/>
    <w:rsid w:val="20E14A20"/>
    <w:rsid w:val="20E406FC"/>
    <w:rsid w:val="20E833E5"/>
    <w:rsid w:val="20EA55E7"/>
    <w:rsid w:val="20EC75B1"/>
    <w:rsid w:val="20F0554C"/>
    <w:rsid w:val="20FF72E4"/>
    <w:rsid w:val="2100305C"/>
    <w:rsid w:val="21013D62"/>
    <w:rsid w:val="21025026"/>
    <w:rsid w:val="21036F80"/>
    <w:rsid w:val="21042253"/>
    <w:rsid w:val="21050673"/>
    <w:rsid w:val="210732E9"/>
    <w:rsid w:val="210A47C9"/>
    <w:rsid w:val="210B5C89"/>
    <w:rsid w:val="210C37AF"/>
    <w:rsid w:val="21143397"/>
    <w:rsid w:val="2114416B"/>
    <w:rsid w:val="21186CA9"/>
    <w:rsid w:val="2120725A"/>
    <w:rsid w:val="21241C83"/>
    <w:rsid w:val="21244694"/>
    <w:rsid w:val="21262AC3"/>
    <w:rsid w:val="212E7BB2"/>
    <w:rsid w:val="213014F7"/>
    <w:rsid w:val="21303941"/>
    <w:rsid w:val="21313216"/>
    <w:rsid w:val="21334407"/>
    <w:rsid w:val="213353E6"/>
    <w:rsid w:val="213B4B89"/>
    <w:rsid w:val="213B74B1"/>
    <w:rsid w:val="213D37DD"/>
    <w:rsid w:val="213F1987"/>
    <w:rsid w:val="21412E2D"/>
    <w:rsid w:val="2142052C"/>
    <w:rsid w:val="2142734F"/>
    <w:rsid w:val="21435B36"/>
    <w:rsid w:val="21463165"/>
    <w:rsid w:val="21476251"/>
    <w:rsid w:val="21486EDD"/>
    <w:rsid w:val="214D2658"/>
    <w:rsid w:val="214F1BE0"/>
    <w:rsid w:val="21501B14"/>
    <w:rsid w:val="21530497"/>
    <w:rsid w:val="215833AE"/>
    <w:rsid w:val="21590A02"/>
    <w:rsid w:val="215A2310"/>
    <w:rsid w:val="215E76F7"/>
    <w:rsid w:val="215F427B"/>
    <w:rsid w:val="215F6CA8"/>
    <w:rsid w:val="2160358D"/>
    <w:rsid w:val="216253DF"/>
    <w:rsid w:val="21647DAC"/>
    <w:rsid w:val="21684F95"/>
    <w:rsid w:val="216B6728"/>
    <w:rsid w:val="217049D0"/>
    <w:rsid w:val="217318DF"/>
    <w:rsid w:val="21755B0C"/>
    <w:rsid w:val="217A37EB"/>
    <w:rsid w:val="217A696B"/>
    <w:rsid w:val="217D7526"/>
    <w:rsid w:val="21823CAE"/>
    <w:rsid w:val="21871088"/>
    <w:rsid w:val="21880388"/>
    <w:rsid w:val="21884F0C"/>
    <w:rsid w:val="218855E2"/>
    <w:rsid w:val="218944CA"/>
    <w:rsid w:val="218C669E"/>
    <w:rsid w:val="2190302C"/>
    <w:rsid w:val="21936FFD"/>
    <w:rsid w:val="219A5EAA"/>
    <w:rsid w:val="219C0FD7"/>
    <w:rsid w:val="219C4B33"/>
    <w:rsid w:val="219D3E39"/>
    <w:rsid w:val="21A34113"/>
    <w:rsid w:val="21A567DA"/>
    <w:rsid w:val="21A575E3"/>
    <w:rsid w:val="21A912FA"/>
    <w:rsid w:val="21B207FA"/>
    <w:rsid w:val="21B31E7D"/>
    <w:rsid w:val="21B32625"/>
    <w:rsid w:val="21B7196D"/>
    <w:rsid w:val="21BA0971"/>
    <w:rsid w:val="21BB49CB"/>
    <w:rsid w:val="21BF5053"/>
    <w:rsid w:val="21C10A3D"/>
    <w:rsid w:val="21C220C1"/>
    <w:rsid w:val="21C238BD"/>
    <w:rsid w:val="21C83E17"/>
    <w:rsid w:val="21C87435"/>
    <w:rsid w:val="21CB5418"/>
    <w:rsid w:val="21CD1190"/>
    <w:rsid w:val="21CE47BC"/>
    <w:rsid w:val="21CF728D"/>
    <w:rsid w:val="21D4251F"/>
    <w:rsid w:val="21D45011"/>
    <w:rsid w:val="21D50045"/>
    <w:rsid w:val="21D96E8D"/>
    <w:rsid w:val="21DA1AFF"/>
    <w:rsid w:val="21DA39AF"/>
    <w:rsid w:val="21DC3621"/>
    <w:rsid w:val="21DE06DB"/>
    <w:rsid w:val="21DE318A"/>
    <w:rsid w:val="21E02496"/>
    <w:rsid w:val="21E11C0A"/>
    <w:rsid w:val="21E25465"/>
    <w:rsid w:val="21E347AC"/>
    <w:rsid w:val="21E34A4A"/>
    <w:rsid w:val="21E756F1"/>
    <w:rsid w:val="21E900C9"/>
    <w:rsid w:val="21EA79DF"/>
    <w:rsid w:val="21EB0021"/>
    <w:rsid w:val="21EE4E29"/>
    <w:rsid w:val="21EF5B80"/>
    <w:rsid w:val="21F4671D"/>
    <w:rsid w:val="21F80A05"/>
    <w:rsid w:val="21F81FA9"/>
    <w:rsid w:val="21F90C51"/>
    <w:rsid w:val="21FA406B"/>
    <w:rsid w:val="21FC0BB8"/>
    <w:rsid w:val="21FD729B"/>
    <w:rsid w:val="21FE7652"/>
    <w:rsid w:val="22021BE2"/>
    <w:rsid w:val="220350C6"/>
    <w:rsid w:val="220628F4"/>
    <w:rsid w:val="22063B9C"/>
    <w:rsid w:val="220A1348"/>
    <w:rsid w:val="220A225D"/>
    <w:rsid w:val="220C13A1"/>
    <w:rsid w:val="220F7D3B"/>
    <w:rsid w:val="2210107D"/>
    <w:rsid w:val="22113B54"/>
    <w:rsid w:val="22157D62"/>
    <w:rsid w:val="221A409F"/>
    <w:rsid w:val="221B7B45"/>
    <w:rsid w:val="221D61EE"/>
    <w:rsid w:val="22201FAE"/>
    <w:rsid w:val="222114DC"/>
    <w:rsid w:val="22223C83"/>
    <w:rsid w:val="222334A6"/>
    <w:rsid w:val="22267744"/>
    <w:rsid w:val="22284619"/>
    <w:rsid w:val="222C59FC"/>
    <w:rsid w:val="222C7E61"/>
    <w:rsid w:val="222D199D"/>
    <w:rsid w:val="222F1E4B"/>
    <w:rsid w:val="22350AE4"/>
    <w:rsid w:val="22356D36"/>
    <w:rsid w:val="223740EA"/>
    <w:rsid w:val="223778B3"/>
    <w:rsid w:val="22385CBD"/>
    <w:rsid w:val="2239687B"/>
    <w:rsid w:val="223B434C"/>
    <w:rsid w:val="223F0918"/>
    <w:rsid w:val="22473488"/>
    <w:rsid w:val="22486A69"/>
    <w:rsid w:val="224E0374"/>
    <w:rsid w:val="224E6C54"/>
    <w:rsid w:val="224F24FD"/>
    <w:rsid w:val="22506645"/>
    <w:rsid w:val="22513B6F"/>
    <w:rsid w:val="22524F02"/>
    <w:rsid w:val="22537B15"/>
    <w:rsid w:val="225418B2"/>
    <w:rsid w:val="22543660"/>
    <w:rsid w:val="22576990"/>
    <w:rsid w:val="225C42C2"/>
    <w:rsid w:val="225D063B"/>
    <w:rsid w:val="225E7319"/>
    <w:rsid w:val="22603DB2"/>
    <w:rsid w:val="22617730"/>
    <w:rsid w:val="22623FCE"/>
    <w:rsid w:val="22690815"/>
    <w:rsid w:val="22693564"/>
    <w:rsid w:val="22714212"/>
    <w:rsid w:val="22721D38"/>
    <w:rsid w:val="2274264E"/>
    <w:rsid w:val="22752DCB"/>
    <w:rsid w:val="227A4525"/>
    <w:rsid w:val="227D2BB6"/>
    <w:rsid w:val="227E248B"/>
    <w:rsid w:val="2280410B"/>
    <w:rsid w:val="2281315C"/>
    <w:rsid w:val="22821F7B"/>
    <w:rsid w:val="228308A3"/>
    <w:rsid w:val="22833F45"/>
    <w:rsid w:val="22843E76"/>
    <w:rsid w:val="22877591"/>
    <w:rsid w:val="228B3A8C"/>
    <w:rsid w:val="228C104B"/>
    <w:rsid w:val="228E4DC3"/>
    <w:rsid w:val="228F28EA"/>
    <w:rsid w:val="228F6446"/>
    <w:rsid w:val="22910497"/>
    <w:rsid w:val="2297721A"/>
    <w:rsid w:val="229A20DD"/>
    <w:rsid w:val="229B41DA"/>
    <w:rsid w:val="229C4536"/>
    <w:rsid w:val="229D0946"/>
    <w:rsid w:val="229E1591"/>
    <w:rsid w:val="229E5830"/>
    <w:rsid w:val="229F29D5"/>
    <w:rsid w:val="229F33E4"/>
    <w:rsid w:val="229F586D"/>
    <w:rsid w:val="22A04AF7"/>
    <w:rsid w:val="22A5210D"/>
    <w:rsid w:val="22A6039D"/>
    <w:rsid w:val="22A7154F"/>
    <w:rsid w:val="22AE0FC2"/>
    <w:rsid w:val="22B10AB2"/>
    <w:rsid w:val="22B660C8"/>
    <w:rsid w:val="22B75B65"/>
    <w:rsid w:val="22B801D1"/>
    <w:rsid w:val="22B9129A"/>
    <w:rsid w:val="22BC7F26"/>
    <w:rsid w:val="22C25673"/>
    <w:rsid w:val="22C50791"/>
    <w:rsid w:val="22C52E31"/>
    <w:rsid w:val="22C71D92"/>
    <w:rsid w:val="22C7276B"/>
    <w:rsid w:val="22C922A8"/>
    <w:rsid w:val="22CA64DE"/>
    <w:rsid w:val="22CE241A"/>
    <w:rsid w:val="22D13C20"/>
    <w:rsid w:val="22D16A5E"/>
    <w:rsid w:val="22D8603F"/>
    <w:rsid w:val="22DA2031"/>
    <w:rsid w:val="22DB7AB5"/>
    <w:rsid w:val="22DD18A7"/>
    <w:rsid w:val="22E1309D"/>
    <w:rsid w:val="22E45513"/>
    <w:rsid w:val="22E542B8"/>
    <w:rsid w:val="22E54FF2"/>
    <w:rsid w:val="22E76282"/>
    <w:rsid w:val="22E7790A"/>
    <w:rsid w:val="22E83BB5"/>
    <w:rsid w:val="22EB3463"/>
    <w:rsid w:val="22EC1AEA"/>
    <w:rsid w:val="22EF5136"/>
    <w:rsid w:val="22EF5A05"/>
    <w:rsid w:val="22F47480"/>
    <w:rsid w:val="22F85FBE"/>
    <w:rsid w:val="22FE12FB"/>
    <w:rsid w:val="23021720"/>
    <w:rsid w:val="23024C14"/>
    <w:rsid w:val="23024E6A"/>
    <w:rsid w:val="2306333C"/>
    <w:rsid w:val="23076924"/>
    <w:rsid w:val="230B6D4E"/>
    <w:rsid w:val="230D5671"/>
    <w:rsid w:val="230E380E"/>
    <w:rsid w:val="230F7587"/>
    <w:rsid w:val="23104742"/>
    <w:rsid w:val="231518D0"/>
    <w:rsid w:val="23154F40"/>
    <w:rsid w:val="231828DF"/>
    <w:rsid w:val="23190A27"/>
    <w:rsid w:val="231921B3"/>
    <w:rsid w:val="231B68A5"/>
    <w:rsid w:val="231D0AB2"/>
    <w:rsid w:val="231E77CA"/>
    <w:rsid w:val="231F3C16"/>
    <w:rsid w:val="231F3C6E"/>
    <w:rsid w:val="231F696C"/>
    <w:rsid w:val="232079E6"/>
    <w:rsid w:val="23232C6E"/>
    <w:rsid w:val="23284CA7"/>
    <w:rsid w:val="23294AEC"/>
    <w:rsid w:val="232A4FAE"/>
    <w:rsid w:val="232A632A"/>
    <w:rsid w:val="232C1EE7"/>
    <w:rsid w:val="232E56F6"/>
    <w:rsid w:val="2330529D"/>
    <w:rsid w:val="2331574F"/>
    <w:rsid w:val="23347532"/>
    <w:rsid w:val="233E6DED"/>
    <w:rsid w:val="23403BE4"/>
    <w:rsid w:val="23411E36"/>
    <w:rsid w:val="23422496"/>
    <w:rsid w:val="23443451"/>
    <w:rsid w:val="23460E84"/>
    <w:rsid w:val="23476D20"/>
    <w:rsid w:val="234D7C8C"/>
    <w:rsid w:val="234E6F8F"/>
    <w:rsid w:val="234F6A52"/>
    <w:rsid w:val="235002CB"/>
    <w:rsid w:val="2350622D"/>
    <w:rsid w:val="235651B5"/>
    <w:rsid w:val="23566375"/>
    <w:rsid w:val="2358193D"/>
    <w:rsid w:val="235C0A1E"/>
    <w:rsid w:val="235C2909"/>
    <w:rsid w:val="235C309F"/>
    <w:rsid w:val="23627FFE"/>
    <w:rsid w:val="236505DE"/>
    <w:rsid w:val="236D2C2B"/>
    <w:rsid w:val="236D4339"/>
    <w:rsid w:val="23702124"/>
    <w:rsid w:val="23744161"/>
    <w:rsid w:val="237738F9"/>
    <w:rsid w:val="23773A65"/>
    <w:rsid w:val="237B5632"/>
    <w:rsid w:val="237D022A"/>
    <w:rsid w:val="237E0074"/>
    <w:rsid w:val="237F57FC"/>
    <w:rsid w:val="23871813"/>
    <w:rsid w:val="2388504D"/>
    <w:rsid w:val="23892823"/>
    <w:rsid w:val="238B4FE5"/>
    <w:rsid w:val="238C4CDE"/>
    <w:rsid w:val="239109FA"/>
    <w:rsid w:val="239115A4"/>
    <w:rsid w:val="23922691"/>
    <w:rsid w:val="23931BB2"/>
    <w:rsid w:val="2393640A"/>
    <w:rsid w:val="23943760"/>
    <w:rsid w:val="23955CDE"/>
    <w:rsid w:val="23957A8C"/>
    <w:rsid w:val="23965F23"/>
    <w:rsid w:val="239B070F"/>
    <w:rsid w:val="23A10B26"/>
    <w:rsid w:val="23A423C5"/>
    <w:rsid w:val="23A51606"/>
    <w:rsid w:val="23AB426C"/>
    <w:rsid w:val="23AE6D9F"/>
    <w:rsid w:val="23AF0131"/>
    <w:rsid w:val="23AF2745"/>
    <w:rsid w:val="23B24AE2"/>
    <w:rsid w:val="23B27028"/>
    <w:rsid w:val="23B9512F"/>
    <w:rsid w:val="23B97E48"/>
    <w:rsid w:val="23BA546B"/>
    <w:rsid w:val="23BB1E72"/>
    <w:rsid w:val="23BC14BC"/>
    <w:rsid w:val="23C10881"/>
    <w:rsid w:val="23C20F2C"/>
    <w:rsid w:val="23C30A9D"/>
    <w:rsid w:val="23C35322"/>
    <w:rsid w:val="23C6058D"/>
    <w:rsid w:val="23CB7951"/>
    <w:rsid w:val="23D07D6C"/>
    <w:rsid w:val="23D51134"/>
    <w:rsid w:val="23D7384E"/>
    <w:rsid w:val="23D74548"/>
    <w:rsid w:val="23DD45CF"/>
    <w:rsid w:val="23DE1C48"/>
    <w:rsid w:val="23DE7685"/>
    <w:rsid w:val="23DF4CBC"/>
    <w:rsid w:val="23E53F79"/>
    <w:rsid w:val="23E91BF9"/>
    <w:rsid w:val="23EA359C"/>
    <w:rsid w:val="23EB1DA2"/>
    <w:rsid w:val="23EB3B50"/>
    <w:rsid w:val="23EE2969"/>
    <w:rsid w:val="23EF6C54"/>
    <w:rsid w:val="23F073B8"/>
    <w:rsid w:val="23F12EC6"/>
    <w:rsid w:val="23F44170"/>
    <w:rsid w:val="23F96DEE"/>
    <w:rsid w:val="23FE0BB4"/>
    <w:rsid w:val="23FF7120"/>
    <w:rsid w:val="24000D54"/>
    <w:rsid w:val="240115C5"/>
    <w:rsid w:val="24015121"/>
    <w:rsid w:val="240210CD"/>
    <w:rsid w:val="24025DD5"/>
    <w:rsid w:val="24047E64"/>
    <w:rsid w:val="24082954"/>
    <w:rsid w:val="240942C5"/>
    <w:rsid w:val="240A1C42"/>
    <w:rsid w:val="240A31C5"/>
    <w:rsid w:val="240D2068"/>
    <w:rsid w:val="240E673E"/>
    <w:rsid w:val="24135347"/>
    <w:rsid w:val="2415322B"/>
    <w:rsid w:val="24155749"/>
    <w:rsid w:val="24174945"/>
    <w:rsid w:val="241B4D73"/>
    <w:rsid w:val="242341FB"/>
    <w:rsid w:val="24241983"/>
    <w:rsid w:val="242B6642"/>
    <w:rsid w:val="242E787D"/>
    <w:rsid w:val="242F7EE0"/>
    <w:rsid w:val="243342AD"/>
    <w:rsid w:val="24337575"/>
    <w:rsid w:val="24342404"/>
    <w:rsid w:val="2435126F"/>
    <w:rsid w:val="243667A6"/>
    <w:rsid w:val="24367D7C"/>
    <w:rsid w:val="243A388D"/>
    <w:rsid w:val="243E2A54"/>
    <w:rsid w:val="243E4F8F"/>
    <w:rsid w:val="243E6375"/>
    <w:rsid w:val="2440590C"/>
    <w:rsid w:val="24424A01"/>
    <w:rsid w:val="24443260"/>
    <w:rsid w:val="24444A08"/>
    <w:rsid w:val="2445120D"/>
    <w:rsid w:val="24453768"/>
    <w:rsid w:val="24464C54"/>
    <w:rsid w:val="24480FA2"/>
    <w:rsid w:val="244831CC"/>
    <w:rsid w:val="244A5B2A"/>
    <w:rsid w:val="244A6AC8"/>
    <w:rsid w:val="244D6ECE"/>
    <w:rsid w:val="24571BCB"/>
    <w:rsid w:val="245937CA"/>
    <w:rsid w:val="245A7810"/>
    <w:rsid w:val="245E041A"/>
    <w:rsid w:val="245E592E"/>
    <w:rsid w:val="24654026"/>
    <w:rsid w:val="24674815"/>
    <w:rsid w:val="24684D61"/>
    <w:rsid w:val="246A53BC"/>
    <w:rsid w:val="246A623D"/>
    <w:rsid w:val="246C2129"/>
    <w:rsid w:val="246C7CE7"/>
    <w:rsid w:val="246F1264"/>
    <w:rsid w:val="24715A0D"/>
    <w:rsid w:val="24791906"/>
    <w:rsid w:val="247940AC"/>
    <w:rsid w:val="247955FF"/>
    <w:rsid w:val="247973AD"/>
    <w:rsid w:val="247D041F"/>
    <w:rsid w:val="2480073C"/>
    <w:rsid w:val="24805526"/>
    <w:rsid w:val="24812CF3"/>
    <w:rsid w:val="248179D4"/>
    <w:rsid w:val="24855D52"/>
    <w:rsid w:val="24857B00"/>
    <w:rsid w:val="248720BC"/>
    <w:rsid w:val="248747E5"/>
    <w:rsid w:val="24876A87"/>
    <w:rsid w:val="248971D0"/>
    <w:rsid w:val="248A5117"/>
    <w:rsid w:val="248B0376"/>
    <w:rsid w:val="248D76DC"/>
    <w:rsid w:val="248E73BE"/>
    <w:rsid w:val="2490430A"/>
    <w:rsid w:val="24920748"/>
    <w:rsid w:val="24966139"/>
    <w:rsid w:val="24972562"/>
    <w:rsid w:val="249A09C2"/>
    <w:rsid w:val="249C557D"/>
    <w:rsid w:val="249C6DB9"/>
    <w:rsid w:val="249D12EE"/>
    <w:rsid w:val="24A0493A"/>
    <w:rsid w:val="24A21970"/>
    <w:rsid w:val="24A3442A"/>
    <w:rsid w:val="24AA2DC5"/>
    <w:rsid w:val="24AE54C5"/>
    <w:rsid w:val="24AF6EC7"/>
    <w:rsid w:val="24B108F5"/>
    <w:rsid w:val="24B12D62"/>
    <w:rsid w:val="24B417E7"/>
    <w:rsid w:val="24B623B0"/>
    <w:rsid w:val="24B653B5"/>
    <w:rsid w:val="24B76A25"/>
    <w:rsid w:val="24B9255E"/>
    <w:rsid w:val="24BB4180"/>
    <w:rsid w:val="24BD5091"/>
    <w:rsid w:val="24BF0594"/>
    <w:rsid w:val="24BF09F7"/>
    <w:rsid w:val="24C10560"/>
    <w:rsid w:val="24C22608"/>
    <w:rsid w:val="24C3446B"/>
    <w:rsid w:val="24C5162A"/>
    <w:rsid w:val="24C73FFE"/>
    <w:rsid w:val="24CC0ED1"/>
    <w:rsid w:val="24CC59C3"/>
    <w:rsid w:val="24CD5471"/>
    <w:rsid w:val="24CF5CE1"/>
    <w:rsid w:val="24CF6FCD"/>
    <w:rsid w:val="24D73F6A"/>
    <w:rsid w:val="24D757B6"/>
    <w:rsid w:val="24DB1E16"/>
    <w:rsid w:val="24DD0228"/>
    <w:rsid w:val="24DD26C8"/>
    <w:rsid w:val="24DE36B4"/>
    <w:rsid w:val="24DF5C4F"/>
    <w:rsid w:val="24E011DB"/>
    <w:rsid w:val="24E46F1D"/>
    <w:rsid w:val="24E567F1"/>
    <w:rsid w:val="24E707BB"/>
    <w:rsid w:val="24EB2ECC"/>
    <w:rsid w:val="24ED56A6"/>
    <w:rsid w:val="24F31279"/>
    <w:rsid w:val="24F437C1"/>
    <w:rsid w:val="24F71778"/>
    <w:rsid w:val="24F84304"/>
    <w:rsid w:val="24FC0DC3"/>
    <w:rsid w:val="24FE2D91"/>
    <w:rsid w:val="25010BDC"/>
    <w:rsid w:val="25017FBA"/>
    <w:rsid w:val="25090731"/>
    <w:rsid w:val="250F1AC0"/>
    <w:rsid w:val="25137802"/>
    <w:rsid w:val="251378DC"/>
    <w:rsid w:val="25180974"/>
    <w:rsid w:val="25200614"/>
    <w:rsid w:val="25205A7B"/>
    <w:rsid w:val="25227A45"/>
    <w:rsid w:val="252602E7"/>
    <w:rsid w:val="252D53FE"/>
    <w:rsid w:val="252F5CBE"/>
    <w:rsid w:val="25311311"/>
    <w:rsid w:val="25331C52"/>
    <w:rsid w:val="25397A2B"/>
    <w:rsid w:val="253C59EF"/>
    <w:rsid w:val="253F1318"/>
    <w:rsid w:val="253F2022"/>
    <w:rsid w:val="253F4153"/>
    <w:rsid w:val="253F69F2"/>
    <w:rsid w:val="25423C43"/>
    <w:rsid w:val="254309D4"/>
    <w:rsid w:val="254535DD"/>
    <w:rsid w:val="25473008"/>
    <w:rsid w:val="254A4F9E"/>
    <w:rsid w:val="254E2734"/>
    <w:rsid w:val="2552687B"/>
    <w:rsid w:val="255453E2"/>
    <w:rsid w:val="255503D2"/>
    <w:rsid w:val="25582AAD"/>
    <w:rsid w:val="255C44AB"/>
    <w:rsid w:val="255F65A3"/>
    <w:rsid w:val="25630BA0"/>
    <w:rsid w:val="256351AC"/>
    <w:rsid w:val="2565339F"/>
    <w:rsid w:val="256535B5"/>
    <w:rsid w:val="2565739E"/>
    <w:rsid w:val="25661448"/>
    <w:rsid w:val="25675458"/>
    <w:rsid w:val="25687B28"/>
    <w:rsid w:val="256B319A"/>
    <w:rsid w:val="256F08AA"/>
    <w:rsid w:val="25744759"/>
    <w:rsid w:val="25755DC7"/>
    <w:rsid w:val="25781413"/>
    <w:rsid w:val="25790003"/>
    <w:rsid w:val="257A4606"/>
    <w:rsid w:val="257A6996"/>
    <w:rsid w:val="257B5291"/>
    <w:rsid w:val="257B651B"/>
    <w:rsid w:val="257D3D5A"/>
    <w:rsid w:val="257E32F5"/>
    <w:rsid w:val="258103B9"/>
    <w:rsid w:val="25831ACE"/>
    <w:rsid w:val="25853B30"/>
    <w:rsid w:val="258613CC"/>
    <w:rsid w:val="25891F8A"/>
    <w:rsid w:val="258B7398"/>
    <w:rsid w:val="258D6170"/>
    <w:rsid w:val="258D6E08"/>
    <w:rsid w:val="25910B0A"/>
    <w:rsid w:val="25914C15"/>
    <w:rsid w:val="25937D6F"/>
    <w:rsid w:val="259721E1"/>
    <w:rsid w:val="25981AB5"/>
    <w:rsid w:val="259C1492"/>
    <w:rsid w:val="259D0F2B"/>
    <w:rsid w:val="259D531E"/>
    <w:rsid w:val="259F3EF0"/>
    <w:rsid w:val="25A07A82"/>
    <w:rsid w:val="25A246E2"/>
    <w:rsid w:val="25A25740"/>
    <w:rsid w:val="25A43CD0"/>
    <w:rsid w:val="25A55EFE"/>
    <w:rsid w:val="25A8619C"/>
    <w:rsid w:val="25A93CC2"/>
    <w:rsid w:val="25AE3719"/>
    <w:rsid w:val="25AE4A2B"/>
    <w:rsid w:val="25AF6479"/>
    <w:rsid w:val="25B00611"/>
    <w:rsid w:val="25B21D4E"/>
    <w:rsid w:val="25B67D07"/>
    <w:rsid w:val="25BA4BD3"/>
    <w:rsid w:val="25BA6C45"/>
    <w:rsid w:val="25BB59F6"/>
    <w:rsid w:val="25BD7EF8"/>
    <w:rsid w:val="25BE5F9B"/>
    <w:rsid w:val="25C130E2"/>
    <w:rsid w:val="25C26B32"/>
    <w:rsid w:val="25C603D0"/>
    <w:rsid w:val="25C64874"/>
    <w:rsid w:val="25C669C8"/>
    <w:rsid w:val="25C7784B"/>
    <w:rsid w:val="25CA7795"/>
    <w:rsid w:val="25CB34E1"/>
    <w:rsid w:val="25CD79B1"/>
    <w:rsid w:val="25CF2D4E"/>
    <w:rsid w:val="25D1347A"/>
    <w:rsid w:val="25D65BB2"/>
    <w:rsid w:val="25DA20CE"/>
    <w:rsid w:val="25E26625"/>
    <w:rsid w:val="25E60A73"/>
    <w:rsid w:val="25E730F0"/>
    <w:rsid w:val="25E9095C"/>
    <w:rsid w:val="25EB1CE5"/>
    <w:rsid w:val="25EC2D81"/>
    <w:rsid w:val="25ED0129"/>
    <w:rsid w:val="25F30DBC"/>
    <w:rsid w:val="25F3318F"/>
    <w:rsid w:val="25F47245"/>
    <w:rsid w:val="25F5515A"/>
    <w:rsid w:val="25F70F50"/>
    <w:rsid w:val="25F725B9"/>
    <w:rsid w:val="25F745A4"/>
    <w:rsid w:val="25FA1308"/>
    <w:rsid w:val="25FA5E5C"/>
    <w:rsid w:val="26013AFE"/>
    <w:rsid w:val="26087D12"/>
    <w:rsid w:val="260C1E5D"/>
    <w:rsid w:val="2610789E"/>
    <w:rsid w:val="26127ABA"/>
    <w:rsid w:val="26140262"/>
    <w:rsid w:val="26154EB4"/>
    <w:rsid w:val="26157FFD"/>
    <w:rsid w:val="2618080F"/>
    <w:rsid w:val="26190E48"/>
    <w:rsid w:val="261C26E6"/>
    <w:rsid w:val="261C4494"/>
    <w:rsid w:val="261C6242"/>
    <w:rsid w:val="261C6DC2"/>
    <w:rsid w:val="261C7762"/>
    <w:rsid w:val="261D468D"/>
    <w:rsid w:val="261E69FB"/>
    <w:rsid w:val="26211AAB"/>
    <w:rsid w:val="2624159B"/>
    <w:rsid w:val="2625410F"/>
    <w:rsid w:val="26265313"/>
    <w:rsid w:val="262E41C8"/>
    <w:rsid w:val="263262C3"/>
    <w:rsid w:val="26340228"/>
    <w:rsid w:val="26354174"/>
    <w:rsid w:val="263A75AC"/>
    <w:rsid w:val="263C038C"/>
    <w:rsid w:val="263C68E5"/>
    <w:rsid w:val="263D0329"/>
    <w:rsid w:val="26402C29"/>
    <w:rsid w:val="26447283"/>
    <w:rsid w:val="264653A0"/>
    <w:rsid w:val="264659B5"/>
    <w:rsid w:val="264823C6"/>
    <w:rsid w:val="264C2116"/>
    <w:rsid w:val="264D0A80"/>
    <w:rsid w:val="264F486A"/>
    <w:rsid w:val="26527EB6"/>
    <w:rsid w:val="26530475"/>
    <w:rsid w:val="26551754"/>
    <w:rsid w:val="26555BF8"/>
    <w:rsid w:val="26575238"/>
    <w:rsid w:val="26592706"/>
    <w:rsid w:val="265C7C74"/>
    <w:rsid w:val="265F778D"/>
    <w:rsid w:val="26606A77"/>
    <w:rsid w:val="26622EB6"/>
    <w:rsid w:val="26630315"/>
    <w:rsid w:val="26655E3B"/>
    <w:rsid w:val="26664CF3"/>
    <w:rsid w:val="266F5447"/>
    <w:rsid w:val="2670658E"/>
    <w:rsid w:val="267172F8"/>
    <w:rsid w:val="26727A24"/>
    <w:rsid w:val="26746C63"/>
    <w:rsid w:val="26750C9F"/>
    <w:rsid w:val="267644D2"/>
    <w:rsid w:val="26770469"/>
    <w:rsid w:val="267918E7"/>
    <w:rsid w:val="267950A6"/>
    <w:rsid w:val="26797620"/>
    <w:rsid w:val="26832765"/>
    <w:rsid w:val="2684068F"/>
    <w:rsid w:val="26865F59"/>
    <w:rsid w:val="26867B60"/>
    <w:rsid w:val="26881B2A"/>
    <w:rsid w:val="268838D8"/>
    <w:rsid w:val="268A1446"/>
    <w:rsid w:val="268A7650"/>
    <w:rsid w:val="268C4702"/>
    <w:rsid w:val="26967501"/>
    <w:rsid w:val="26995AE5"/>
    <w:rsid w:val="269C1DEB"/>
    <w:rsid w:val="269F0C21"/>
    <w:rsid w:val="26A06E73"/>
    <w:rsid w:val="26A34973"/>
    <w:rsid w:val="26A47CEF"/>
    <w:rsid w:val="26AD25D3"/>
    <w:rsid w:val="26AE71AF"/>
    <w:rsid w:val="26AF5308"/>
    <w:rsid w:val="26B02E2F"/>
    <w:rsid w:val="26B25CE7"/>
    <w:rsid w:val="26B302DF"/>
    <w:rsid w:val="26B347D3"/>
    <w:rsid w:val="26B96187"/>
    <w:rsid w:val="26C96D36"/>
    <w:rsid w:val="26CD1C32"/>
    <w:rsid w:val="26CD46B8"/>
    <w:rsid w:val="26CF1507"/>
    <w:rsid w:val="26CF64ED"/>
    <w:rsid w:val="26D052F6"/>
    <w:rsid w:val="26D20FF7"/>
    <w:rsid w:val="26D225BC"/>
    <w:rsid w:val="26D31D5B"/>
    <w:rsid w:val="26D34719"/>
    <w:rsid w:val="26D72BF9"/>
    <w:rsid w:val="26DA3BCC"/>
    <w:rsid w:val="26DC4172"/>
    <w:rsid w:val="26DE5BEE"/>
    <w:rsid w:val="26DF7DC9"/>
    <w:rsid w:val="26E52AD8"/>
    <w:rsid w:val="26E7049D"/>
    <w:rsid w:val="26EB5F96"/>
    <w:rsid w:val="26EC0515"/>
    <w:rsid w:val="26ED5E31"/>
    <w:rsid w:val="26F009E2"/>
    <w:rsid w:val="26F20A31"/>
    <w:rsid w:val="26F23447"/>
    <w:rsid w:val="26F409A6"/>
    <w:rsid w:val="26F422F0"/>
    <w:rsid w:val="26FC44F7"/>
    <w:rsid w:val="26FE003E"/>
    <w:rsid w:val="27013C50"/>
    <w:rsid w:val="27032495"/>
    <w:rsid w:val="27082C6B"/>
    <w:rsid w:val="270C517B"/>
    <w:rsid w:val="270E64D3"/>
    <w:rsid w:val="271635D9"/>
    <w:rsid w:val="2719714B"/>
    <w:rsid w:val="271C4A6F"/>
    <w:rsid w:val="271D03CD"/>
    <w:rsid w:val="27246E29"/>
    <w:rsid w:val="272555CB"/>
    <w:rsid w:val="272751DB"/>
    <w:rsid w:val="272A73B2"/>
    <w:rsid w:val="272A787E"/>
    <w:rsid w:val="272B1352"/>
    <w:rsid w:val="272C23FA"/>
    <w:rsid w:val="272C376F"/>
    <w:rsid w:val="272E36B9"/>
    <w:rsid w:val="272F671D"/>
    <w:rsid w:val="2731461A"/>
    <w:rsid w:val="27327868"/>
    <w:rsid w:val="27334142"/>
    <w:rsid w:val="27334DB0"/>
    <w:rsid w:val="2734505A"/>
    <w:rsid w:val="27350938"/>
    <w:rsid w:val="2736727F"/>
    <w:rsid w:val="273746A2"/>
    <w:rsid w:val="273852FE"/>
    <w:rsid w:val="27400126"/>
    <w:rsid w:val="2742681C"/>
    <w:rsid w:val="27457A1B"/>
    <w:rsid w:val="2747118E"/>
    <w:rsid w:val="27474839"/>
    <w:rsid w:val="27480EDA"/>
    <w:rsid w:val="27482C13"/>
    <w:rsid w:val="274A2C34"/>
    <w:rsid w:val="274B40AC"/>
    <w:rsid w:val="274B7A7D"/>
    <w:rsid w:val="274F464E"/>
    <w:rsid w:val="274F7D30"/>
    <w:rsid w:val="27511697"/>
    <w:rsid w:val="275163C0"/>
    <w:rsid w:val="275255F9"/>
    <w:rsid w:val="27533EE6"/>
    <w:rsid w:val="27535D64"/>
    <w:rsid w:val="27562E57"/>
    <w:rsid w:val="27580C09"/>
    <w:rsid w:val="275A0BF2"/>
    <w:rsid w:val="275A47D1"/>
    <w:rsid w:val="2761289F"/>
    <w:rsid w:val="276408D7"/>
    <w:rsid w:val="27653C19"/>
    <w:rsid w:val="27664921"/>
    <w:rsid w:val="276852AC"/>
    <w:rsid w:val="276854B7"/>
    <w:rsid w:val="2769574D"/>
    <w:rsid w:val="276C31F9"/>
    <w:rsid w:val="276D4A60"/>
    <w:rsid w:val="276E4CC0"/>
    <w:rsid w:val="277057A2"/>
    <w:rsid w:val="277062AC"/>
    <w:rsid w:val="27742724"/>
    <w:rsid w:val="27750300"/>
    <w:rsid w:val="27760181"/>
    <w:rsid w:val="27776FC5"/>
    <w:rsid w:val="277A2F42"/>
    <w:rsid w:val="277A3B68"/>
    <w:rsid w:val="277F4C19"/>
    <w:rsid w:val="277F4CDB"/>
    <w:rsid w:val="278148DE"/>
    <w:rsid w:val="27816FE9"/>
    <w:rsid w:val="278B77DC"/>
    <w:rsid w:val="278C389C"/>
    <w:rsid w:val="278D02B1"/>
    <w:rsid w:val="27927CB7"/>
    <w:rsid w:val="27932534"/>
    <w:rsid w:val="279664C8"/>
    <w:rsid w:val="27982FDD"/>
    <w:rsid w:val="279E60C3"/>
    <w:rsid w:val="279F712B"/>
    <w:rsid w:val="27A60535"/>
    <w:rsid w:val="27AF0600"/>
    <w:rsid w:val="27AF30E6"/>
    <w:rsid w:val="27B5050A"/>
    <w:rsid w:val="27B851D0"/>
    <w:rsid w:val="27BA0E9F"/>
    <w:rsid w:val="27BD3A55"/>
    <w:rsid w:val="27C56F7C"/>
    <w:rsid w:val="27C70FA4"/>
    <w:rsid w:val="27C76682"/>
    <w:rsid w:val="27CA40CD"/>
    <w:rsid w:val="27CA7935"/>
    <w:rsid w:val="27CF6873"/>
    <w:rsid w:val="27D2001F"/>
    <w:rsid w:val="27D455F2"/>
    <w:rsid w:val="27D75D62"/>
    <w:rsid w:val="27DD7C53"/>
    <w:rsid w:val="27DF5779"/>
    <w:rsid w:val="27E12DEE"/>
    <w:rsid w:val="27E1449C"/>
    <w:rsid w:val="27E15995"/>
    <w:rsid w:val="27E203FC"/>
    <w:rsid w:val="27E30558"/>
    <w:rsid w:val="27E366C9"/>
    <w:rsid w:val="27E37F3E"/>
    <w:rsid w:val="27EA373C"/>
    <w:rsid w:val="27EC7E96"/>
    <w:rsid w:val="27EF006E"/>
    <w:rsid w:val="27F136FF"/>
    <w:rsid w:val="27F44196"/>
    <w:rsid w:val="27F54F9D"/>
    <w:rsid w:val="27F86FF3"/>
    <w:rsid w:val="27F93FD8"/>
    <w:rsid w:val="27FA25B3"/>
    <w:rsid w:val="27FA5200"/>
    <w:rsid w:val="27FF215D"/>
    <w:rsid w:val="280276BA"/>
    <w:rsid w:val="28034C6D"/>
    <w:rsid w:val="28034FD9"/>
    <w:rsid w:val="280460E8"/>
    <w:rsid w:val="28046D14"/>
    <w:rsid w:val="280B4196"/>
    <w:rsid w:val="280F3D93"/>
    <w:rsid w:val="2810692B"/>
    <w:rsid w:val="281101F7"/>
    <w:rsid w:val="28123DA1"/>
    <w:rsid w:val="281318C7"/>
    <w:rsid w:val="2814246F"/>
    <w:rsid w:val="28221C89"/>
    <w:rsid w:val="28260354"/>
    <w:rsid w:val="282A0356"/>
    <w:rsid w:val="282A4130"/>
    <w:rsid w:val="282A75B8"/>
    <w:rsid w:val="282B42E1"/>
    <w:rsid w:val="282D305C"/>
    <w:rsid w:val="282D6830"/>
    <w:rsid w:val="2832285C"/>
    <w:rsid w:val="28333D17"/>
    <w:rsid w:val="2835183D"/>
    <w:rsid w:val="28373EF6"/>
    <w:rsid w:val="283755B5"/>
    <w:rsid w:val="283C7070"/>
    <w:rsid w:val="283D21CE"/>
    <w:rsid w:val="28415A4C"/>
    <w:rsid w:val="28445F24"/>
    <w:rsid w:val="28480223"/>
    <w:rsid w:val="2851170E"/>
    <w:rsid w:val="285223EF"/>
    <w:rsid w:val="285846C4"/>
    <w:rsid w:val="285A12A4"/>
    <w:rsid w:val="285C0613"/>
    <w:rsid w:val="285C3A77"/>
    <w:rsid w:val="285D269A"/>
    <w:rsid w:val="285D6C24"/>
    <w:rsid w:val="285F68BA"/>
    <w:rsid w:val="28604E49"/>
    <w:rsid w:val="286276DC"/>
    <w:rsid w:val="28650375"/>
    <w:rsid w:val="28660052"/>
    <w:rsid w:val="28694820"/>
    <w:rsid w:val="286B34B1"/>
    <w:rsid w:val="286D547B"/>
    <w:rsid w:val="28722295"/>
    <w:rsid w:val="28724840"/>
    <w:rsid w:val="28757E8C"/>
    <w:rsid w:val="287901E7"/>
    <w:rsid w:val="287A478C"/>
    <w:rsid w:val="287A5B2D"/>
    <w:rsid w:val="287B13AE"/>
    <w:rsid w:val="287C4343"/>
    <w:rsid w:val="287C746C"/>
    <w:rsid w:val="287F07DD"/>
    <w:rsid w:val="288325A9"/>
    <w:rsid w:val="28835B5B"/>
    <w:rsid w:val="28840F4F"/>
    <w:rsid w:val="28847071"/>
    <w:rsid w:val="288616D6"/>
    <w:rsid w:val="2886198F"/>
    <w:rsid w:val="28893ED4"/>
    <w:rsid w:val="288F4EE5"/>
    <w:rsid w:val="28973DBD"/>
    <w:rsid w:val="289A5E4A"/>
    <w:rsid w:val="289C7A98"/>
    <w:rsid w:val="289D3530"/>
    <w:rsid w:val="289D53B7"/>
    <w:rsid w:val="28A00388"/>
    <w:rsid w:val="28A15125"/>
    <w:rsid w:val="28A27020"/>
    <w:rsid w:val="28A74058"/>
    <w:rsid w:val="28A74E55"/>
    <w:rsid w:val="28AA2238"/>
    <w:rsid w:val="28AB511F"/>
    <w:rsid w:val="28B10F71"/>
    <w:rsid w:val="28B112DC"/>
    <w:rsid w:val="28B35596"/>
    <w:rsid w:val="28B60BD0"/>
    <w:rsid w:val="28B618A6"/>
    <w:rsid w:val="28B64661"/>
    <w:rsid w:val="28BD001E"/>
    <w:rsid w:val="28BE0004"/>
    <w:rsid w:val="28BE7A85"/>
    <w:rsid w:val="28BF12C5"/>
    <w:rsid w:val="28C07998"/>
    <w:rsid w:val="28C3176B"/>
    <w:rsid w:val="28C4406E"/>
    <w:rsid w:val="28CF6E74"/>
    <w:rsid w:val="28D338C1"/>
    <w:rsid w:val="28D9041B"/>
    <w:rsid w:val="28DA4193"/>
    <w:rsid w:val="28DC5C7A"/>
    <w:rsid w:val="28DF17A9"/>
    <w:rsid w:val="28E0326C"/>
    <w:rsid w:val="28E219C5"/>
    <w:rsid w:val="28E47D3D"/>
    <w:rsid w:val="28E50498"/>
    <w:rsid w:val="28E53263"/>
    <w:rsid w:val="28E62AD1"/>
    <w:rsid w:val="28E64F95"/>
    <w:rsid w:val="28E82D54"/>
    <w:rsid w:val="28E842D2"/>
    <w:rsid w:val="28EB51C2"/>
    <w:rsid w:val="28EC45F2"/>
    <w:rsid w:val="28F063CE"/>
    <w:rsid w:val="28F129DA"/>
    <w:rsid w:val="28F62330"/>
    <w:rsid w:val="28F72F97"/>
    <w:rsid w:val="28F868B9"/>
    <w:rsid w:val="28FB1CF8"/>
    <w:rsid w:val="28FD241C"/>
    <w:rsid w:val="28FD67FF"/>
    <w:rsid w:val="28FE1865"/>
    <w:rsid w:val="28FE4325"/>
    <w:rsid w:val="2904619B"/>
    <w:rsid w:val="2907142C"/>
    <w:rsid w:val="29086F3D"/>
    <w:rsid w:val="29094477"/>
    <w:rsid w:val="290B1FD5"/>
    <w:rsid w:val="290B3BBE"/>
    <w:rsid w:val="290B4148"/>
    <w:rsid w:val="290C0020"/>
    <w:rsid w:val="290F208E"/>
    <w:rsid w:val="29121B7F"/>
    <w:rsid w:val="291711F9"/>
    <w:rsid w:val="291B0A33"/>
    <w:rsid w:val="291D73FD"/>
    <w:rsid w:val="291E6DE3"/>
    <w:rsid w:val="29206EB8"/>
    <w:rsid w:val="29212111"/>
    <w:rsid w:val="29235D45"/>
    <w:rsid w:val="29241888"/>
    <w:rsid w:val="292509B9"/>
    <w:rsid w:val="2926366B"/>
    <w:rsid w:val="292673D8"/>
    <w:rsid w:val="29297AEE"/>
    <w:rsid w:val="292A511A"/>
    <w:rsid w:val="292C0E92"/>
    <w:rsid w:val="292F44DF"/>
    <w:rsid w:val="29302182"/>
    <w:rsid w:val="29302BBA"/>
    <w:rsid w:val="29325D7D"/>
    <w:rsid w:val="29351193"/>
    <w:rsid w:val="293769A5"/>
    <w:rsid w:val="293F1C4C"/>
    <w:rsid w:val="293F445D"/>
    <w:rsid w:val="29462951"/>
    <w:rsid w:val="29463540"/>
    <w:rsid w:val="294855A0"/>
    <w:rsid w:val="294D2BB7"/>
    <w:rsid w:val="295029B7"/>
    <w:rsid w:val="29503844"/>
    <w:rsid w:val="29542197"/>
    <w:rsid w:val="29552E64"/>
    <w:rsid w:val="2957687A"/>
    <w:rsid w:val="29595666"/>
    <w:rsid w:val="295C3BF2"/>
    <w:rsid w:val="29600B3C"/>
    <w:rsid w:val="2960467D"/>
    <w:rsid w:val="29646DE7"/>
    <w:rsid w:val="296521E1"/>
    <w:rsid w:val="2967011C"/>
    <w:rsid w:val="296701C3"/>
    <w:rsid w:val="29672EF0"/>
    <w:rsid w:val="296846DE"/>
    <w:rsid w:val="296E548B"/>
    <w:rsid w:val="296F2428"/>
    <w:rsid w:val="296F6FD1"/>
    <w:rsid w:val="29702DED"/>
    <w:rsid w:val="29705EF8"/>
    <w:rsid w:val="2973086F"/>
    <w:rsid w:val="29746395"/>
    <w:rsid w:val="2975404F"/>
    <w:rsid w:val="2976035F"/>
    <w:rsid w:val="297665B1"/>
    <w:rsid w:val="297939AC"/>
    <w:rsid w:val="297E1D27"/>
    <w:rsid w:val="297F47FA"/>
    <w:rsid w:val="29804D3A"/>
    <w:rsid w:val="29862181"/>
    <w:rsid w:val="29874881"/>
    <w:rsid w:val="29883BEF"/>
    <w:rsid w:val="29887BE6"/>
    <w:rsid w:val="29890093"/>
    <w:rsid w:val="298A04E5"/>
    <w:rsid w:val="298A50E2"/>
    <w:rsid w:val="298B4335"/>
    <w:rsid w:val="298D2933"/>
    <w:rsid w:val="29954C89"/>
    <w:rsid w:val="299A1A87"/>
    <w:rsid w:val="299D29C0"/>
    <w:rsid w:val="299D769A"/>
    <w:rsid w:val="299F3061"/>
    <w:rsid w:val="29A15402"/>
    <w:rsid w:val="29A21BD6"/>
    <w:rsid w:val="29A46C7B"/>
    <w:rsid w:val="29A54090"/>
    <w:rsid w:val="29B30012"/>
    <w:rsid w:val="29B37C4F"/>
    <w:rsid w:val="29B577AD"/>
    <w:rsid w:val="29B61DFE"/>
    <w:rsid w:val="29B669AE"/>
    <w:rsid w:val="29B805B5"/>
    <w:rsid w:val="29BA649E"/>
    <w:rsid w:val="29BA6819"/>
    <w:rsid w:val="29BD5F8E"/>
    <w:rsid w:val="29C04EE3"/>
    <w:rsid w:val="29C50F33"/>
    <w:rsid w:val="29C92980"/>
    <w:rsid w:val="29CB0A4B"/>
    <w:rsid w:val="29CC4423"/>
    <w:rsid w:val="29CF2AF3"/>
    <w:rsid w:val="29D56180"/>
    <w:rsid w:val="29D97EA4"/>
    <w:rsid w:val="29DB744E"/>
    <w:rsid w:val="29DD03DE"/>
    <w:rsid w:val="29E27823"/>
    <w:rsid w:val="29E325E0"/>
    <w:rsid w:val="29E452C9"/>
    <w:rsid w:val="29E476C7"/>
    <w:rsid w:val="29E75002"/>
    <w:rsid w:val="29EA508D"/>
    <w:rsid w:val="29EE1C21"/>
    <w:rsid w:val="29EE439A"/>
    <w:rsid w:val="29EE77FA"/>
    <w:rsid w:val="29EF7D91"/>
    <w:rsid w:val="29F55728"/>
    <w:rsid w:val="29F86FC6"/>
    <w:rsid w:val="29F93E27"/>
    <w:rsid w:val="29FA4AED"/>
    <w:rsid w:val="29FB1AF2"/>
    <w:rsid w:val="29FD45DD"/>
    <w:rsid w:val="29FD649A"/>
    <w:rsid w:val="29FE1972"/>
    <w:rsid w:val="29FF27AF"/>
    <w:rsid w:val="2A001E17"/>
    <w:rsid w:val="2A0103D8"/>
    <w:rsid w:val="2A010B65"/>
    <w:rsid w:val="2A02257D"/>
    <w:rsid w:val="2A0239A1"/>
    <w:rsid w:val="2A07545B"/>
    <w:rsid w:val="2A0C4972"/>
    <w:rsid w:val="2A0F02AA"/>
    <w:rsid w:val="2A1240E7"/>
    <w:rsid w:val="2A153457"/>
    <w:rsid w:val="2A1C1270"/>
    <w:rsid w:val="2A1C4D78"/>
    <w:rsid w:val="2A2051FA"/>
    <w:rsid w:val="2A2258B2"/>
    <w:rsid w:val="2A2808AC"/>
    <w:rsid w:val="2A2A78FC"/>
    <w:rsid w:val="2A2E0C3A"/>
    <w:rsid w:val="2A2E260E"/>
    <w:rsid w:val="2A322AAB"/>
    <w:rsid w:val="2A344FA2"/>
    <w:rsid w:val="2A385615"/>
    <w:rsid w:val="2A3959BD"/>
    <w:rsid w:val="2A3A3158"/>
    <w:rsid w:val="2A3D2C2B"/>
    <w:rsid w:val="2A402BA7"/>
    <w:rsid w:val="2A422652"/>
    <w:rsid w:val="2A452503"/>
    <w:rsid w:val="2A470F83"/>
    <w:rsid w:val="2A497822"/>
    <w:rsid w:val="2A5031F0"/>
    <w:rsid w:val="2A510485"/>
    <w:rsid w:val="2A5131FA"/>
    <w:rsid w:val="2A5175E2"/>
    <w:rsid w:val="2A524929"/>
    <w:rsid w:val="2A5311CF"/>
    <w:rsid w:val="2A571339"/>
    <w:rsid w:val="2A586B15"/>
    <w:rsid w:val="2A5A1EB2"/>
    <w:rsid w:val="2A5F0347"/>
    <w:rsid w:val="2A613B77"/>
    <w:rsid w:val="2A6301C1"/>
    <w:rsid w:val="2A645355"/>
    <w:rsid w:val="2A657603"/>
    <w:rsid w:val="2A6579D5"/>
    <w:rsid w:val="2A683F69"/>
    <w:rsid w:val="2A6B03C5"/>
    <w:rsid w:val="2A6B6C02"/>
    <w:rsid w:val="2A6E5CC2"/>
    <w:rsid w:val="2A6F5586"/>
    <w:rsid w:val="2A72065B"/>
    <w:rsid w:val="2A7402EA"/>
    <w:rsid w:val="2A741425"/>
    <w:rsid w:val="2A767449"/>
    <w:rsid w:val="2A79319F"/>
    <w:rsid w:val="2A7C2E40"/>
    <w:rsid w:val="2A7E0909"/>
    <w:rsid w:val="2A800E25"/>
    <w:rsid w:val="2A832D34"/>
    <w:rsid w:val="2A8459FB"/>
    <w:rsid w:val="2A862824"/>
    <w:rsid w:val="2A8645D2"/>
    <w:rsid w:val="2A872A0F"/>
    <w:rsid w:val="2A88659C"/>
    <w:rsid w:val="2A8D3BB3"/>
    <w:rsid w:val="2A8E16D9"/>
    <w:rsid w:val="2A8F0E2C"/>
    <w:rsid w:val="2A9022F0"/>
    <w:rsid w:val="2A915858"/>
    <w:rsid w:val="2A915D79"/>
    <w:rsid w:val="2A92144F"/>
    <w:rsid w:val="2A952A67"/>
    <w:rsid w:val="2A9C5BA4"/>
    <w:rsid w:val="2A9D6249"/>
    <w:rsid w:val="2A9E5F4E"/>
    <w:rsid w:val="2A9F7930"/>
    <w:rsid w:val="2AA25F1B"/>
    <w:rsid w:val="2AA3548A"/>
    <w:rsid w:val="2AA36F32"/>
    <w:rsid w:val="2AA47D98"/>
    <w:rsid w:val="2AA54483"/>
    <w:rsid w:val="2AA55A25"/>
    <w:rsid w:val="2AA57EA2"/>
    <w:rsid w:val="2AA65703"/>
    <w:rsid w:val="2AA77572"/>
    <w:rsid w:val="2AAA5337"/>
    <w:rsid w:val="2AB126E5"/>
    <w:rsid w:val="2AB707DB"/>
    <w:rsid w:val="2ABD086C"/>
    <w:rsid w:val="2AC11AAE"/>
    <w:rsid w:val="2AC22BC3"/>
    <w:rsid w:val="2AC35C73"/>
    <w:rsid w:val="2AC42B90"/>
    <w:rsid w:val="2AC5773D"/>
    <w:rsid w:val="2AC704F0"/>
    <w:rsid w:val="2AC723D0"/>
    <w:rsid w:val="2AC77C1E"/>
    <w:rsid w:val="2AC81DBC"/>
    <w:rsid w:val="2AC86FE9"/>
    <w:rsid w:val="2AC944BF"/>
    <w:rsid w:val="2ACD52C8"/>
    <w:rsid w:val="2ACF7D27"/>
    <w:rsid w:val="2AD34027"/>
    <w:rsid w:val="2AD76FA9"/>
    <w:rsid w:val="2ADA3984"/>
    <w:rsid w:val="2ADA66CC"/>
    <w:rsid w:val="2ADC2444"/>
    <w:rsid w:val="2AE00FBD"/>
    <w:rsid w:val="2AE01F34"/>
    <w:rsid w:val="2AE37E6B"/>
    <w:rsid w:val="2AE7382F"/>
    <w:rsid w:val="2AED68E5"/>
    <w:rsid w:val="2AF0259C"/>
    <w:rsid w:val="2AF21C68"/>
    <w:rsid w:val="2AF30508"/>
    <w:rsid w:val="2AF53506"/>
    <w:rsid w:val="2AFB6D6E"/>
    <w:rsid w:val="2AFE76F7"/>
    <w:rsid w:val="2B083B7A"/>
    <w:rsid w:val="2B0D0850"/>
    <w:rsid w:val="2B0E36C7"/>
    <w:rsid w:val="2B0E519C"/>
    <w:rsid w:val="2B1334DC"/>
    <w:rsid w:val="2B1378E4"/>
    <w:rsid w:val="2B142A9B"/>
    <w:rsid w:val="2B151156"/>
    <w:rsid w:val="2B1C14F5"/>
    <w:rsid w:val="2B1E220B"/>
    <w:rsid w:val="2B2206D1"/>
    <w:rsid w:val="2B242521"/>
    <w:rsid w:val="2B250BA0"/>
    <w:rsid w:val="2B27276C"/>
    <w:rsid w:val="2B2A60AD"/>
    <w:rsid w:val="2B2F135F"/>
    <w:rsid w:val="2B3109E2"/>
    <w:rsid w:val="2B31789F"/>
    <w:rsid w:val="2B33664A"/>
    <w:rsid w:val="2B3620AF"/>
    <w:rsid w:val="2B363920"/>
    <w:rsid w:val="2B374FB2"/>
    <w:rsid w:val="2B3F2232"/>
    <w:rsid w:val="2B400609"/>
    <w:rsid w:val="2B404781"/>
    <w:rsid w:val="2B41472B"/>
    <w:rsid w:val="2B435E53"/>
    <w:rsid w:val="2B4569F9"/>
    <w:rsid w:val="2B4C0D09"/>
    <w:rsid w:val="2B4C581C"/>
    <w:rsid w:val="2B4D11BC"/>
    <w:rsid w:val="2B4F105E"/>
    <w:rsid w:val="2B520958"/>
    <w:rsid w:val="2B525CA6"/>
    <w:rsid w:val="2B580B0E"/>
    <w:rsid w:val="2B581B41"/>
    <w:rsid w:val="2B5C30F6"/>
    <w:rsid w:val="2B5D0A71"/>
    <w:rsid w:val="2B5D5D70"/>
    <w:rsid w:val="2B604E23"/>
    <w:rsid w:val="2B6227FB"/>
    <w:rsid w:val="2B681F2A"/>
    <w:rsid w:val="2B696C8F"/>
    <w:rsid w:val="2B6B1101"/>
    <w:rsid w:val="2B764647"/>
    <w:rsid w:val="2B7703BB"/>
    <w:rsid w:val="2B770F5A"/>
    <w:rsid w:val="2B7803BF"/>
    <w:rsid w:val="2B791B81"/>
    <w:rsid w:val="2B7A6E36"/>
    <w:rsid w:val="2B7C23F4"/>
    <w:rsid w:val="2B7E34FB"/>
    <w:rsid w:val="2B812BDA"/>
    <w:rsid w:val="2B820E1F"/>
    <w:rsid w:val="2B856638"/>
    <w:rsid w:val="2B863937"/>
    <w:rsid w:val="2B8710E5"/>
    <w:rsid w:val="2B886128"/>
    <w:rsid w:val="2B8D373E"/>
    <w:rsid w:val="2B8E0D6E"/>
    <w:rsid w:val="2B9176D3"/>
    <w:rsid w:val="2B942D1F"/>
    <w:rsid w:val="2B9469D6"/>
    <w:rsid w:val="2B98280F"/>
    <w:rsid w:val="2B982DA6"/>
    <w:rsid w:val="2B98444E"/>
    <w:rsid w:val="2B9845BD"/>
    <w:rsid w:val="2B986606"/>
    <w:rsid w:val="2B9A6426"/>
    <w:rsid w:val="2BA31629"/>
    <w:rsid w:val="2BA430B1"/>
    <w:rsid w:val="2BA46A9A"/>
    <w:rsid w:val="2BA82B14"/>
    <w:rsid w:val="2BA8685B"/>
    <w:rsid w:val="2BA936A8"/>
    <w:rsid w:val="2BA95E0A"/>
    <w:rsid w:val="2BAC067A"/>
    <w:rsid w:val="2BAC1E16"/>
    <w:rsid w:val="2BB04AAB"/>
    <w:rsid w:val="2BB30A63"/>
    <w:rsid w:val="2BB63C32"/>
    <w:rsid w:val="2BB86A0D"/>
    <w:rsid w:val="2BBD4024"/>
    <w:rsid w:val="2BC236A6"/>
    <w:rsid w:val="2BC25ADE"/>
    <w:rsid w:val="2BC51FF4"/>
    <w:rsid w:val="2BC5532B"/>
    <w:rsid w:val="2BC955FF"/>
    <w:rsid w:val="2BCA4992"/>
    <w:rsid w:val="2BCC32C3"/>
    <w:rsid w:val="2BCF1505"/>
    <w:rsid w:val="2BD04B43"/>
    <w:rsid w:val="2BD07F46"/>
    <w:rsid w:val="2BD4687B"/>
    <w:rsid w:val="2BD66E93"/>
    <w:rsid w:val="2BD91826"/>
    <w:rsid w:val="2BDA1A1F"/>
    <w:rsid w:val="2BDA3ECD"/>
    <w:rsid w:val="2BDF043E"/>
    <w:rsid w:val="2BE02FAC"/>
    <w:rsid w:val="2BE17229"/>
    <w:rsid w:val="2BE242DB"/>
    <w:rsid w:val="2BE9711E"/>
    <w:rsid w:val="2BEA293F"/>
    <w:rsid w:val="2BEC0293"/>
    <w:rsid w:val="2BEF7F55"/>
    <w:rsid w:val="2BFC4F21"/>
    <w:rsid w:val="2BFD42D8"/>
    <w:rsid w:val="2BFF00B7"/>
    <w:rsid w:val="2BFF3B6E"/>
    <w:rsid w:val="2C0537AD"/>
    <w:rsid w:val="2C0D0D69"/>
    <w:rsid w:val="2C112C87"/>
    <w:rsid w:val="2C113EF3"/>
    <w:rsid w:val="2C1331EE"/>
    <w:rsid w:val="2C13673D"/>
    <w:rsid w:val="2C160BAE"/>
    <w:rsid w:val="2C167B7D"/>
    <w:rsid w:val="2C177770"/>
    <w:rsid w:val="2C183950"/>
    <w:rsid w:val="2C1874AC"/>
    <w:rsid w:val="2C1B6F9C"/>
    <w:rsid w:val="2C1D0F66"/>
    <w:rsid w:val="2C1D23E7"/>
    <w:rsid w:val="2C260B70"/>
    <w:rsid w:val="2C271171"/>
    <w:rsid w:val="2C2871AC"/>
    <w:rsid w:val="2C2916B9"/>
    <w:rsid w:val="2C2B4E88"/>
    <w:rsid w:val="2C2C3005"/>
    <w:rsid w:val="2C2C389F"/>
    <w:rsid w:val="2C2E4F21"/>
    <w:rsid w:val="2C307849"/>
    <w:rsid w:val="2C3103EF"/>
    <w:rsid w:val="2C315A5A"/>
    <w:rsid w:val="2C332DE9"/>
    <w:rsid w:val="2C351CF9"/>
    <w:rsid w:val="2C3A325C"/>
    <w:rsid w:val="2C3A5674"/>
    <w:rsid w:val="2C3B2C21"/>
    <w:rsid w:val="2C3B319A"/>
    <w:rsid w:val="2C3C763E"/>
    <w:rsid w:val="2C4049C9"/>
    <w:rsid w:val="2C484235"/>
    <w:rsid w:val="2C491D5B"/>
    <w:rsid w:val="2C4B07D6"/>
    <w:rsid w:val="2C4B1C25"/>
    <w:rsid w:val="2C4B4A59"/>
    <w:rsid w:val="2C4C12EE"/>
    <w:rsid w:val="2C522110"/>
    <w:rsid w:val="2C534988"/>
    <w:rsid w:val="2C554319"/>
    <w:rsid w:val="2C660DE9"/>
    <w:rsid w:val="2C6C3C17"/>
    <w:rsid w:val="2C6E17C2"/>
    <w:rsid w:val="2C774E6F"/>
    <w:rsid w:val="2C7C2710"/>
    <w:rsid w:val="2C82701B"/>
    <w:rsid w:val="2C83526D"/>
    <w:rsid w:val="2C845EEB"/>
    <w:rsid w:val="2C884632"/>
    <w:rsid w:val="2C8B4122"/>
    <w:rsid w:val="2C8C32E6"/>
    <w:rsid w:val="2C8D1B10"/>
    <w:rsid w:val="2C8D3141"/>
    <w:rsid w:val="2C8D3F18"/>
    <w:rsid w:val="2C8D7E9A"/>
    <w:rsid w:val="2C8E59C0"/>
    <w:rsid w:val="2C923702"/>
    <w:rsid w:val="2C932FD6"/>
    <w:rsid w:val="2C956D4E"/>
    <w:rsid w:val="2C970D19"/>
    <w:rsid w:val="2C9859C5"/>
    <w:rsid w:val="2C9A25B7"/>
    <w:rsid w:val="2C9E20A7"/>
    <w:rsid w:val="2CA30C33"/>
    <w:rsid w:val="2CA61532"/>
    <w:rsid w:val="2CAB3FB4"/>
    <w:rsid w:val="2CAD5E46"/>
    <w:rsid w:val="2CB23D89"/>
    <w:rsid w:val="2CB74F17"/>
    <w:rsid w:val="2CB85CE4"/>
    <w:rsid w:val="2CBC116A"/>
    <w:rsid w:val="2CBE441A"/>
    <w:rsid w:val="2CBE75BA"/>
    <w:rsid w:val="2CBF201D"/>
    <w:rsid w:val="2CC850DE"/>
    <w:rsid w:val="2CC90115"/>
    <w:rsid w:val="2CC94C4A"/>
    <w:rsid w:val="2CC97ED5"/>
    <w:rsid w:val="2CCA0F80"/>
    <w:rsid w:val="2CCA2E9C"/>
    <w:rsid w:val="2CCC7516"/>
    <w:rsid w:val="2CD132FA"/>
    <w:rsid w:val="2CE37ABA"/>
    <w:rsid w:val="2CE7773F"/>
    <w:rsid w:val="2CE850D0"/>
    <w:rsid w:val="2CEA7114"/>
    <w:rsid w:val="2CEC2B37"/>
    <w:rsid w:val="2CED6647"/>
    <w:rsid w:val="2CED7EFA"/>
    <w:rsid w:val="2CF1688B"/>
    <w:rsid w:val="2CF20732"/>
    <w:rsid w:val="2CF24CA2"/>
    <w:rsid w:val="2CF2630C"/>
    <w:rsid w:val="2CF72C5E"/>
    <w:rsid w:val="2CF7700F"/>
    <w:rsid w:val="2CFA0EAC"/>
    <w:rsid w:val="2CFC11CF"/>
    <w:rsid w:val="2CFC71ED"/>
    <w:rsid w:val="2D014BAF"/>
    <w:rsid w:val="2D063A2A"/>
    <w:rsid w:val="2D0A34F2"/>
    <w:rsid w:val="2D0C2D8C"/>
    <w:rsid w:val="2D0C2F4B"/>
    <w:rsid w:val="2D0E18CC"/>
    <w:rsid w:val="2D0E19EA"/>
    <w:rsid w:val="2D10232E"/>
    <w:rsid w:val="2D104627"/>
    <w:rsid w:val="2D1147D4"/>
    <w:rsid w:val="2D115640"/>
    <w:rsid w:val="2D116135"/>
    <w:rsid w:val="2D147FC8"/>
    <w:rsid w:val="2D152EB5"/>
    <w:rsid w:val="2D161B28"/>
    <w:rsid w:val="2D1660E1"/>
    <w:rsid w:val="2D1C121E"/>
    <w:rsid w:val="2D1E0AF2"/>
    <w:rsid w:val="2D1F080E"/>
    <w:rsid w:val="2D2160A8"/>
    <w:rsid w:val="2D216834"/>
    <w:rsid w:val="2D22320F"/>
    <w:rsid w:val="2D25616A"/>
    <w:rsid w:val="2D257E35"/>
    <w:rsid w:val="2D2A56E9"/>
    <w:rsid w:val="2D360531"/>
    <w:rsid w:val="2D3C2DC7"/>
    <w:rsid w:val="2D3C65BD"/>
    <w:rsid w:val="2D3E0EB4"/>
    <w:rsid w:val="2D404B7D"/>
    <w:rsid w:val="2D4367AA"/>
    <w:rsid w:val="2D483DC1"/>
    <w:rsid w:val="2D49405F"/>
    <w:rsid w:val="2D495F67"/>
    <w:rsid w:val="2D4C1B03"/>
    <w:rsid w:val="2D4D13D7"/>
    <w:rsid w:val="2D5A6F34"/>
    <w:rsid w:val="2D5B7EF0"/>
    <w:rsid w:val="2D5E4FD6"/>
    <w:rsid w:val="2D60735C"/>
    <w:rsid w:val="2D660EF7"/>
    <w:rsid w:val="2D686211"/>
    <w:rsid w:val="2D6C3F53"/>
    <w:rsid w:val="2D6C5D01"/>
    <w:rsid w:val="2D6D76E8"/>
    <w:rsid w:val="2D6E3212"/>
    <w:rsid w:val="2D7106AE"/>
    <w:rsid w:val="2D7501E6"/>
    <w:rsid w:val="2D79041E"/>
    <w:rsid w:val="2D7A3B78"/>
    <w:rsid w:val="2D7B215C"/>
    <w:rsid w:val="2D7C07AF"/>
    <w:rsid w:val="2D7F6AA1"/>
    <w:rsid w:val="2D801185"/>
    <w:rsid w:val="2D8017AD"/>
    <w:rsid w:val="2D80335C"/>
    <w:rsid w:val="2D811081"/>
    <w:rsid w:val="2D834DF9"/>
    <w:rsid w:val="2D834F48"/>
    <w:rsid w:val="2D89436C"/>
    <w:rsid w:val="2D917516"/>
    <w:rsid w:val="2D934F8E"/>
    <w:rsid w:val="2D95198F"/>
    <w:rsid w:val="2D957F46"/>
    <w:rsid w:val="2D970F51"/>
    <w:rsid w:val="2D9E56F5"/>
    <w:rsid w:val="2DA343BA"/>
    <w:rsid w:val="2DA34AA4"/>
    <w:rsid w:val="2DA45D2F"/>
    <w:rsid w:val="2DA46C77"/>
    <w:rsid w:val="2DA91F0A"/>
    <w:rsid w:val="2DAD00C8"/>
    <w:rsid w:val="2DB1042C"/>
    <w:rsid w:val="2DB264FF"/>
    <w:rsid w:val="2DB47891"/>
    <w:rsid w:val="2DBA01FC"/>
    <w:rsid w:val="2DBC0F60"/>
    <w:rsid w:val="2DC07527"/>
    <w:rsid w:val="2DC215D7"/>
    <w:rsid w:val="2DC25921"/>
    <w:rsid w:val="2DC6002C"/>
    <w:rsid w:val="2DC813D3"/>
    <w:rsid w:val="2DCA2A28"/>
    <w:rsid w:val="2DCC2611"/>
    <w:rsid w:val="2DCE2518"/>
    <w:rsid w:val="2DD13DB6"/>
    <w:rsid w:val="2DD56D57"/>
    <w:rsid w:val="2DDC3AF8"/>
    <w:rsid w:val="2DDD2AFC"/>
    <w:rsid w:val="2DDE5023"/>
    <w:rsid w:val="2DE4184D"/>
    <w:rsid w:val="2DE51610"/>
    <w:rsid w:val="2DE7283B"/>
    <w:rsid w:val="2DEA4E78"/>
    <w:rsid w:val="2DEB6600"/>
    <w:rsid w:val="2DEC308B"/>
    <w:rsid w:val="2DED5496"/>
    <w:rsid w:val="2DEE57B9"/>
    <w:rsid w:val="2DEF4F2D"/>
    <w:rsid w:val="2DF24D24"/>
    <w:rsid w:val="2DF45CF7"/>
    <w:rsid w:val="2DF56170"/>
    <w:rsid w:val="2DF63CAD"/>
    <w:rsid w:val="2DF91D28"/>
    <w:rsid w:val="2DFA0F7B"/>
    <w:rsid w:val="2DFB52D7"/>
    <w:rsid w:val="2DFC3D52"/>
    <w:rsid w:val="2DFD4BAB"/>
    <w:rsid w:val="2E01707A"/>
    <w:rsid w:val="2E0452AE"/>
    <w:rsid w:val="2E045F3A"/>
    <w:rsid w:val="2E067837"/>
    <w:rsid w:val="2E084AD9"/>
    <w:rsid w:val="2E09491C"/>
    <w:rsid w:val="2E0A46C0"/>
    <w:rsid w:val="2E0F302F"/>
    <w:rsid w:val="2E1168A9"/>
    <w:rsid w:val="2E146D3D"/>
    <w:rsid w:val="2E187C37"/>
    <w:rsid w:val="2E1E446E"/>
    <w:rsid w:val="2E1F01DB"/>
    <w:rsid w:val="2E1F21DE"/>
    <w:rsid w:val="2E1F4FBB"/>
    <w:rsid w:val="2E224612"/>
    <w:rsid w:val="2E254102"/>
    <w:rsid w:val="2E266125"/>
    <w:rsid w:val="2E277155"/>
    <w:rsid w:val="2E2959C2"/>
    <w:rsid w:val="2E2C36E3"/>
    <w:rsid w:val="2E2D7583"/>
    <w:rsid w:val="2E2E6A10"/>
    <w:rsid w:val="2E2F1EAB"/>
    <w:rsid w:val="2E2F500B"/>
    <w:rsid w:val="2E3330A5"/>
    <w:rsid w:val="2E347BF0"/>
    <w:rsid w:val="2E357BE8"/>
    <w:rsid w:val="2E3711BD"/>
    <w:rsid w:val="2E377861"/>
    <w:rsid w:val="2E383E35"/>
    <w:rsid w:val="2E3A0657"/>
    <w:rsid w:val="2E3A0D95"/>
    <w:rsid w:val="2E3A7BAD"/>
    <w:rsid w:val="2E3D6D05"/>
    <w:rsid w:val="2E44569A"/>
    <w:rsid w:val="2E447245"/>
    <w:rsid w:val="2E4C56E2"/>
    <w:rsid w:val="2E507EAA"/>
    <w:rsid w:val="2E534C69"/>
    <w:rsid w:val="2E550EF4"/>
    <w:rsid w:val="2E553BD3"/>
    <w:rsid w:val="2E58314B"/>
    <w:rsid w:val="2E5975C6"/>
    <w:rsid w:val="2E5A27AE"/>
    <w:rsid w:val="2E5D3887"/>
    <w:rsid w:val="2E5F45A1"/>
    <w:rsid w:val="2E600E98"/>
    <w:rsid w:val="2E607946"/>
    <w:rsid w:val="2E636161"/>
    <w:rsid w:val="2E656E59"/>
    <w:rsid w:val="2E6609A2"/>
    <w:rsid w:val="2E667F96"/>
    <w:rsid w:val="2E676C01"/>
    <w:rsid w:val="2E68576B"/>
    <w:rsid w:val="2E692939"/>
    <w:rsid w:val="2E6A068C"/>
    <w:rsid w:val="2E6A394E"/>
    <w:rsid w:val="2E6B3833"/>
    <w:rsid w:val="2E6E305B"/>
    <w:rsid w:val="2E70537D"/>
    <w:rsid w:val="2E7128CD"/>
    <w:rsid w:val="2E7B78A6"/>
    <w:rsid w:val="2E7C6418"/>
    <w:rsid w:val="2E81758A"/>
    <w:rsid w:val="2E8226AB"/>
    <w:rsid w:val="2E823AE3"/>
    <w:rsid w:val="2E833832"/>
    <w:rsid w:val="2E8828A0"/>
    <w:rsid w:val="2E8974F1"/>
    <w:rsid w:val="2E8C67AE"/>
    <w:rsid w:val="2E8E614B"/>
    <w:rsid w:val="2E8F28F0"/>
    <w:rsid w:val="2E8F3097"/>
    <w:rsid w:val="2E9077CD"/>
    <w:rsid w:val="2E921798"/>
    <w:rsid w:val="2E925290"/>
    <w:rsid w:val="2E9721C4"/>
    <w:rsid w:val="2E975000"/>
    <w:rsid w:val="2E976549"/>
    <w:rsid w:val="2E994B43"/>
    <w:rsid w:val="2E9A064C"/>
    <w:rsid w:val="2E9A0EA2"/>
    <w:rsid w:val="2E9B6172"/>
    <w:rsid w:val="2EA15B7D"/>
    <w:rsid w:val="2EA17C2D"/>
    <w:rsid w:val="2EA27501"/>
    <w:rsid w:val="2EA72782"/>
    <w:rsid w:val="2EAD176D"/>
    <w:rsid w:val="2EAE40C7"/>
    <w:rsid w:val="2EB07E70"/>
    <w:rsid w:val="2EB3170E"/>
    <w:rsid w:val="2EB86D24"/>
    <w:rsid w:val="2EBA6F40"/>
    <w:rsid w:val="2EBC25D6"/>
    <w:rsid w:val="2EBE106F"/>
    <w:rsid w:val="2EBE6FFF"/>
    <w:rsid w:val="2EBF00B3"/>
    <w:rsid w:val="2EC21951"/>
    <w:rsid w:val="2EC35DF5"/>
    <w:rsid w:val="2EC51ECD"/>
    <w:rsid w:val="2EC612D6"/>
    <w:rsid w:val="2EC658E5"/>
    <w:rsid w:val="2ECE631F"/>
    <w:rsid w:val="2ED022C0"/>
    <w:rsid w:val="2ED44C73"/>
    <w:rsid w:val="2ED51684"/>
    <w:rsid w:val="2ED52984"/>
    <w:rsid w:val="2ED53F31"/>
    <w:rsid w:val="2ED7364E"/>
    <w:rsid w:val="2ED96AF1"/>
    <w:rsid w:val="2EDA313F"/>
    <w:rsid w:val="2EDE2C2F"/>
    <w:rsid w:val="2EE11AF4"/>
    <w:rsid w:val="2EE22795"/>
    <w:rsid w:val="2EE23DA1"/>
    <w:rsid w:val="2EE3765C"/>
    <w:rsid w:val="2EEA4B27"/>
    <w:rsid w:val="2EEA5E86"/>
    <w:rsid w:val="2EEB534C"/>
    <w:rsid w:val="2EEC6A5D"/>
    <w:rsid w:val="2EEC7F11"/>
    <w:rsid w:val="2EEE2B70"/>
    <w:rsid w:val="2EEF6CAB"/>
    <w:rsid w:val="2EF22AA8"/>
    <w:rsid w:val="2EF31DD9"/>
    <w:rsid w:val="2EF51D26"/>
    <w:rsid w:val="2EF5419F"/>
    <w:rsid w:val="2EF97A69"/>
    <w:rsid w:val="2EFB644D"/>
    <w:rsid w:val="2EFB6E53"/>
    <w:rsid w:val="2F002678"/>
    <w:rsid w:val="2F063F34"/>
    <w:rsid w:val="2F0C29C6"/>
    <w:rsid w:val="2F110B29"/>
    <w:rsid w:val="2F1E127D"/>
    <w:rsid w:val="2F23477E"/>
    <w:rsid w:val="2F244DCB"/>
    <w:rsid w:val="2F2452B6"/>
    <w:rsid w:val="2F24592B"/>
    <w:rsid w:val="2F2615FC"/>
    <w:rsid w:val="2F266384"/>
    <w:rsid w:val="2F28578F"/>
    <w:rsid w:val="2F2A7C22"/>
    <w:rsid w:val="2F2B0AB5"/>
    <w:rsid w:val="2F2B399A"/>
    <w:rsid w:val="2F305E28"/>
    <w:rsid w:val="2F3804BC"/>
    <w:rsid w:val="2F380C3E"/>
    <w:rsid w:val="2F394933"/>
    <w:rsid w:val="2F3B5C2F"/>
    <w:rsid w:val="2F3C5BA7"/>
    <w:rsid w:val="2F3D3CAC"/>
    <w:rsid w:val="2F462582"/>
    <w:rsid w:val="2F4E5468"/>
    <w:rsid w:val="2F515A00"/>
    <w:rsid w:val="2F5437B1"/>
    <w:rsid w:val="2F5924E6"/>
    <w:rsid w:val="2F5A7DDB"/>
    <w:rsid w:val="2F5C7FF7"/>
    <w:rsid w:val="2F602A88"/>
    <w:rsid w:val="2F651A4D"/>
    <w:rsid w:val="2F656EAC"/>
    <w:rsid w:val="2F676A56"/>
    <w:rsid w:val="2F6A44C2"/>
    <w:rsid w:val="2F6A6270"/>
    <w:rsid w:val="2F7045BF"/>
    <w:rsid w:val="2F76187C"/>
    <w:rsid w:val="2F762E67"/>
    <w:rsid w:val="2F7743A5"/>
    <w:rsid w:val="2F776BDF"/>
    <w:rsid w:val="2F7920E3"/>
    <w:rsid w:val="2F884949"/>
    <w:rsid w:val="2F8D0762"/>
    <w:rsid w:val="2F8F2CDE"/>
    <w:rsid w:val="2F9102C3"/>
    <w:rsid w:val="2F927575"/>
    <w:rsid w:val="2F950E14"/>
    <w:rsid w:val="2F964B55"/>
    <w:rsid w:val="2F9848A1"/>
    <w:rsid w:val="2F996FA3"/>
    <w:rsid w:val="2F9A43BB"/>
    <w:rsid w:val="2FA03AA3"/>
    <w:rsid w:val="2FA051DD"/>
    <w:rsid w:val="2FA258B3"/>
    <w:rsid w:val="2FA379D4"/>
    <w:rsid w:val="2FA44EB0"/>
    <w:rsid w:val="2FA6493F"/>
    <w:rsid w:val="2FA675AD"/>
    <w:rsid w:val="2FA81D11"/>
    <w:rsid w:val="2FAA2B11"/>
    <w:rsid w:val="2FAA3CDA"/>
    <w:rsid w:val="2FAC1422"/>
    <w:rsid w:val="2FAE6E78"/>
    <w:rsid w:val="2FBA3998"/>
    <w:rsid w:val="2FBB4D1E"/>
    <w:rsid w:val="2FBC11C2"/>
    <w:rsid w:val="2FBD3A21"/>
    <w:rsid w:val="2FC013DE"/>
    <w:rsid w:val="2FC21BF5"/>
    <w:rsid w:val="2FC65F20"/>
    <w:rsid w:val="2FC75471"/>
    <w:rsid w:val="2FC811E9"/>
    <w:rsid w:val="2FCD6EDA"/>
    <w:rsid w:val="2FD065E6"/>
    <w:rsid w:val="2FD23E16"/>
    <w:rsid w:val="2FD41A3C"/>
    <w:rsid w:val="2FD872D7"/>
    <w:rsid w:val="2FD8767E"/>
    <w:rsid w:val="2FD96870"/>
    <w:rsid w:val="2FDA2D1F"/>
    <w:rsid w:val="2FDB33D8"/>
    <w:rsid w:val="2FDC227C"/>
    <w:rsid w:val="2FE101E0"/>
    <w:rsid w:val="2FE20407"/>
    <w:rsid w:val="2FE409BA"/>
    <w:rsid w:val="2FE438E0"/>
    <w:rsid w:val="2FE57FED"/>
    <w:rsid w:val="2FE778C1"/>
    <w:rsid w:val="2FED0C50"/>
    <w:rsid w:val="2FF211C3"/>
    <w:rsid w:val="2FF369B6"/>
    <w:rsid w:val="2FF84DC4"/>
    <w:rsid w:val="2FF85ECF"/>
    <w:rsid w:val="2FFA017A"/>
    <w:rsid w:val="30043020"/>
    <w:rsid w:val="30045FCD"/>
    <w:rsid w:val="300A1F6A"/>
    <w:rsid w:val="300C231C"/>
    <w:rsid w:val="300D60AD"/>
    <w:rsid w:val="300F2804"/>
    <w:rsid w:val="300F5B49"/>
    <w:rsid w:val="301546E5"/>
    <w:rsid w:val="30161F54"/>
    <w:rsid w:val="3018499C"/>
    <w:rsid w:val="301C025E"/>
    <w:rsid w:val="30202DD3"/>
    <w:rsid w:val="30215E22"/>
    <w:rsid w:val="302361DE"/>
    <w:rsid w:val="302402A4"/>
    <w:rsid w:val="30275F10"/>
    <w:rsid w:val="302C3161"/>
    <w:rsid w:val="302C5C1C"/>
    <w:rsid w:val="302D3B12"/>
    <w:rsid w:val="302D482A"/>
    <w:rsid w:val="302F17A2"/>
    <w:rsid w:val="3031330E"/>
    <w:rsid w:val="30317CC9"/>
    <w:rsid w:val="30330D58"/>
    <w:rsid w:val="3034687E"/>
    <w:rsid w:val="303800C4"/>
    <w:rsid w:val="3038636F"/>
    <w:rsid w:val="303962A6"/>
    <w:rsid w:val="303A2155"/>
    <w:rsid w:val="303D0866"/>
    <w:rsid w:val="303E6F6E"/>
    <w:rsid w:val="303F0D73"/>
    <w:rsid w:val="303F76FD"/>
    <w:rsid w:val="3044266E"/>
    <w:rsid w:val="30470FC3"/>
    <w:rsid w:val="30482885"/>
    <w:rsid w:val="304A7E50"/>
    <w:rsid w:val="304B199D"/>
    <w:rsid w:val="304E7940"/>
    <w:rsid w:val="30553A97"/>
    <w:rsid w:val="30580BC9"/>
    <w:rsid w:val="30592D29"/>
    <w:rsid w:val="30596F25"/>
    <w:rsid w:val="305B22B4"/>
    <w:rsid w:val="305B60F8"/>
    <w:rsid w:val="305C417D"/>
    <w:rsid w:val="305D200D"/>
    <w:rsid w:val="305D7597"/>
    <w:rsid w:val="305E5FFC"/>
    <w:rsid w:val="30607673"/>
    <w:rsid w:val="3062519A"/>
    <w:rsid w:val="306E2564"/>
    <w:rsid w:val="30716268"/>
    <w:rsid w:val="3073392F"/>
    <w:rsid w:val="3077560B"/>
    <w:rsid w:val="30784ED7"/>
    <w:rsid w:val="3078777A"/>
    <w:rsid w:val="30792963"/>
    <w:rsid w:val="30814513"/>
    <w:rsid w:val="30871D2D"/>
    <w:rsid w:val="308845EF"/>
    <w:rsid w:val="30907AD5"/>
    <w:rsid w:val="309364E3"/>
    <w:rsid w:val="309537C1"/>
    <w:rsid w:val="30980BBB"/>
    <w:rsid w:val="3098505F"/>
    <w:rsid w:val="30997731"/>
    <w:rsid w:val="309B3BC7"/>
    <w:rsid w:val="309B44EB"/>
    <w:rsid w:val="309E4A4D"/>
    <w:rsid w:val="309E4ED2"/>
    <w:rsid w:val="30A265DD"/>
    <w:rsid w:val="30AA156F"/>
    <w:rsid w:val="30AC28B9"/>
    <w:rsid w:val="30AC68D4"/>
    <w:rsid w:val="30AD13D1"/>
    <w:rsid w:val="30AE283E"/>
    <w:rsid w:val="30AE7314"/>
    <w:rsid w:val="30B113A2"/>
    <w:rsid w:val="30B11C7D"/>
    <w:rsid w:val="30B1374C"/>
    <w:rsid w:val="30B45ED1"/>
    <w:rsid w:val="30B71989"/>
    <w:rsid w:val="30B8300C"/>
    <w:rsid w:val="30BA4FD6"/>
    <w:rsid w:val="30BA794F"/>
    <w:rsid w:val="30BC0D4E"/>
    <w:rsid w:val="30C026E3"/>
    <w:rsid w:val="30C054E5"/>
    <w:rsid w:val="30C16223"/>
    <w:rsid w:val="30C756D3"/>
    <w:rsid w:val="30C96FC7"/>
    <w:rsid w:val="30CC7DC0"/>
    <w:rsid w:val="30CE1161"/>
    <w:rsid w:val="30D37E45"/>
    <w:rsid w:val="30D74EA8"/>
    <w:rsid w:val="30D81F8F"/>
    <w:rsid w:val="30E019C1"/>
    <w:rsid w:val="30E205E6"/>
    <w:rsid w:val="30E2371F"/>
    <w:rsid w:val="30E54F9F"/>
    <w:rsid w:val="30EA063D"/>
    <w:rsid w:val="30EB518F"/>
    <w:rsid w:val="30ED2A24"/>
    <w:rsid w:val="30F120D9"/>
    <w:rsid w:val="30F2476F"/>
    <w:rsid w:val="30F2758C"/>
    <w:rsid w:val="30F45F64"/>
    <w:rsid w:val="30F834A9"/>
    <w:rsid w:val="30F85AFE"/>
    <w:rsid w:val="30FC4CA2"/>
    <w:rsid w:val="30FC4F6C"/>
    <w:rsid w:val="30FD0CC5"/>
    <w:rsid w:val="30FE28BC"/>
    <w:rsid w:val="30FF2EB6"/>
    <w:rsid w:val="30FF4C1D"/>
    <w:rsid w:val="310426F5"/>
    <w:rsid w:val="3106021B"/>
    <w:rsid w:val="31061FC9"/>
    <w:rsid w:val="3106646D"/>
    <w:rsid w:val="310D77FB"/>
    <w:rsid w:val="310F5D67"/>
    <w:rsid w:val="311114E7"/>
    <w:rsid w:val="311961A0"/>
    <w:rsid w:val="311D316D"/>
    <w:rsid w:val="311E2ED7"/>
    <w:rsid w:val="311E5564"/>
    <w:rsid w:val="31236C5D"/>
    <w:rsid w:val="31292053"/>
    <w:rsid w:val="31293F09"/>
    <w:rsid w:val="31295CB7"/>
    <w:rsid w:val="312C2D73"/>
    <w:rsid w:val="31321010"/>
    <w:rsid w:val="31322FCC"/>
    <w:rsid w:val="31330BF0"/>
    <w:rsid w:val="31384CC9"/>
    <w:rsid w:val="313A31A6"/>
    <w:rsid w:val="313B4368"/>
    <w:rsid w:val="313C0531"/>
    <w:rsid w:val="313C59EB"/>
    <w:rsid w:val="313C778B"/>
    <w:rsid w:val="313D4C09"/>
    <w:rsid w:val="314011CA"/>
    <w:rsid w:val="3143532D"/>
    <w:rsid w:val="31467237"/>
    <w:rsid w:val="31476416"/>
    <w:rsid w:val="31482673"/>
    <w:rsid w:val="314920DA"/>
    <w:rsid w:val="314D0E9E"/>
    <w:rsid w:val="314D19A6"/>
    <w:rsid w:val="314D204F"/>
    <w:rsid w:val="314D5E4A"/>
    <w:rsid w:val="314D7001"/>
    <w:rsid w:val="315216B2"/>
    <w:rsid w:val="3152520E"/>
    <w:rsid w:val="31552F50"/>
    <w:rsid w:val="315619EE"/>
    <w:rsid w:val="31572824"/>
    <w:rsid w:val="315947EF"/>
    <w:rsid w:val="315A78A5"/>
    <w:rsid w:val="315C3899"/>
    <w:rsid w:val="315C449C"/>
    <w:rsid w:val="315F6282"/>
    <w:rsid w:val="31634880"/>
    <w:rsid w:val="3163741B"/>
    <w:rsid w:val="31660CB9"/>
    <w:rsid w:val="31690640"/>
    <w:rsid w:val="316B3BD4"/>
    <w:rsid w:val="316E29C0"/>
    <w:rsid w:val="316F417D"/>
    <w:rsid w:val="3175714F"/>
    <w:rsid w:val="31774F39"/>
    <w:rsid w:val="317E4255"/>
    <w:rsid w:val="317F522A"/>
    <w:rsid w:val="31832FA6"/>
    <w:rsid w:val="31852762"/>
    <w:rsid w:val="31855FC4"/>
    <w:rsid w:val="3186135C"/>
    <w:rsid w:val="31873637"/>
    <w:rsid w:val="318C0249"/>
    <w:rsid w:val="318C4BC4"/>
    <w:rsid w:val="318D1EDA"/>
    <w:rsid w:val="318F6067"/>
    <w:rsid w:val="31914B24"/>
    <w:rsid w:val="319366EA"/>
    <w:rsid w:val="319475D5"/>
    <w:rsid w:val="319C59AE"/>
    <w:rsid w:val="319D4A04"/>
    <w:rsid w:val="319F0BCB"/>
    <w:rsid w:val="31A15E20"/>
    <w:rsid w:val="31A57A34"/>
    <w:rsid w:val="31A63EF0"/>
    <w:rsid w:val="31AB119B"/>
    <w:rsid w:val="31B20CC9"/>
    <w:rsid w:val="31B41EEC"/>
    <w:rsid w:val="31B52B04"/>
    <w:rsid w:val="31B70861"/>
    <w:rsid w:val="31B82709"/>
    <w:rsid w:val="31BD5961"/>
    <w:rsid w:val="31C3435E"/>
    <w:rsid w:val="31C95060"/>
    <w:rsid w:val="31CB3A9B"/>
    <w:rsid w:val="31CC2FDA"/>
    <w:rsid w:val="31CC3212"/>
    <w:rsid w:val="31CD6F8B"/>
    <w:rsid w:val="31CE1DCA"/>
    <w:rsid w:val="31D05482"/>
    <w:rsid w:val="31D326E5"/>
    <w:rsid w:val="31D63CDE"/>
    <w:rsid w:val="31D67007"/>
    <w:rsid w:val="31D67BED"/>
    <w:rsid w:val="31D71BB7"/>
    <w:rsid w:val="31D9144F"/>
    <w:rsid w:val="31D93A46"/>
    <w:rsid w:val="31DA2400"/>
    <w:rsid w:val="31DC39F4"/>
    <w:rsid w:val="31E3230A"/>
    <w:rsid w:val="31E34872"/>
    <w:rsid w:val="31E52ED9"/>
    <w:rsid w:val="31E56082"/>
    <w:rsid w:val="31E97577"/>
    <w:rsid w:val="31EA5447"/>
    <w:rsid w:val="31F12C79"/>
    <w:rsid w:val="31F521F9"/>
    <w:rsid w:val="31F664E1"/>
    <w:rsid w:val="31F854E1"/>
    <w:rsid w:val="31F97998"/>
    <w:rsid w:val="31FA0F9A"/>
    <w:rsid w:val="31FB12D2"/>
    <w:rsid w:val="31FF29F8"/>
    <w:rsid w:val="320209E2"/>
    <w:rsid w:val="320504D2"/>
    <w:rsid w:val="32052E05"/>
    <w:rsid w:val="32054898"/>
    <w:rsid w:val="320A11C7"/>
    <w:rsid w:val="320C0A59"/>
    <w:rsid w:val="320C4B14"/>
    <w:rsid w:val="320D1CB0"/>
    <w:rsid w:val="32126A87"/>
    <w:rsid w:val="32126CAE"/>
    <w:rsid w:val="321A5BE5"/>
    <w:rsid w:val="321B4AA4"/>
    <w:rsid w:val="322238AB"/>
    <w:rsid w:val="32272D87"/>
    <w:rsid w:val="322841C1"/>
    <w:rsid w:val="32290665"/>
    <w:rsid w:val="322A2691"/>
    <w:rsid w:val="322B37C3"/>
    <w:rsid w:val="322F0769"/>
    <w:rsid w:val="32372820"/>
    <w:rsid w:val="32390A4E"/>
    <w:rsid w:val="323B5CA2"/>
    <w:rsid w:val="323C7F64"/>
    <w:rsid w:val="323E037D"/>
    <w:rsid w:val="32400B34"/>
    <w:rsid w:val="32417A94"/>
    <w:rsid w:val="324441EF"/>
    <w:rsid w:val="32452FC5"/>
    <w:rsid w:val="32494863"/>
    <w:rsid w:val="32496611"/>
    <w:rsid w:val="324B02A0"/>
    <w:rsid w:val="324D4C33"/>
    <w:rsid w:val="324E54C5"/>
    <w:rsid w:val="324E6DC3"/>
    <w:rsid w:val="324F5BF1"/>
    <w:rsid w:val="325558C1"/>
    <w:rsid w:val="32566140"/>
    <w:rsid w:val="32584AA6"/>
    <w:rsid w:val="325D1BCB"/>
    <w:rsid w:val="325D20BC"/>
    <w:rsid w:val="3267665D"/>
    <w:rsid w:val="32676E8E"/>
    <w:rsid w:val="32677624"/>
    <w:rsid w:val="3268280F"/>
    <w:rsid w:val="326A7E2A"/>
    <w:rsid w:val="326C343E"/>
    <w:rsid w:val="326C67A3"/>
    <w:rsid w:val="327016F3"/>
    <w:rsid w:val="3271146E"/>
    <w:rsid w:val="32736927"/>
    <w:rsid w:val="32785438"/>
    <w:rsid w:val="32785C98"/>
    <w:rsid w:val="32786F1B"/>
    <w:rsid w:val="327B181C"/>
    <w:rsid w:val="327F62D5"/>
    <w:rsid w:val="32814191"/>
    <w:rsid w:val="3287538B"/>
    <w:rsid w:val="328A0197"/>
    <w:rsid w:val="328A09D8"/>
    <w:rsid w:val="328C3A63"/>
    <w:rsid w:val="32900117"/>
    <w:rsid w:val="3293788C"/>
    <w:rsid w:val="32953521"/>
    <w:rsid w:val="32972321"/>
    <w:rsid w:val="329C2DB1"/>
    <w:rsid w:val="329E549E"/>
    <w:rsid w:val="329E6876"/>
    <w:rsid w:val="32A13036"/>
    <w:rsid w:val="32A23F73"/>
    <w:rsid w:val="32A25D21"/>
    <w:rsid w:val="32A26E1B"/>
    <w:rsid w:val="32A5157E"/>
    <w:rsid w:val="32A55BB3"/>
    <w:rsid w:val="32A73338"/>
    <w:rsid w:val="32AB107A"/>
    <w:rsid w:val="32B40914"/>
    <w:rsid w:val="32B51EF8"/>
    <w:rsid w:val="32BC5D3C"/>
    <w:rsid w:val="32C25517"/>
    <w:rsid w:val="32C9048B"/>
    <w:rsid w:val="32C951E5"/>
    <w:rsid w:val="32CD1843"/>
    <w:rsid w:val="32CD79A3"/>
    <w:rsid w:val="32D055ED"/>
    <w:rsid w:val="32D275A4"/>
    <w:rsid w:val="32D71C14"/>
    <w:rsid w:val="32D73B25"/>
    <w:rsid w:val="32D87BED"/>
    <w:rsid w:val="32DA195F"/>
    <w:rsid w:val="32DC18F4"/>
    <w:rsid w:val="32DD02BB"/>
    <w:rsid w:val="32E20814"/>
    <w:rsid w:val="32E225C2"/>
    <w:rsid w:val="32E3107B"/>
    <w:rsid w:val="32E333E4"/>
    <w:rsid w:val="32E56E86"/>
    <w:rsid w:val="32E60304"/>
    <w:rsid w:val="32EB1AA0"/>
    <w:rsid w:val="32F02F31"/>
    <w:rsid w:val="32F046A1"/>
    <w:rsid w:val="32F4352F"/>
    <w:rsid w:val="32F57AAB"/>
    <w:rsid w:val="32F718F7"/>
    <w:rsid w:val="32F868AE"/>
    <w:rsid w:val="33072028"/>
    <w:rsid w:val="33074547"/>
    <w:rsid w:val="33093FF2"/>
    <w:rsid w:val="330942C6"/>
    <w:rsid w:val="330C7E38"/>
    <w:rsid w:val="330E33B7"/>
    <w:rsid w:val="330F6465"/>
    <w:rsid w:val="3313658A"/>
    <w:rsid w:val="33136676"/>
    <w:rsid w:val="33184235"/>
    <w:rsid w:val="331A61FF"/>
    <w:rsid w:val="331F0BAF"/>
    <w:rsid w:val="33204425"/>
    <w:rsid w:val="3323266A"/>
    <w:rsid w:val="33235D37"/>
    <w:rsid w:val="33252E95"/>
    <w:rsid w:val="332936B5"/>
    <w:rsid w:val="332B568D"/>
    <w:rsid w:val="332D0E3F"/>
    <w:rsid w:val="333015F2"/>
    <w:rsid w:val="3330427E"/>
    <w:rsid w:val="3333344C"/>
    <w:rsid w:val="33367927"/>
    <w:rsid w:val="33371EB1"/>
    <w:rsid w:val="3340312A"/>
    <w:rsid w:val="33415E32"/>
    <w:rsid w:val="3342069F"/>
    <w:rsid w:val="334301D8"/>
    <w:rsid w:val="3344502A"/>
    <w:rsid w:val="33457098"/>
    <w:rsid w:val="33492641"/>
    <w:rsid w:val="334963D6"/>
    <w:rsid w:val="334B6320"/>
    <w:rsid w:val="334D3EDF"/>
    <w:rsid w:val="3350577D"/>
    <w:rsid w:val="33510F87"/>
    <w:rsid w:val="33523EA2"/>
    <w:rsid w:val="33525999"/>
    <w:rsid w:val="3353389C"/>
    <w:rsid w:val="33541DAD"/>
    <w:rsid w:val="33552B28"/>
    <w:rsid w:val="33557238"/>
    <w:rsid w:val="33570248"/>
    <w:rsid w:val="33597844"/>
    <w:rsid w:val="335A484E"/>
    <w:rsid w:val="335D098D"/>
    <w:rsid w:val="336814A3"/>
    <w:rsid w:val="3370246B"/>
    <w:rsid w:val="3371077E"/>
    <w:rsid w:val="33721B98"/>
    <w:rsid w:val="337251B3"/>
    <w:rsid w:val="33727DEA"/>
    <w:rsid w:val="337663D1"/>
    <w:rsid w:val="337A0571"/>
    <w:rsid w:val="33810029"/>
    <w:rsid w:val="338C3013"/>
    <w:rsid w:val="338C7B99"/>
    <w:rsid w:val="338E42A7"/>
    <w:rsid w:val="338E62A6"/>
    <w:rsid w:val="3390201E"/>
    <w:rsid w:val="33940114"/>
    <w:rsid w:val="339529E5"/>
    <w:rsid w:val="33993FD0"/>
    <w:rsid w:val="33997124"/>
    <w:rsid w:val="339A574D"/>
    <w:rsid w:val="339C7E94"/>
    <w:rsid w:val="339F5ACC"/>
    <w:rsid w:val="33A31762"/>
    <w:rsid w:val="33AA0A29"/>
    <w:rsid w:val="33AD1E6B"/>
    <w:rsid w:val="33AD2BD0"/>
    <w:rsid w:val="33AF57CA"/>
    <w:rsid w:val="33B201E6"/>
    <w:rsid w:val="33B208C1"/>
    <w:rsid w:val="33B2699F"/>
    <w:rsid w:val="33B9418C"/>
    <w:rsid w:val="33BA709B"/>
    <w:rsid w:val="33BB5A91"/>
    <w:rsid w:val="33C05920"/>
    <w:rsid w:val="33C072C0"/>
    <w:rsid w:val="33C20CFA"/>
    <w:rsid w:val="33C26FEC"/>
    <w:rsid w:val="33C754CA"/>
    <w:rsid w:val="33CB2443"/>
    <w:rsid w:val="33CC6E92"/>
    <w:rsid w:val="33CE06AD"/>
    <w:rsid w:val="33D41DD9"/>
    <w:rsid w:val="33D71E67"/>
    <w:rsid w:val="33D77C4D"/>
    <w:rsid w:val="33D934D4"/>
    <w:rsid w:val="33D97E69"/>
    <w:rsid w:val="33DB4992"/>
    <w:rsid w:val="33DB7DF8"/>
    <w:rsid w:val="33DD6C35"/>
    <w:rsid w:val="33DE0FEC"/>
    <w:rsid w:val="33DF0372"/>
    <w:rsid w:val="33E17ECD"/>
    <w:rsid w:val="33E25252"/>
    <w:rsid w:val="33E323D5"/>
    <w:rsid w:val="33E41B9C"/>
    <w:rsid w:val="33E74334"/>
    <w:rsid w:val="33E924DE"/>
    <w:rsid w:val="33EA7E91"/>
    <w:rsid w:val="33ED56C2"/>
    <w:rsid w:val="33F00208"/>
    <w:rsid w:val="33F407FF"/>
    <w:rsid w:val="33F65F3D"/>
    <w:rsid w:val="33FE2F6A"/>
    <w:rsid w:val="34000F51"/>
    <w:rsid w:val="34012F1B"/>
    <w:rsid w:val="34035192"/>
    <w:rsid w:val="34035C41"/>
    <w:rsid w:val="340614E8"/>
    <w:rsid w:val="340908EF"/>
    <w:rsid w:val="340C5928"/>
    <w:rsid w:val="340E07E5"/>
    <w:rsid w:val="34131D21"/>
    <w:rsid w:val="341425E9"/>
    <w:rsid w:val="34192013"/>
    <w:rsid w:val="34192422"/>
    <w:rsid w:val="341A0AD0"/>
    <w:rsid w:val="341C1B03"/>
    <w:rsid w:val="341C4349"/>
    <w:rsid w:val="3421711A"/>
    <w:rsid w:val="342324F4"/>
    <w:rsid w:val="34235BF7"/>
    <w:rsid w:val="342402F0"/>
    <w:rsid w:val="34273469"/>
    <w:rsid w:val="343129D1"/>
    <w:rsid w:val="34321327"/>
    <w:rsid w:val="34337579"/>
    <w:rsid w:val="34345FA1"/>
    <w:rsid w:val="34375386"/>
    <w:rsid w:val="34384B8F"/>
    <w:rsid w:val="343926B5"/>
    <w:rsid w:val="34392CBF"/>
    <w:rsid w:val="343B5652"/>
    <w:rsid w:val="343E5B48"/>
    <w:rsid w:val="34432625"/>
    <w:rsid w:val="34433534"/>
    <w:rsid w:val="34441786"/>
    <w:rsid w:val="34464E7D"/>
    <w:rsid w:val="34481F80"/>
    <w:rsid w:val="34490369"/>
    <w:rsid w:val="34490382"/>
    <w:rsid w:val="344A597B"/>
    <w:rsid w:val="344B7C5F"/>
    <w:rsid w:val="344C4197"/>
    <w:rsid w:val="344E703C"/>
    <w:rsid w:val="344F00E2"/>
    <w:rsid w:val="34506EE1"/>
    <w:rsid w:val="345117AD"/>
    <w:rsid w:val="345712CF"/>
    <w:rsid w:val="3457491A"/>
    <w:rsid w:val="345C0152"/>
    <w:rsid w:val="34621C0C"/>
    <w:rsid w:val="3467051A"/>
    <w:rsid w:val="346902CC"/>
    <w:rsid w:val="346B1BCC"/>
    <w:rsid w:val="346C56FF"/>
    <w:rsid w:val="346E0B07"/>
    <w:rsid w:val="347248DD"/>
    <w:rsid w:val="347360B3"/>
    <w:rsid w:val="34740779"/>
    <w:rsid w:val="3475387A"/>
    <w:rsid w:val="34776692"/>
    <w:rsid w:val="34791775"/>
    <w:rsid w:val="34793C54"/>
    <w:rsid w:val="347E751D"/>
    <w:rsid w:val="347E77EA"/>
    <w:rsid w:val="34817AC7"/>
    <w:rsid w:val="34847DD4"/>
    <w:rsid w:val="348532B2"/>
    <w:rsid w:val="34860BE7"/>
    <w:rsid w:val="348619FF"/>
    <w:rsid w:val="348778C5"/>
    <w:rsid w:val="348912FB"/>
    <w:rsid w:val="34895B74"/>
    <w:rsid w:val="348C159D"/>
    <w:rsid w:val="348C4EDB"/>
    <w:rsid w:val="348D1B89"/>
    <w:rsid w:val="348F22D5"/>
    <w:rsid w:val="348F6779"/>
    <w:rsid w:val="34945433"/>
    <w:rsid w:val="3498432C"/>
    <w:rsid w:val="349C13E8"/>
    <w:rsid w:val="349C224D"/>
    <w:rsid w:val="349C35B5"/>
    <w:rsid w:val="34A007DF"/>
    <w:rsid w:val="34A044E2"/>
    <w:rsid w:val="34A2025B"/>
    <w:rsid w:val="34A315B9"/>
    <w:rsid w:val="34A56435"/>
    <w:rsid w:val="34A57FC6"/>
    <w:rsid w:val="34AB0607"/>
    <w:rsid w:val="34AB492D"/>
    <w:rsid w:val="34AB78E5"/>
    <w:rsid w:val="34AC1CC7"/>
    <w:rsid w:val="34AD3F1F"/>
    <w:rsid w:val="34AF768D"/>
    <w:rsid w:val="34B14942"/>
    <w:rsid w:val="34B306BA"/>
    <w:rsid w:val="34B326E0"/>
    <w:rsid w:val="34B4384D"/>
    <w:rsid w:val="34B75EE4"/>
    <w:rsid w:val="34B8182C"/>
    <w:rsid w:val="34B85CC3"/>
    <w:rsid w:val="34B85D7F"/>
    <w:rsid w:val="34B87A7E"/>
    <w:rsid w:val="34BD136E"/>
    <w:rsid w:val="34C17F2A"/>
    <w:rsid w:val="34C35561"/>
    <w:rsid w:val="34C53F49"/>
    <w:rsid w:val="34C811D4"/>
    <w:rsid w:val="34CF6B76"/>
    <w:rsid w:val="34D119FE"/>
    <w:rsid w:val="34D36666"/>
    <w:rsid w:val="34D47060"/>
    <w:rsid w:val="34DD2F25"/>
    <w:rsid w:val="34DD74E5"/>
    <w:rsid w:val="34DE6AE9"/>
    <w:rsid w:val="34E00D83"/>
    <w:rsid w:val="34E06CF4"/>
    <w:rsid w:val="34E24AFB"/>
    <w:rsid w:val="34E44283"/>
    <w:rsid w:val="34E90A57"/>
    <w:rsid w:val="34E95658"/>
    <w:rsid w:val="34E95D4C"/>
    <w:rsid w:val="34E95E89"/>
    <w:rsid w:val="34EF1F97"/>
    <w:rsid w:val="34F14D3E"/>
    <w:rsid w:val="34F263A1"/>
    <w:rsid w:val="34F65EF8"/>
    <w:rsid w:val="34F767F8"/>
    <w:rsid w:val="34FC27EE"/>
    <w:rsid w:val="34FC48F2"/>
    <w:rsid w:val="34FF34E6"/>
    <w:rsid w:val="350348E9"/>
    <w:rsid w:val="35040F15"/>
    <w:rsid w:val="350618E0"/>
    <w:rsid w:val="35076310"/>
    <w:rsid w:val="3507761D"/>
    <w:rsid w:val="35092088"/>
    <w:rsid w:val="350C3926"/>
    <w:rsid w:val="350D601C"/>
    <w:rsid w:val="350F1B63"/>
    <w:rsid w:val="35111F6D"/>
    <w:rsid w:val="351243BB"/>
    <w:rsid w:val="35133FF2"/>
    <w:rsid w:val="3515212D"/>
    <w:rsid w:val="351600B1"/>
    <w:rsid w:val="351A4295"/>
    <w:rsid w:val="351C000D"/>
    <w:rsid w:val="351F615A"/>
    <w:rsid w:val="35215623"/>
    <w:rsid w:val="3522139B"/>
    <w:rsid w:val="35265D35"/>
    <w:rsid w:val="352B46F4"/>
    <w:rsid w:val="35301161"/>
    <w:rsid w:val="353D538C"/>
    <w:rsid w:val="353F3CFB"/>
    <w:rsid w:val="354632DC"/>
    <w:rsid w:val="354E3E2D"/>
    <w:rsid w:val="355157DD"/>
    <w:rsid w:val="35523A2F"/>
    <w:rsid w:val="35545489"/>
    <w:rsid w:val="355A4323"/>
    <w:rsid w:val="355A6D87"/>
    <w:rsid w:val="355D23D3"/>
    <w:rsid w:val="356548AF"/>
    <w:rsid w:val="35672959"/>
    <w:rsid w:val="3568305C"/>
    <w:rsid w:val="35686F08"/>
    <w:rsid w:val="356A2E86"/>
    <w:rsid w:val="35726D75"/>
    <w:rsid w:val="35770674"/>
    <w:rsid w:val="35777A7B"/>
    <w:rsid w:val="357A4D33"/>
    <w:rsid w:val="35803F85"/>
    <w:rsid w:val="35862315"/>
    <w:rsid w:val="358B6F41"/>
    <w:rsid w:val="358C5FA8"/>
    <w:rsid w:val="358E07DF"/>
    <w:rsid w:val="35916ED7"/>
    <w:rsid w:val="35942299"/>
    <w:rsid w:val="3598340C"/>
    <w:rsid w:val="3598736F"/>
    <w:rsid w:val="359B3391"/>
    <w:rsid w:val="359B3687"/>
    <w:rsid w:val="359C5005"/>
    <w:rsid w:val="359C5A0C"/>
    <w:rsid w:val="359F442F"/>
    <w:rsid w:val="35A30725"/>
    <w:rsid w:val="35A3428A"/>
    <w:rsid w:val="35A756CA"/>
    <w:rsid w:val="35A82394"/>
    <w:rsid w:val="35A85D44"/>
    <w:rsid w:val="35AA0B6A"/>
    <w:rsid w:val="35AA386B"/>
    <w:rsid w:val="35AB1391"/>
    <w:rsid w:val="35AE2C2F"/>
    <w:rsid w:val="35AF0B24"/>
    <w:rsid w:val="35B04BF9"/>
    <w:rsid w:val="35B46AEB"/>
    <w:rsid w:val="35B62F82"/>
    <w:rsid w:val="35B77D36"/>
    <w:rsid w:val="35BB5CBB"/>
    <w:rsid w:val="35BE10C4"/>
    <w:rsid w:val="35C15DF1"/>
    <w:rsid w:val="35C24709"/>
    <w:rsid w:val="35C33371"/>
    <w:rsid w:val="35C37172"/>
    <w:rsid w:val="35C44201"/>
    <w:rsid w:val="35C66E85"/>
    <w:rsid w:val="35C71EB9"/>
    <w:rsid w:val="35C9262A"/>
    <w:rsid w:val="35CA4616"/>
    <w:rsid w:val="35CA5CBB"/>
    <w:rsid w:val="35CB37E1"/>
    <w:rsid w:val="35CD38BA"/>
    <w:rsid w:val="35CE0B6E"/>
    <w:rsid w:val="35CE12E3"/>
    <w:rsid w:val="35CF507F"/>
    <w:rsid w:val="35D360B1"/>
    <w:rsid w:val="35D5640E"/>
    <w:rsid w:val="35D777F3"/>
    <w:rsid w:val="35E23EE9"/>
    <w:rsid w:val="35E328D9"/>
    <w:rsid w:val="35E35CCD"/>
    <w:rsid w:val="35EB68E7"/>
    <w:rsid w:val="35EF29FB"/>
    <w:rsid w:val="35F20EB5"/>
    <w:rsid w:val="35F26FC0"/>
    <w:rsid w:val="35F42D38"/>
    <w:rsid w:val="35F745D6"/>
    <w:rsid w:val="35F93F25"/>
    <w:rsid w:val="35F965A0"/>
    <w:rsid w:val="35F972FB"/>
    <w:rsid w:val="35FE2E44"/>
    <w:rsid w:val="35FE7713"/>
    <w:rsid w:val="36050AA1"/>
    <w:rsid w:val="36071AE2"/>
    <w:rsid w:val="36074A7F"/>
    <w:rsid w:val="36090618"/>
    <w:rsid w:val="360B3288"/>
    <w:rsid w:val="360D204B"/>
    <w:rsid w:val="360F745D"/>
    <w:rsid w:val="3610796F"/>
    <w:rsid w:val="3613165A"/>
    <w:rsid w:val="361433DA"/>
    <w:rsid w:val="36180191"/>
    <w:rsid w:val="3618176F"/>
    <w:rsid w:val="36184B31"/>
    <w:rsid w:val="361C108A"/>
    <w:rsid w:val="361C5D11"/>
    <w:rsid w:val="36227608"/>
    <w:rsid w:val="36233880"/>
    <w:rsid w:val="36237179"/>
    <w:rsid w:val="362558DD"/>
    <w:rsid w:val="36277FFB"/>
    <w:rsid w:val="362C0724"/>
    <w:rsid w:val="362D1DA6"/>
    <w:rsid w:val="362E3CA1"/>
    <w:rsid w:val="36303EA6"/>
    <w:rsid w:val="363150D3"/>
    <w:rsid w:val="36322D6F"/>
    <w:rsid w:val="363249A7"/>
    <w:rsid w:val="363A6D23"/>
    <w:rsid w:val="363F27EC"/>
    <w:rsid w:val="363F37BC"/>
    <w:rsid w:val="363F3CC0"/>
    <w:rsid w:val="36402C8A"/>
    <w:rsid w:val="36445017"/>
    <w:rsid w:val="36445250"/>
    <w:rsid w:val="36477BFB"/>
    <w:rsid w:val="364937EC"/>
    <w:rsid w:val="36494DB8"/>
    <w:rsid w:val="364976BE"/>
    <w:rsid w:val="364C66D0"/>
    <w:rsid w:val="364E31D7"/>
    <w:rsid w:val="36527A5E"/>
    <w:rsid w:val="3656754F"/>
    <w:rsid w:val="365834D6"/>
    <w:rsid w:val="36596E95"/>
    <w:rsid w:val="365B50BB"/>
    <w:rsid w:val="365C1963"/>
    <w:rsid w:val="3660007A"/>
    <w:rsid w:val="36605F80"/>
    <w:rsid w:val="36621A11"/>
    <w:rsid w:val="366302C2"/>
    <w:rsid w:val="36635208"/>
    <w:rsid w:val="36643329"/>
    <w:rsid w:val="3664379E"/>
    <w:rsid w:val="36650048"/>
    <w:rsid w:val="36674D7A"/>
    <w:rsid w:val="36681D9D"/>
    <w:rsid w:val="36690B21"/>
    <w:rsid w:val="3669428E"/>
    <w:rsid w:val="366963C1"/>
    <w:rsid w:val="366A124C"/>
    <w:rsid w:val="366C392B"/>
    <w:rsid w:val="36741F63"/>
    <w:rsid w:val="36743E79"/>
    <w:rsid w:val="368340BC"/>
    <w:rsid w:val="3685380B"/>
    <w:rsid w:val="36871927"/>
    <w:rsid w:val="36887EB5"/>
    <w:rsid w:val="368B4D7D"/>
    <w:rsid w:val="36913B20"/>
    <w:rsid w:val="36914C06"/>
    <w:rsid w:val="36923549"/>
    <w:rsid w:val="369648D9"/>
    <w:rsid w:val="36985DB9"/>
    <w:rsid w:val="369A02B7"/>
    <w:rsid w:val="369D795A"/>
    <w:rsid w:val="36A12543"/>
    <w:rsid w:val="36A57142"/>
    <w:rsid w:val="36A63C1E"/>
    <w:rsid w:val="36A64449"/>
    <w:rsid w:val="36A76D1F"/>
    <w:rsid w:val="36AD6EC0"/>
    <w:rsid w:val="36AE34E3"/>
    <w:rsid w:val="36AE738B"/>
    <w:rsid w:val="36B41F47"/>
    <w:rsid w:val="36B75FBF"/>
    <w:rsid w:val="36BD0C45"/>
    <w:rsid w:val="36BD3578"/>
    <w:rsid w:val="36BD5820"/>
    <w:rsid w:val="36BE1000"/>
    <w:rsid w:val="36C24BE4"/>
    <w:rsid w:val="36C40873"/>
    <w:rsid w:val="36C6440D"/>
    <w:rsid w:val="36C84876"/>
    <w:rsid w:val="36C95F72"/>
    <w:rsid w:val="36CE3589"/>
    <w:rsid w:val="36CE7908"/>
    <w:rsid w:val="36D466C5"/>
    <w:rsid w:val="36D72CAA"/>
    <w:rsid w:val="36DA644C"/>
    <w:rsid w:val="36DB7FB5"/>
    <w:rsid w:val="36DC0179"/>
    <w:rsid w:val="36DC3C50"/>
    <w:rsid w:val="36DF3745"/>
    <w:rsid w:val="36DF5796"/>
    <w:rsid w:val="36E171E7"/>
    <w:rsid w:val="36E40C72"/>
    <w:rsid w:val="36E43A34"/>
    <w:rsid w:val="36E508D2"/>
    <w:rsid w:val="36E74836"/>
    <w:rsid w:val="36EC7EB3"/>
    <w:rsid w:val="36ED5D04"/>
    <w:rsid w:val="36EE25F7"/>
    <w:rsid w:val="36EF491B"/>
    <w:rsid w:val="36F21892"/>
    <w:rsid w:val="36F25178"/>
    <w:rsid w:val="36F30A8E"/>
    <w:rsid w:val="36F477C1"/>
    <w:rsid w:val="36F51D77"/>
    <w:rsid w:val="36F84F22"/>
    <w:rsid w:val="36F86858"/>
    <w:rsid w:val="36FC0B1D"/>
    <w:rsid w:val="36FF7552"/>
    <w:rsid w:val="37014E77"/>
    <w:rsid w:val="370276FA"/>
    <w:rsid w:val="37034313"/>
    <w:rsid w:val="37040CD0"/>
    <w:rsid w:val="37047716"/>
    <w:rsid w:val="370944C7"/>
    <w:rsid w:val="37100FF1"/>
    <w:rsid w:val="3710365D"/>
    <w:rsid w:val="37113475"/>
    <w:rsid w:val="37117919"/>
    <w:rsid w:val="371231E8"/>
    <w:rsid w:val="37154FC4"/>
    <w:rsid w:val="371741A7"/>
    <w:rsid w:val="371C0798"/>
    <w:rsid w:val="371C1A25"/>
    <w:rsid w:val="371D1E1A"/>
    <w:rsid w:val="371D5EC7"/>
    <w:rsid w:val="37240250"/>
    <w:rsid w:val="37253AA9"/>
    <w:rsid w:val="37285EFC"/>
    <w:rsid w:val="372A4537"/>
    <w:rsid w:val="37352D73"/>
    <w:rsid w:val="373830F8"/>
    <w:rsid w:val="37384EA6"/>
    <w:rsid w:val="37385B47"/>
    <w:rsid w:val="37396EB8"/>
    <w:rsid w:val="373B6744"/>
    <w:rsid w:val="373C38AE"/>
    <w:rsid w:val="373C3CDF"/>
    <w:rsid w:val="373E7D6D"/>
    <w:rsid w:val="37424475"/>
    <w:rsid w:val="37436541"/>
    <w:rsid w:val="374443B0"/>
    <w:rsid w:val="37482313"/>
    <w:rsid w:val="3748313C"/>
    <w:rsid w:val="37490126"/>
    <w:rsid w:val="37492A5D"/>
    <w:rsid w:val="374C5947"/>
    <w:rsid w:val="37554894"/>
    <w:rsid w:val="3756696F"/>
    <w:rsid w:val="376046A0"/>
    <w:rsid w:val="37621CCD"/>
    <w:rsid w:val="37625650"/>
    <w:rsid w:val="37665153"/>
    <w:rsid w:val="376C4B50"/>
    <w:rsid w:val="376F5DEB"/>
    <w:rsid w:val="377329D5"/>
    <w:rsid w:val="377331C3"/>
    <w:rsid w:val="37737C8C"/>
    <w:rsid w:val="377672DB"/>
    <w:rsid w:val="377771A7"/>
    <w:rsid w:val="37785DC5"/>
    <w:rsid w:val="37791E6A"/>
    <w:rsid w:val="377A54BF"/>
    <w:rsid w:val="377A726D"/>
    <w:rsid w:val="377C2FE5"/>
    <w:rsid w:val="378105FB"/>
    <w:rsid w:val="37856E75"/>
    <w:rsid w:val="378578B7"/>
    <w:rsid w:val="3786176D"/>
    <w:rsid w:val="378B06B1"/>
    <w:rsid w:val="378C1261"/>
    <w:rsid w:val="378E05C1"/>
    <w:rsid w:val="37920A5A"/>
    <w:rsid w:val="379540A7"/>
    <w:rsid w:val="379876F3"/>
    <w:rsid w:val="379A3E3D"/>
    <w:rsid w:val="379E73FF"/>
    <w:rsid w:val="379F6CD3"/>
    <w:rsid w:val="37A4253C"/>
    <w:rsid w:val="37A70508"/>
    <w:rsid w:val="37AA1F5E"/>
    <w:rsid w:val="37AB1B1C"/>
    <w:rsid w:val="37AB3330"/>
    <w:rsid w:val="37AB5C51"/>
    <w:rsid w:val="37AC051B"/>
    <w:rsid w:val="37AD13F0"/>
    <w:rsid w:val="37B11AB9"/>
    <w:rsid w:val="37B36761"/>
    <w:rsid w:val="37B96037"/>
    <w:rsid w:val="37BA1C06"/>
    <w:rsid w:val="37BA3B0D"/>
    <w:rsid w:val="37C52BDE"/>
    <w:rsid w:val="37C60AA8"/>
    <w:rsid w:val="37C67B06"/>
    <w:rsid w:val="37C8447C"/>
    <w:rsid w:val="37C93D50"/>
    <w:rsid w:val="37CC5460"/>
    <w:rsid w:val="37CF0DFD"/>
    <w:rsid w:val="37CF1702"/>
    <w:rsid w:val="37D040C5"/>
    <w:rsid w:val="37D746BF"/>
    <w:rsid w:val="37D76756"/>
    <w:rsid w:val="37E00298"/>
    <w:rsid w:val="37E254BC"/>
    <w:rsid w:val="37E5150A"/>
    <w:rsid w:val="37EA43F2"/>
    <w:rsid w:val="37EB016A"/>
    <w:rsid w:val="37EF32FD"/>
    <w:rsid w:val="37F06458"/>
    <w:rsid w:val="37F23808"/>
    <w:rsid w:val="37F76B0F"/>
    <w:rsid w:val="37FE1C4C"/>
    <w:rsid w:val="37FE6C4F"/>
    <w:rsid w:val="37FF59C4"/>
    <w:rsid w:val="38021D4C"/>
    <w:rsid w:val="380320C6"/>
    <w:rsid w:val="3803261F"/>
    <w:rsid w:val="38075385"/>
    <w:rsid w:val="380A4A95"/>
    <w:rsid w:val="380C3451"/>
    <w:rsid w:val="380E62F7"/>
    <w:rsid w:val="3810372D"/>
    <w:rsid w:val="381118CB"/>
    <w:rsid w:val="381A1371"/>
    <w:rsid w:val="381A76C3"/>
    <w:rsid w:val="381B0537"/>
    <w:rsid w:val="381D4E7B"/>
    <w:rsid w:val="381F4FD2"/>
    <w:rsid w:val="382A3282"/>
    <w:rsid w:val="382B0567"/>
    <w:rsid w:val="382F70D9"/>
    <w:rsid w:val="38305B7D"/>
    <w:rsid w:val="3832333E"/>
    <w:rsid w:val="383340DB"/>
    <w:rsid w:val="38347042"/>
    <w:rsid w:val="38363129"/>
    <w:rsid w:val="3837515E"/>
    <w:rsid w:val="38393A9E"/>
    <w:rsid w:val="383A28D9"/>
    <w:rsid w:val="383B4C4E"/>
    <w:rsid w:val="383F08C7"/>
    <w:rsid w:val="383F2164"/>
    <w:rsid w:val="383F7566"/>
    <w:rsid w:val="38402B7E"/>
    <w:rsid w:val="38423E22"/>
    <w:rsid w:val="38443C47"/>
    <w:rsid w:val="3845787B"/>
    <w:rsid w:val="384855BD"/>
    <w:rsid w:val="384C3DA9"/>
    <w:rsid w:val="384E39DC"/>
    <w:rsid w:val="384F24A7"/>
    <w:rsid w:val="38503050"/>
    <w:rsid w:val="3851621F"/>
    <w:rsid w:val="38523D46"/>
    <w:rsid w:val="3852412D"/>
    <w:rsid w:val="38531C5E"/>
    <w:rsid w:val="38547C1D"/>
    <w:rsid w:val="38567051"/>
    <w:rsid w:val="385950D4"/>
    <w:rsid w:val="385A3725"/>
    <w:rsid w:val="385B0E4C"/>
    <w:rsid w:val="385C49DB"/>
    <w:rsid w:val="38611E74"/>
    <w:rsid w:val="386272AD"/>
    <w:rsid w:val="38627F84"/>
    <w:rsid w:val="38665428"/>
    <w:rsid w:val="386A0773"/>
    <w:rsid w:val="386A108F"/>
    <w:rsid w:val="386A11FA"/>
    <w:rsid w:val="386E7BDA"/>
    <w:rsid w:val="387168C2"/>
    <w:rsid w:val="38741F0E"/>
    <w:rsid w:val="38763ED8"/>
    <w:rsid w:val="38796B1C"/>
    <w:rsid w:val="387A6925"/>
    <w:rsid w:val="3882287D"/>
    <w:rsid w:val="38862403"/>
    <w:rsid w:val="388757C8"/>
    <w:rsid w:val="388A2EDA"/>
    <w:rsid w:val="388D77A1"/>
    <w:rsid w:val="388E4CD7"/>
    <w:rsid w:val="388F6D48"/>
    <w:rsid w:val="38907CC8"/>
    <w:rsid w:val="38914EC4"/>
    <w:rsid w:val="3894435E"/>
    <w:rsid w:val="3897719F"/>
    <w:rsid w:val="389820A0"/>
    <w:rsid w:val="389A1ED8"/>
    <w:rsid w:val="389E51DD"/>
    <w:rsid w:val="389F44F5"/>
    <w:rsid w:val="38A50319"/>
    <w:rsid w:val="38A8463E"/>
    <w:rsid w:val="38AC78FA"/>
    <w:rsid w:val="38AD71CE"/>
    <w:rsid w:val="38AF73EA"/>
    <w:rsid w:val="38B1097B"/>
    <w:rsid w:val="38B125B1"/>
    <w:rsid w:val="38B302F9"/>
    <w:rsid w:val="38B46719"/>
    <w:rsid w:val="38B51730"/>
    <w:rsid w:val="38B63CD8"/>
    <w:rsid w:val="38B939AE"/>
    <w:rsid w:val="38BC2238"/>
    <w:rsid w:val="38BF15F7"/>
    <w:rsid w:val="38C1155B"/>
    <w:rsid w:val="38C333CF"/>
    <w:rsid w:val="38C36AC9"/>
    <w:rsid w:val="38C5276A"/>
    <w:rsid w:val="38C8225A"/>
    <w:rsid w:val="38CA1A96"/>
    <w:rsid w:val="38CA7D80"/>
    <w:rsid w:val="38CB1FEE"/>
    <w:rsid w:val="38CC384D"/>
    <w:rsid w:val="38CD7870"/>
    <w:rsid w:val="38CE4468"/>
    <w:rsid w:val="38CF7063"/>
    <w:rsid w:val="38D2702D"/>
    <w:rsid w:val="38D330D8"/>
    <w:rsid w:val="38D46E50"/>
    <w:rsid w:val="38D727F4"/>
    <w:rsid w:val="38DB02B7"/>
    <w:rsid w:val="38DB3D3B"/>
    <w:rsid w:val="38DE382B"/>
    <w:rsid w:val="38DE55D9"/>
    <w:rsid w:val="38E94B95"/>
    <w:rsid w:val="38EB7F1D"/>
    <w:rsid w:val="38EC2377"/>
    <w:rsid w:val="38EF77E6"/>
    <w:rsid w:val="38F12CD3"/>
    <w:rsid w:val="38F434DA"/>
    <w:rsid w:val="38F44DFD"/>
    <w:rsid w:val="38F8762B"/>
    <w:rsid w:val="38F92413"/>
    <w:rsid w:val="38F94775"/>
    <w:rsid w:val="38FB618B"/>
    <w:rsid w:val="38FC6AB1"/>
    <w:rsid w:val="38FD48BB"/>
    <w:rsid w:val="38FE7A29"/>
    <w:rsid w:val="390126DB"/>
    <w:rsid w:val="3902576C"/>
    <w:rsid w:val="39034138"/>
    <w:rsid w:val="390414E4"/>
    <w:rsid w:val="390B0AC4"/>
    <w:rsid w:val="390F1C37"/>
    <w:rsid w:val="391159AF"/>
    <w:rsid w:val="391517B8"/>
    <w:rsid w:val="391F631E"/>
    <w:rsid w:val="39203E44"/>
    <w:rsid w:val="39205BF2"/>
    <w:rsid w:val="39241426"/>
    <w:rsid w:val="392576DF"/>
    <w:rsid w:val="3926383A"/>
    <w:rsid w:val="39271AB7"/>
    <w:rsid w:val="39274FAC"/>
    <w:rsid w:val="392971ED"/>
    <w:rsid w:val="392A6A70"/>
    <w:rsid w:val="392B3AFF"/>
    <w:rsid w:val="392C0144"/>
    <w:rsid w:val="392D5268"/>
    <w:rsid w:val="393022D9"/>
    <w:rsid w:val="39325651"/>
    <w:rsid w:val="39335925"/>
    <w:rsid w:val="393A3F57"/>
    <w:rsid w:val="393F6C78"/>
    <w:rsid w:val="39403BD1"/>
    <w:rsid w:val="39496958"/>
    <w:rsid w:val="394A0EC1"/>
    <w:rsid w:val="394A7ED6"/>
    <w:rsid w:val="394E421D"/>
    <w:rsid w:val="395931E5"/>
    <w:rsid w:val="395A0E98"/>
    <w:rsid w:val="395B7E11"/>
    <w:rsid w:val="395C1320"/>
    <w:rsid w:val="395D6E46"/>
    <w:rsid w:val="395F26ED"/>
    <w:rsid w:val="39613125"/>
    <w:rsid w:val="39651F7F"/>
    <w:rsid w:val="39663F4D"/>
    <w:rsid w:val="39682D28"/>
    <w:rsid w:val="39687EE5"/>
    <w:rsid w:val="396B44C6"/>
    <w:rsid w:val="396D6BCB"/>
    <w:rsid w:val="396F1706"/>
    <w:rsid w:val="39706B79"/>
    <w:rsid w:val="397256DE"/>
    <w:rsid w:val="39734881"/>
    <w:rsid w:val="39747E33"/>
    <w:rsid w:val="39754901"/>
    <w:rsid w:val="39761CB6"/>
    <w:rsid w:val="39782384"/>
    <w:rsid w:val="397A2130"/>
    <w:rsid w:val="397A302E"/>
    <w:rsid w:val="397D1296"/>
    <w:rsid w:val="397E2A69"/>
    <w:rsid w:val="397F0617"/>
    <w:rsid w:val="397F09AE"/>
    <w:rsid w:val="397F3D71"/>
    <w:rsid w:val="397F3F23"/>
    <w:rsid w:val="398120AD"/>
    <w:rsid w:val="3982065B"/>
    <w:rsid w:val="39842625"/>
    <w:rsid w:val="39845503"/>
    <w:rsid w:val="398B750F"/>
    <w:rsid w:val="398E23FA"/>
    <w:rsid w:val="399338A5"/>
    <w:rsid w:val="39981C2C"/>
    <w:rsid w:val="399B34CA"/>
    <w:rsid w:val="399D4784"/>
    <w:rsid w:val="399D5494"/>
    <w:rsid w:val="39A3437E"/>
    <w:rsid w:val="39A44A75"/>
    <w:rsid w:val="39A71E6F"/>
    <w:rsid w:val="39AA35E8"/>
    <w:rsid w:val="39AC4CCF"/>
    <w:rsid w:val="39AD7AE5"/>
    <w:rsid w:val="39AF56DF"/>
    <w:rsid w:val="39AF65F8"/>
    <w:rsid w:val="39B27192"/>
    <w:rsid w:val="39B527DE"/>
    <w:rsid w:val="39B60304"/>
    <w:rsid w:val="39B70C48"/>
    <w:rsid w:val="39B7794F"/>
    <w:rsid w:val="39B8138C"/>
    <w:rsid w:val="39BC591B"/>
    <w:rsid w:val="39BF365D"/>
    <w:rsid w:val="39C03980"/>
    <w:rsid w:val="39C55489"/>
    <w:rsid w:val="39C742BF"/>
    <w:rsid w:val="39C965A4"/>
    <w:rsid w:val="39CA46E3"/>
    <w:rsid w:val="39CE5D5D"/>
    <w:rsid w:val="39CF3B8B"/>
    <w:rsid w:val="39D215E2"/>
    <w:rsid w:val="39D30EB6"/>
    <w:rsid w:val="39D60274"/>
    <w:rsid w:val="39D8471E"/>
    <w:rsid w:val="39DA0497"/>
    <w:rsid w:val="39E07526"/>
    <w:rsid w:val="39E60BE9"/>
    <w:rsid w:val="39E639E4"/>
    <w:rsid w:val="39E665F5"/>
    <w:rsid w:val="39E71901"/>
    <w:rsid w:val="39E752E0"/>
    <w:rsid w:val="39E843EE"/>
    <w:rsid w:val="39ED340B"/>
    <w:rsid w:val="39F72DF7"/>
    <w:rsid w:val="39F73228"/>
    <w:rsid w:val="39F942C0"/>
    <w:rsid w:val="39F97F8A"/>
    <w:rsid w:val="39FA113F"/>
    <w:rsid w:val="39FC57D3"/>
    <w:rsid w:val="39FE1003"/>
    <w:rsid w:val="39FE23D7"/>
    <w:rsid w:val="3A0056AE"/>
    <w:rsid w:val="3A01794F"/>
    <w:rsid w:val="3A062564"/>
    <w:rsid w:val="3A086DB2"/>
    <w:rsid w:val="3A094C7A"/>
    <w:rsid w:val="3A0C428D"/>
    <w:rsid w:val="3A0E1EEE"/>
    <w:rsid w:val="3A0E2073"/>
    <w:rsid w:val="3A117F6D"/>
    <w:rsid w:val="3A133427"/>
    <w:rsid w:val="3A185382"/>
    <w:rsid w:val="3A1D7D60"/>
    <w:rsid w:val="3A1E0383"/>
    <w:rsid w:val="3A1F77D4"/>
    <w:rsid w:val="3A217645"/>
    <w:rsid w:val="3A2B4DF1"/>
    <w:rsid w:val="3A2C269E"/>
    <w:rsid w:val="3A315990"/>
    <w:rsid w:val="3A325BDD"/>
    <w:rsid w:val="3A333CEB"/>
    <w:rsid w:val="3A345DF9"/>
    <w:rsid w:val="3A39340F"/>
    <w:rsid w:val="3A3C2EFF"/>
    <w:rsid w:val="3A3F1455"/>
    <w:rsid w:val="3A3F73AD"/>
    <w:rsid w:val="3A4016AF"/>
    <w:rsid w:val="3A437310"/>
    <w:rsid w:val="3A45200B"/>
    <w:rsid w:val="3A482F62"/>
    <w:rsid w:val="3A4B5DFA"/>
    <w:rsid w:val="3A4F0030"/>
    <w:rsid w:val="3A4F49E1"/>
    <w:rsid w:val="3A4F678F"/>
    <w:rsid w:val="3A52424D"/>
    <w:rsid w:val="3A5322E3"/>
    <w:rsid w:val="3A532EDE"/>
    <w:rsid w:val="3A540249"/>
    <w:rsid w:val="3A5D2D2E"/>
    <w:rsid w:val="3A5E4C24"/>
    <w:rsid w:val="3A60099C"/>
    <w:rsid w:val="3A623EBF"/>
    <w:rsid w:val="3A687850"/>
    <w:rsid w:val="3A697DCC"/>
    <w:rsid w:val="3A6D4B87"/>
    <w:rsid w:val="3A7C154E"/>
    <w:rsid w:val="3A7F5E8E"/>
    <w:rsid w:val="3A806A12"/>
    <w:rsid w:val="3A8328DC"/>
    <w:rsid w:val="3A865F28"/>
    <w:rsid w:val="3A872856"/>
    <w:rsid w:val="3A8B04D7"/>
    <w:rsid w:val="3A8E6F5A"/>
    <w:rsid w:val="3A913BC3"/>
    <w:rsid w:val="3A946897"/>
    <w:rsid w:val="3A995C5C"/>
    <w:rsid w:val="3A9A2ADA"/>
    <w:rsid w:val="3A9D6B78"/>
    <w:rsid w:val="3AA45590"/>
    <w:rsid w:val="3AA64A0C"/>
    <w:rsid w:val="3AA965C3"/>
    <w:rsid w:val="3AAB2DFC"/>
    <w:rsid w:val="3AAC1E33"/>
    <w:rsid w:val="3AAC6C09"/>
    <w:rsid w:val="3AAE1213"/>
    <w:rsid w:val="3AAE241C"/>
    <w:rsid w:val="3AB2478E"/>
    <w:rsid w:val="3AB25D47"/>
    <w:rsid w:val="3AB42A96"/>
    <w:rsid w:val="3AB92FEC"/>
    <w:rsid w:val="3ABD63E8"/>
    <w:rsid w:val="3ABE56C2"/>
    <w:rsid w:val="3AC033A3"/>
    <w:rsid w:val="3AC727C9"/>
    <w:rsid w:val="3AC74F0F"/>
    <w:rsid w:val="3AC903C3"/>
    <w:rsid w:val="3AC978EB"/>
    <w:rsid w:val="3ACD6086"/>
    <w:rsid w:val="3ACE01F5"/>
    <w:rsid w:val="3ACF300B"/>
    <w:rsid w:val="3AD60C5E"/>
    <w:rsid w:val="3AD76784"/>
    <w:rsid w:val="3AE07D2F"/>
    <w:rsid w:val="3AE90153"/>
    <w:rsid w:val="3AE96BE3"/>
    <w:rsid w:val="3AEA4709"/>
    <w:rsid w:val="3AEB22E5"/>
    <w:rsid w:val="3AEB7E4C"/>
    <w:rsid w:val="3AFA0DF0"/>
    <w:rsid w:val="3AFE5C55"/>
    <w:rsid w:val="3AFE5DD5"/>
    <w:rsid w:val="3B001122"/>
    <w:rsid w:val="3B002481"/>
    <w:rsid w:val="3B005CDB"/>
    <w:rsid w:val="3B005D4D"/>
    <w:rsid w:val="3B065C36"/>
    <w:rsid w:val="3B085907"/>
    <w:rsid w:val="3B0A29DF"/>
    <w:rsid w:val="3B0D2385"/>
    <w:rsid w:val="3B1178D6"/>
    <w:rsid w:val="3B1272D0"/>
    <w:rsid w:val="3B163750"/>
    <w:rsid w:val="3B163F34"/>
    <w:rsid w:val="3B182ADC"/>
    <w:rsid w:val="3B2319C9"/>
    <w:rsid w:val="3B25019B"/>
    <w:rsid w:val="3B255741"/>
    <w:rsid w:val="3B276870"/>
    <w:rsid w:val="3B277F78"/>
    <w:rsid w:val="3B2A2D58"/>
    <w:rsid w:val="3B2C6AD0"/>
    <w:rsid w:val="3B2F16B7"/>
    <w:rsid w:val="3B323834"/>
    <w:rsid w:val="3B331C0C"/>
    <w:rsid w:val="3B334302"/>
    <w:rsid w:val="3B340D22"/>
    <w:rsid w:val="3B3763D1"/>
    <w:rsid w:val="3B3D6F2F"/>
    <w:rsid w:val="3B3F2CA7"/>
    <w:rsid w:val="3B3F7734"/>
    <w:rsid w:val="3B404329"/>
    <w:rsid w:val="3B411D80"/>
    <w:rsid w:val="3B443337"/>
    <w:rsid w:val="3B45468C"/>
    <w:rsid w:val="3B457B92"/>
    <w:rsid w:val="3B471B5C"/>
    <w:rsid w:val="3B491430"/>
    <w:rsid w:val="3B4B164C"/>
    <w:rsid w:val="3B4E4357"/>
    <w:rsid w:val="3B4E7D09"/>
    <w:rsid w:val="3B520AE2"/>
    <w:rsid w:val="3B53405D"/>
    <w:rsid w:val="3B546F95"/>
    <w:rsid w:val="3B553596"/>
    <w:rsid w:val="3B581F3D"/>
    <w:rsid w:val="3B5953EB"/>
    <w:rsid w:val="3B5A7A62"/>
    <w:rsid w:val="3B5B074D"/>
    <w:rsid w:val="3B5B5607"/>
    <w:rsid w:val="3B5E66E4"/>
    <w:rsid w:val="3B60677A"/>
    <w:rsid w:val="3B631DD1"/>
    <w:rsid w:val="3B6441E2"/>
    <w:rsid w:val="3B644627"/>
    <w:rsid w:val="3B64626A"/>
    <w:rsid w:val="3B652A23"/>
    <w:rsid w:val="3B693880"/>
    <w:rsid w:val="3B6A61C5"/>
    <w:rsid w:val="3B6B6491"/>
    <w:rsid w:val="3B6C15C2"/>
    <w:rsid w:val="3B6E0DBB"/>
    <w:rsid w:val="3B6F131A"/>
    <w:rsid w:val="3B70246F"/>
    <w:rsid w:val="3B716BD9"/>
    <w:rsid w:val="3B727E08"/>
    <w:rsid w:val="3B742225"/>
    <w:rsid w:val="3B746B95"/>
    <w:rsid w:val="3B761C52"/>
    <w:rsid w:val="3B7B1291"/>
    <w:rsid w:val="3B7E08EF"/>
    <w:rsid w:val="3B803CDD"/>
    <w:rsid w:val="3B806E1C"/>
    <w:rsid w:val="3B8876A9"/>
    <w:rsid w:val="3B8F139D"/>
    <w:rsid w:val="3B8F69A1"/>
    <w:rsid w:val="3B930669"/>
    <w:rsid w:val="3B950FA9"/>
    <w:rsid w:val="3B954675"/>
    <w:rsid w:val="3B984165"/>
    <w:rsid w:val="3B9A1C8B"/>
    <w:rsid w:val="3B9B5A04"/>
    <w:rsid w:val="3B9C44F4"/>
    <w:rsid w:val="3B9E293B"/>
    <w:rsid w:val="3BA0104D"/>
    <w:rsid w:val="3BA64AD4"/>
    <w:rsid w:val="3BA66882"/>
    <w:rsid w:val="3BA7084C"/>
    <w:rsid w:val="3BA725FA"/>
    <w:rsid w:val="3BA76B6D"/>
    <w:rsid w:val="3BA945C4"/>
    <w:rsid w:val="3BAA08EA"/>
    <w:rsid w:val="3BAA3A7D"/>
    <w:rsid w:val="3BAA420F"/>
    <w:rsid w:val="3BAB20EB"/>
    <w:rsid w:val="3BB014AF"/>
    <w:rsid w:val="3BB058F5"/>
    <w:rsid w:val="3BB15227"/>
    <w:rsid w:val="3BB2010C"/>
    <w:rsid w:val="3BB26AC4"/>
    <w:rsid w:val="3BB371F1"/>
    <w:rsid w:val="3BB40838"/>
    <w:rsid w:val="3BB84807"/>
    <w:rsid w:val="3BB92FFD"/>
    <w:rsid w:val="3BB93335"/>
    <w:rsid w:val="3BBA1B6C"/>
    <w:rsid w:val="3BBA23D3"/>
    <w:rsid w:val="3BC1103B"/>
    <w:rsid w:val="3BC35686"/>
    <w:rsid w:val="3BC422A8"/>
    <w:rsid w:val="3BC641D5"/>
    <w:rsid w:val="3BC72345"/>
    <w:rsid w:val="3BCB0097"/>
    <w:rsid w:val="3BCE1217"/>
    <w:rsid w:val="3BCE6DE3"/>
    <w:rsid w:val="3BCF1D3E"/>
    <w:rsid w:val="3BCF6524"/>
    <w:rsid w:val="3BD04BDA"/>
    <w:rsid w:val="3BD31641"/>
    <w:rsid w:val="3BD56441"/>
    <w:rsid w:val="3BD602EF"/>
    <w:rsid w:val="3BD72EE0"/>
    <w:rsid w:val="3BE16B2C"/>
    <w:rsid w:val="3BE178BA"/>
    <w:rsid w:val="3BE20803"/>
    <w:rsid w:val="3BE61375"/>
    <w:rsid w:val="3BE63123"/>
    <w:rsid w:val="3BE63CCF"/>
    <w:rsid w:val="3BEB032C"/>
    <w:rsid w:val="3BEE0229"/>
    <w:rsid w:val="3BF06B27"/>
    <w:rsid w:val="3BF349AE"/>
    <w:rsid w:val="3BF53366"/>
    <w:rsid w:val="3BF75330"/>
    <w:rsid w:val="3BF821D5"/>
    <w:rsid w:val="3BF866AE"/>
    <w:rsid w:val="3BFF1222"/>
    <w:rsid w:val="3BFF2436"/>
    <w:rsid w:val="3BFF33E6"/>
    <w:rsid w:val="3C0022B4"/>
    <w:rsid w:val="3C005ECE"/>
    <w:rsid w:val="3C007580"/>
    <w:rsid w:val="3C02575B"/>
    <w:rsid w:val="3C033CD5"/>
    <w:rsid w:val="3C043F5F"/>
    <w:rsid w:val="3C095063"/>
    <w:rsid w:val="3C0C4260"/>
    <w:rsid w:val="3C0E28B1"/>
    <w:rsid w:val="3C0E7321"/>
    <w:rsid w:val="3C110575"/>
    <w:rsid w:val="3C1279E0"/>
    <w:rsid w:val="3C15535D"/>
    <w:rsid w:val="3C157564"/>
    <w:rsid w:val="3C1732DC"/>
    <w:rsid w:val="3C177780"/>
    <w:rsid w:val="3C1852A6"/>
    <w:rsid w:val="3C1A7270"/>
    <w:rsid w:val="3C211C1A"/>
    <w:rsid w:val="3C214A99"/>
    <w:rsid w:val="3C243C4B"/>
    <w:rsid w:val="3C25469C"/>
    <w:rsid w:val="3C257432"/>
    <w:rsid w:val="3C264A5C"/>
    <w:rsid w:val="3C277FE9"/>
    <w:rsid w:val="3C2F4A5F"/>
    <w:rsid w:val="3C2F6E1E"/>
    <w:rsid w:val="3C3025F0"/>
    <w:rsid w:val="3C306E85"/>
    <w:rsid w:val="3C307DD2"/>
    <w:rsid w:val="3C371D72"/>
    <w:rsid w:val="3C3B60CA"/>
    <w:rsid w:val="3C3C0578"/>
    <w:rsid w:val="3C3C7D06"/>
    <w:rsid w:val="3C3D0A69"/>
    <w:rsid w:val="3C3E2F5F"/>
    <w:rsid w:val="3C410359"/>
    <w:rsid w:val="3C462551"/>
    <w:rsid w:val="3C4A66AA"/>
    <w:rsid w:val="3C4D5F8B"/>
    <w:rsid w:val="3C4D6CFE"/>
    <w:rsid w:val="3C4E0CC8"/>
    <w:rsid w:val="3C4E3C6C"/>
    <w:rsid w:val="3C4F64BA"/>
    <w:rsid w:val="3C51040E"/>
    <w:rsid w:val="3C541FC1"/>
    <w:rsid w:val="3C577F90"/>
    <w:rsid w:val="3C597D99"/>
    <w:rsid w:val="3C642299"/>
    <w:rsid w:val="3C6457A0"/>
    <w:rsid w:val="3C664263"/>
    <w:rsid w:val="3C6B0924"/>
    <w:rsid w:val="3C6B2501"/>
    <w:rsid w:val="3C6C0D26"/>
    <w:rsid w:val="3C6D1A98"/>
    <w:rsid w:val="3C6D73A0"/>
    <w:rsid w:val="3C720398"/>
    <w:rsid w:val="3C75748C"/>
    <w:rsid w:val="3C792E04"/>
    <w:rsid w:val="3C7B7875"/>
    <w:rsid w:val="3C7E335B"/>
    <w:rsid w:val="3C815988"/>
    <w:rsid w:val="3C8507B0"/>
    <w:rsid w:val="3C85172E"/>
    <w:rsid w:val="3C862EE8"/>
    <w:rsid w:val="3C873A9F"/>
    <w:rsid w:val="3C8908CC"/>
    <w:rsid w:val="3C8B046F"/>
    <w:rsid w:val="3C8B3C57"/>
    <w:rsid w:val="3C8D7B5B"/>
    <w:rsid w:val="3C8E0379"/>
    <w:rsid w:val="3C901337"/>
    <w:rsid w:val="3C9157E2"/>
    <w:rsid w:val="3C926AEF"/>
    <w:rsid w:val="3C926CD4"/>
    <w:rsid w:val="3C97266F"/>
    <w:rsid w:val="3CA1704A"/>
    <w:rsid w:val="3CAF753A"/>
    <w:rsid w:val="3CB71FBA"/>
    <w:rsid w:val="3CB72D11"/>
    <w:rsid w:val="3CB7686D"/>
    <w:rsid w:val="3CB91B7B"/>
    <w:rsid w:val="3CBC20D5"/>
    <w:rsid w:val="3CBD4981"/>
    <w:rsid w:val="3CBE0765"/>
    <w:rsid w:val="3CC306BB"/>
    <w:rsid w:val="3CC37978"/>
    <w:rsid w:val="3CC61931"/>
    <w:rsid w:val="3CC62A1A"/>
    <w:rsid w:val="3CC816A4"/>
    <w:rsid w:val="3CCA034E"/>
    <w:rsid w:val="3CCE552C"/>
    <w:rsid w:val="3CCF06EC"/>
    <w:rsid w:val="3CCF1E09"/>
    <w:rsid w:val="3CD016DD"/>
    <w:rsid w:val="3CD236A7"/>
    <w:rsid w:val="3CD242C9"/>
    <w:rsid w:val="3CD37F23"/>
    <w:rsid w:val="3CD42F9B"/>
    <w:rsid w:val="3CD73339"/>
    <w:rsid w:val="3CDA245A"/>
    <w:rsid w:val="3CDC2EB9"/>
    <w:rsid w:val="3CDE029E"/>
    <w:rsid w:val="3CDE11DD"/>
    <w:rsid w:val="3CDE451C"/>
    <w:rsid w:val="3CE11FD3"/>
    <w:rsid w:val="3CE31D30"/>
    <w:rsid w:val="3CE76467"/>
    <w:rsid w:val="3CE8409E"/>
    <w:rsid w:val="3CEA1374"/>
    <w:rsid w:val="3CEA6181"/>
    <w:rsid w:val="3CF01C38"/>
    <w:rsid w:val="3CF03B2D"/>
    <w:rsid w:val="3CF12CA0"/>
    <w:rsid w:val="3CF1757E"/>
    <w:rsid w:val="3CF4186F"/>
    <w:rsid w:val="3CF418EF"/>
    <w:rsid w:val="3CF53123"/>
    <w:rsid w:val="3CF63839"/>
    <w:rsid w:val="3CF67D4F"/>
    <w:rsid w:val="3CF7310E"/>
    <w:rsid w:val="3CF950D8"/>
    <w:rsid w:val="3D006466"/>
    <w:rsid w:val="3D015547"/>
    <w:rsid w:val="3D0278FE"/>
    <w:rsid w:val="3D0A0C6C"/>
    <w:rsid w:val="3D0B2350"/>
    <w:rsid w:val="3D0E0B83"/>
    <w:rsid w:val="3D0E5C36"/>
    <w:rsid w:val="3D0F6FA4"/>
    <w:rsid w:val="3D115F7D"/>
    <w:rsid w:val="3D121CF5"/>
    <w:rsid w:val="3D153625"/>
    <w:rsid w:val="3D1572C1"/>
    <w:rsid w:val="3D165E0D"/>
    <w:rsid w:val="3D1808B6"/>
    <w:rsid w:val="3D182D4F"/>
    <w:rsid w:val="3D18555E"/>
    <w:rsid w:val="3D1B0357"/>
    <w:rsid w:val="3D1E06B7"/>
    <w:rsid w:val="3D1F3A07"/>
    <w:rsid w:val="3D2745C5"/>
    <w:rsid w:val="3D2B29A0"/>
    <w:rsid w:val="3D2E2FD3"/>
    <w:rsid w:val="3D2E53CB"/>
    <w:rsid w:val="3D2F4655"/>
    <w:rsid w:val="3D3053A1"/>
    <w:rsid w:val="3D3305EA"/>
    <w:rsid w:val="3D347136"/>
    <w:rsid w:val="3D3505CA"/>
    <w:rsid w:val="3D396D96"/>
    <w:rsid w:val="3D3B124C"/>
    <w:rsid w:val="3D3D54B7"/>
    <w:rsid w:val="3D430101"/>
    <w:rsid w:val="3D4A7212"/>
    <w:rsid w:val="3D4C16AB"/>
    <w:rsid w:val="3D4D6C91"/>
    <w:rsid w:val="3D4F0497"/>
    <w:rsid w:val="3D535B5E"/>
    <w:rsid w:val="3D5642D8"/>
    <w:rsid w:val="3D581DFE"/>
    <w:rsid w:val="3D59292C"/>
    <w:rsid w:val="3D597924"/>
    <w:rsid w:val="3D5D1F54"/>
    <w:rsid w:val="3D5D5666"/>
    <w:rsid w:val="3D5D5AF9"/>
    <w:rsid w:val="3D5F6C95"/>
    <w:rsid w:val="3D600CB3"/>
    <w:rsid w:val="3D611EFF"/>
    <w:rsid w:val="3D66220F"/>
    <w:rsid w:val="3D673DEF"/>
    <w:rsid w:val="3D673E6D"/>
    <w:rsid w:val="3D6C58AA"/>
    <w:rsid w:val="3D6C7998"/>
    <w:rsid w:val="3D6D517E"/>
    <w:rsid w:val="3D6F7F64"/>
    <w:rsid w:val="3D7056EB"/>
    <w:rsid w:val="3D74650C"/>
    <w:rsid w:val="3D7A7FC6"/>
    <w:rsid w:val="3D7B04C5"/>
    <w:rsid w:val="3D7C5D1F"/>
    <w:rsid w:val="3D8044B3"/>
    <w:rsid w:val="3D8250CD"/>
    <w:rsid w:val="3D8609F2"/>
    <w:rsid w:val="3D866B18"/>
    <w:rsid w:val="3D8835F1"/>
    <w:rsid w:val="3D8A3F82"/>
    <w:rsid w:val="3D8A5D30"/>
    <w:rsid w:val="3D8D5F02"/>
    <w:rsid w:val="3D9533ED"/>
    <w:rsid w:val="3D9A76D5"/>
    <w:rsid w:val="3D9F4DEF"/>
    <w:rsid w:val="3DA0105F"/>
    <w:rsid w:val="3DA04C19"/>
    <w:rsid w:val="3DA44B8C"/>
    <w:rsid w:val="3DA57B84"/>
    <w:rsid w:val="3DA57FCF"/>
    <w:rsid w:val="3DB265DF"/>
    <w:rsid w:val="3DB50FFF"/>
    <w:rsid w:val="3DB72FC9"/>
    <w:rsid w:val="3DB8218B"/>
    <w:rsid w:val="3DBD26C3"/>
    <w:rsid w:val="3DBF59D9"/>
    <w:rsid w:val="3DC01593"/>
    <w:rsid w:val="3DC01751"/>
    <w:rsid w:val="3DC50286"/>
    <w:rsid w:val="3DC725FF"/>
    <w:rsid w:val="3DCC00F6"/>
    <w:rsid w:val="3DD35929"/>
    <w:rsid w:val="3DD516A1"/>
    <w:rsid w:val="3DD52E8B"/>
    <w:rsid w:val="3DDA63CD"/>
    <w:rsid w:val="3DDC47DD"/>
    <w:rsid w:val="3DDF33E6"/>
    <w:rsid w:val="3DDF59DA"/>
    <w:rsid w:val="3DE13987"/>
    <w:rsid w:val="3DE20B6C"/>
    <w:rsid w:val="3DE3265E"/>
    <w:rsid w:val="3DF161CA"/>
    <w:rsid w:val="3DF3021B"/>
    <w:rsid w:val="3DF655FF"/>
    <w:rsid w:val="3DF8029D"/>
    <w:rsid w:val="3DFB0B40"/>
    <w:rsid w:val="3DFC48F9"/>
    <w:rsid w:val="3DFD1BC8"/>
    <w:rsid w:val="3DFF0731"/>
    <w:rsid w:val="3E04134E"/>
    <w:rsid w:val="3E0755D2"/>
    <w:rsid w:val="3E085567"/>
    <w:rsid w:val="3E0B71A4"/>
    <w:rsid w:val="3E0D29B4"/>
    <w:rsid w:val="3E110B27"/>
    <w:rsid w:val="3E113B40"/>
    <w:rsid w:val="3E1325B2"/>
    <w:rsid w:val="3E13401D"/>
    <w:rsid w:val="3E1636C9"/>
    <w:rsid w:val="3E173A67"/>
    <w:rsid w:val="3E177369"/>
    <w:rsid w:val="3E185D29"/>
    <w:rsid w:val="3E1B038F"/>
    <w:rsid w:val="3E1D1ACD"/>
    <w:rsid w:val="3E1F2EAE"/>
    <w:rsid w:val="3E247F32"/>
    <w:rsid w:val="3E287A22"/>
    <w:rsid w:val="3E295549"/>
    <w:rsid w:val="3E2E2B5F"/>
    <w:rsid w:val="3E2F2563"/>
    <w:rsid w:val="3E3068D7"/>
    <w:rsid w:val="3E356398"/>
    <w:rsid w:val="3E3604E3"/>
    <w:rsid w:val="3E37139E"/>
    <w:rsid w:val="3E3A7583"/>
    <w:rsid w:val="3E3E29D5"/>
    <w:rsid w:val="3E3E2FD4"/>
    <w:rsid w:val="3E3E3A3B"/>
    <w:rsid w:val="3E3F13C3"/>
    <w:rsid w:val="3E3F2FBE"/>
    <w:rsid w:val="3E412892"/>
    <w:rsid w:val="3E4147E1"/>
    <w:rsid w:val="3E425548"/>
    <w:rsid w:val="3E4607D6"/>
    <w:rsid w:val="3E46434D"/>
    <w:rsid w:val="3E4660FB"/>
    <w:rsid w:val="3E492E08"/>
    <w:rsid w:val="3E4A4B37"/>
    <w:rsid w:val="3E4B54BF"/>
    <w:rsid w:val="3E502CC5"/>
    <w:rsid w:val="3E511D6D"/>
    <w:rsid w:val="3E5163FC"/>
    <w:rsid w:val="3E523AC1"/>
    <w:rsid w:val="3E584BA3"/>
    <w:rsid w:val="3E5B4125"/>
    <w:rsid w:val="3E613B2A"/>
    <w:rsid w:val="3E686071"/>
    <w:rsid w:val="3E695BB7"/>
    <w:rsid w:val="3E6A3B12"/>
    <w:rsid w:val="3E6B2544"/>
    <w:rsid w:val="3E6C4766"/>
    <w:rsid w:val="3E720C9E"/>
    <w:rsid w:val="3E7521E6"/>
    <w:rsid w:val="3E752DEE"/>
    <w:rsid w:val="3E771E04"/>
    <w:rsid w:val="3E775493"/>
    <w:rsid w:val="3E791760"/>
    <w:rsid w:val="3E7940FA"/>
    <w:rsid w:val="3E7B5F4B"/>
    <w:rsid w:val="3E7C7E18"/>
    <w:rsid w:val="3E7D74C2"/>
    <w:rsid w:val="3E7E63DA"/>
    <w:rsid w:val="3E7F160D"/>
    <w:rsid w:val="3E80785E"/>
    <w:rsid w:val="3E851748"/>
    <w:rsid w:val="3E863D6D"/>
    <w:rsid w:val="3E8A2440"/>
    <w:rsid w:val="3E917038"/>
    <w:rsid w:val="3E921340"/>
    <w:rsid w:val="3E95498C"/>
    <w:rsid w:val="3E970704"/>
    <w:rsid w:val="3E976229"/>
    <w:rsid w:val="3E9B5DD0"/>
    <w:rsid w:val="3E9C5F8A"/>
    <w:rsid w:val="3E9E08AA"/>
    <w:rsid w:val="3EA11583"/>
    <w:rsid w:val="3EA572C5"/>
    <w:rsid w:val="3EAB2402"/>
    <w:rsid w:val="3EB017C6"/>
    <w:rsid w:val="3EB219E2"/>
    <w:rsid w:val="3EB37A9F"/>
    <w:rsid w:val="3EB54CEF"/>
    <w:rsid w:val="3EB74ABD"/>
    <w:rsid w:val="3EB819D0"/>
    <w:rsid w:val="3EBB52C2"/>
    <w:rsid w:val="3EBC460F"/>
    <w:rsid w:val="3EBC710E"/>
    <w:rsid w:val="3EBF4E89"/>
    <w:rsid w:val="3EC0306D"/>
    <w:rsid w:val="3EC3451A"/>
    <w:rsid w:val="3EC8147C"/>
    <w:rsid w:val="3EC85756"/>
    <w:rsid w:val="3ECA0ADA"/>
    <w:rsid w:val="3ECB05ED"/>
    <w:rsid w:val="3ECB5510"/>
    <w:rsid w:val="3ED41958"/>
    <w:rsid w:val="3ED43706"/>
    <w:rsid w:val="3ED5107C"/>
    <w:rsid w:val="3ED67F4E"/>
    <w:rsid w:val="3ED731F7"/>
    <w:rsid w:val="3ED92ACB"/>
    <w:rsid w:val="3EDA0523"/>
    <w:rsid w:val="3EDB7EEF"/>
    <w:rsid w:val="3EDF5C66"/>
    <w:rsid w:val="3EE2001D"/>
    <w:rsid w:val="3EE311A7"/>
    <w:rsid w:val="3EE62288"/>
    <w:rsid w:val="3EE75E9A"/>
    <w:rsid w:val="3EED47C8"/>
    <w:rsid w:val="3EF50561"/>
    <w:rsid w:val="3EF50D26"/>
    <w:rsid w:val="3EF70F55"/>
    <w:rsid w:val="3EF80B18"/>
    <w:rsid w:val="3EFA1D37"/>
    <w:rsid w:val="3F001017"/>
    <w:rsid w:val="3F025137"/>
    <w:rsid w:val="3F0264C5"/>
    <w:rsid w:val="3F041D07"/>
    <w:rsid w:val="3F067638"/>
    <w:rsid w:val="3F073ADC"/>
    <w:rsid w:val="3F0B1947"/>
    <w:rsid w:val="3F0B34C6"/>
    <w:rsid w:val="3F0D224A"/>
    <w:rsid w:val="3F106FC2"/>
    <w:rsid w:val="3F10731A"/>
    <w:rsid w:val="3F145C2D"/>
    <w:rsid w:val="3F165036"/>
    <w:rsid w:val="3F1A2276"/>
    <w:rsid w:val="3F1C298F"/>
    <w:rsid w:val="3F214472"/>
    <w:rsid w:val="3F253F62"/>
    <w:rsid w:val="3F294E99"/>
    <w:rsid w:val="3F2C3385"/>
    <w:rsid w:val="3F3214F9"/>
    <w:rsid w:val="3F3318C4"/>
    <w:rsid w:val="3F367656"/>
    <w:rsid w:val="3F385B7A"/>
    <w:rsid w:val="3F3C16C4"/>
    <w:rsid w:val="3F3D179C"/>
    <w:rsid w:val="3F3D5750"/>
    <w:rsid w:val="3F3F0B6E"/>
    <w:rsid w:val="3F3F65D2"/>
    <w:rsid w:val="3F406C9F"/>
    <w:rsid w:val="3F422906"/>
    <w:rsid w:val="3F437A0C"/>
    <w:rsid w:val="3F4765A8"/>
    <w:rsid w:val="3F4A037B"/>
    <w:rsid w:val="3F4C2698"/>
    <w:rsid w:val="3F4E4D6C"/>
    <w:rsid w:val="3F532C21"/>
    <w:rsid w:val="3F5361A4"/>
    <w:rsid w:val="3F5405B7"/>
    <w:rsid w:val="3F546C9E"/>
    <w:rsid w:val="3F552F97"/>
    <w:rsid w:val="3F555576"/>
    <w:rsid w:val="3F5D194E"/>
    <w:rsid w:val="3F5F1E91"/>
    <w:rsid w:val="3F6031EC"/>
    <w:rsid w:val="3F64107A"/>
    <w:rsid w:val="3F6A2AD3"/>
    <w:rsid w:val="3F6A7691"/>
    <w:rsid w:val="3F6B3582"/>
    <w:rsid w:val="3F6C393F"/>
    <w:rsid w:val="3F6C47D0"/>
    <w:rsid w:val="3F6D2D1D"/>
    <w:rsid w:val="3F6D7353"/>
    <w:rsid w:val="3F6D76B7"/>
    <w:rsid w:val="3F6E0150"/>
    <w:rsid w:val="3F6F1681"/>
    <w:rsid w:val="3F706359"/>
    <w:rsid w:val="3F740A45"/>
    <w:rsid w:val="3F754B77"/>
    <w:rsid w:val="3F794D8F"/>
    <w:rsid w:val="3F7A2D2C"/>
    <w:rsid w:val="3F7E0651"/>
    <w:rsid w:val="3F80426B"/>
    <w:rsid w:val="3F806BAB"/>
    <w:rsid w:val="3F856046"/>
    <w:rsid w:val="3F862599"/>
    <w:rsid w:val="3F8631CB"/>
    <w:rsid w:val="3F863274"/>
    <w:rsid w:val="3F873E13"/>
    <w:rsid w:val="3F893E2C"/>
    <w:rsid w:val="3F8A23CC"/>
    <w:rsid w:val="3F8A7B88"/>
    <w:rsid w:val="3F8B5C54"/>
    <w:rsid w:val="3F8B6748"/>
    <w:rsid w:val="3F8E7D59"/>
    <w:rsid w:val="3F9115F7"/>
    <w:rsid w:val="3F9609BC"/>
    <w:rsid w:val="3F980BD8"/>
    <w:rsid w:val="3F9A22A3"/>
    <w:rsid w:val="3F9C0638"/>
    <w:rsid w:val="3F9C2D79"/>
    <w:rsid w:val="3FA0183A"/>
    <w:rsid w:val="3FA04CF1"/>
    <w:rsid w:val="3FA56E51"/>
    <w:rsid w:val="3FA6019B"/>
    <w:rsid w:val="3FA73C06"/>
    <w:rsid w:val="3FA806EF"/>
    <w:rsid w:val="3FAA090B"/>
    <w:rsid w:val="3FB03AE9"/>
    <w:rsid w:val="3FB564A3"/>
    <w:rsid w:val="3FB853D5"/>
    <w:rsid w:val="3FB928FC"/>
    <w:rsid w:val="3FB96E7A"/>
    <w:rsid w:val="3FBB6674"/>
    <w:rsid w:val="3FBD0C89"/>
    <w:rsid w:val="3FBE68C2"/>
    <w:rsid w:val="3FC05A3B"/>
    <w:rsid w:val="3FC372B1"/>
    <w:rsid w:val="3FC653B9"/>
    <w:rsid w:val="3FC67557"/>
    <w:rsid w:val="3FC7326B"/>
    <w:rsid w:val="3FCB2D5B"/>
    <w:rsid w:val="3FCB5180"/>
    <w:rsid w:val="3FCD7ECA"/>
    <w:rsid w:val="3FD57736"/>
    <w:rsid w:val="3FD60A2F"/>
    <w:rsid w:val="3FE07E94"/>
    <w:rsid w:val="3FE536F1"/>
    <w:rsid w:val="3FE5663B"/>
    <w:rsid w:val="3FE91D6E"/>
    <w:rsid w:val="3FE92A84"/>
    <w:rsid w:val="3FE931E1"/>
    <w:rsid w:val="3FEA0D08"/>
    <w:rsid w:val="3FEB0E6C"/>
    <w:rsid w:val="3FEC2CD2"/>
    <w:rsid w:val="3FEC3765"/>
    <w:rsid w:val="3FF45545"/>
    <w:rsid w:val="3FF75026"/>
    <w:rsid w:val="3FFA53EF"/>
    <w:rsid w:val="3FFB6E9C"/>
    <w:rsid w:val="3FFE7446"/>
    <w:rsid w:val="3FFF4131"/>
    <w:rsid w:val="40015B6F"/>
    <w:rsid w:val="40026051"/>
    <w:rsid w:val="40044B8D"/>
    <w:rsid w:val="40083317"/>
    <w:rsid w:val="4008422D"/>
    <w:rsid w:val="400A2411"/>
    <w:rsid w:val="401146D6"/>
    <w:rsid w:val="401B0F1D"/>
    <w:rsid w:val="401B7113"/>
    <w:rsid w:val="401C5365"/>
    <w:rsid w:val="401D2E8B"/>
    <w:rsid w:val="401F4E55"/>
    <w:rsid w:val="401F6CDA"/>
    <w:rsid w:val="402043E9"/>
    <w:rsid w:val="40212DC1"/>
    <w:rsid w:val="40271F5C"/>
    <w:rsid w:val="40273D0A"/>
    <w:rsid w:val="40291830"/>
    <w:rsid w:val="40297A84"/>
    <w:rsid w:val="402A14D2"/>
    <w:rsid w:val="402D2BDA"/>
    <w:rsid w:val="402D59C2"/>
    <w:rsid w:val="4031217D"/>
    <w:rsid w:val="40396BF8"/>
    <w:rsid w:val="403A3A3D"/>
    <w:rsid w:val="403C5EDF"/>
    <w:rsid w:val="403C77B5"/>
    <w:rsid w:val="40406F01"/>
    <w:rsid w:val="40415103"/>
    <w:rsid w:val="40453D92"/>
    <w:rsid w:val="404872F5"/>
    <w:rsid w:val="404B3E9C"/>
    <w:rsid w:val="40501F93"/>
    <w:rsid w:val="40520D87"/>
    <w:rsid w:val="40550877"/>
    <w:rsid w:val="40555BBD"/>
    <w:rsid w:val="40581DB6"/>
    <w:rsid w:val="405A72DF"/>
    <w:rsid w:val="405E2404"/>
    <w:rsid w:val="405F1454"/>
    <w:rsid w:val="40630701"/>
    <w:rsid w:val="4066497A"/>
    <w:rsid w:val="40681530"/>
    <w:rsid w:val="406E0974"/>
    <w:rsid w:val="4070745F"/>
    <w:rsid w:val="40712CC9"/>
    <w:rsid w:val="40721429"/>
    <w:rsid w:val="407231D7"/>
    <w:rsid w:val="40747881"/>
    <w:rsid w:val="40762B7A"/>
    <w:rsid w:val="40784565"/>
    <w:rsid w:val="407913BC"/>
    <w:rsid w:val="407A6407"/>
    <w:rsid w:val="407C7085"/>
    <w:rsid w:val="407F58F4"/>
    <w:rsid w:val="40832E36"/>
    <w:rsid w:val="40842386"/>
    <w:rsid w:val="40842F0A"/>
    <w:rsid w:val="40844CB8"/>
    <w:rsid w:val="40850A58"/>
    <w:rsid w:val="40866C82"/>
    <w:rsid w:val="40886F71"/>
    <w:rsid w:val="40891E40"/>
    <w:rsid w:val="408B6047"/>
    <w:rsid w:val="408E5B37"/>
    <w:rsid w:val="409217D2"/>
    <w:rsid w:val="40943F1D"/>
    <w:rsid w:val="409757FE"/>
    <w:rsid w:val="409975C8"/>
    <w:rsid w:val="409C410E"/>
    <w:rsid w:val="409F7D44"/>
    <w:rsid w:val="40A83E5C"/>
    <w:rsid w:val="40AA09BF"/>
    <w:rsid w:val="40AA5217"/>
    <w:rsid w:val="40AB0497"/>
    <w:rsid w:val="40AB493B"/>
    <w:rsid w:val="40AB4E7E"/>
    <w:rsid w:val="40AD06B3"/>
    <w:rsid w:val="40AD4AAD"/>
    <w:rsid w:val="40AE41D1"/>
    <w:rsid w:val="40B0535B"/>
    <w:rsid w:val="40B30123"/>
    <w:rsid w:val="40B72457"/>
    <w:rsid w:val="40B732E0"/>
    <w:rsid w:val="40C0108C"/>
    <w:rsid w:val="40C32056"/>
    <w:rsid w:val="40C652D1"/>
    <w:rsid w:val="40C94DC1"/>
    <w:rsid w:val="40CA70CC"/>
    <w:rsid w:val="40CB1D5D"/>
    <w:rsid w:val="40CD2B03"/>
    <w:rsid w:val="40CD6D36"/>
    <w:rsid w:val="40CE4185"/>
    <w:rsid w:val="40D05169"/>
    <w:rsid w:val="40D53766"/>
    <w:rsid w:val="40D72A44"/>
    <w:rsid w:val="40DA4BDB"/>
    <w:rsid w:val="40DF6A92"/>
    <w:rsid w:val="40DF701B"/>
    <w:rsid w:val="40E11BEA"/>
    <w:rsid w:val="40E53529"/>
    <w:rsid w:val="40E54539"/>
    <w:rsid w:val="40E650B7"/>
    <w:rsid w:val="40E73A07"/>
    <w:rsid w:val="40E770B0"/>
    <w:rsid w:val="40E85247"/>
    <w:rsid w:val="40EA7211"/>
    <w:rsid w:val="40EB4D37"/>
    <w:rsid w:val="40ED0AAF"/>
    <w:rsid w:val="40EE65D6"/>
    <w:rsid w:val="40EF5E8D"/>
    <w:rsid w:val="40FC2433"/>
    <w:rsid w:val="40FC40AA"/>
    <w:rsid w:val="40FC7339"/>
    <w:rsid w:val="41001A84"/>
    <w:rsid w:val="41016309"/>
    <w:rsid w:val="410269FE"/>
    <w:rsid w:val="4105176D"/>
    <w:rsid w:val="41065CB3"/>
    <w:rsid w:val="41084201"/>
    <w:rsid w:val="410B7187"/>
    <w:rsid w:val="410C3194"/>
    <w:rsid w:val="41113062"/>
    <w:rsid w:val="4114426E"/>
    <w:rsid w:val="41175384"/>
    <w:rsid w:val="411936F5"/>
    <w:rsid w:val="411A7B55"/>
    <w:rsid w:val="41205E86"/>
    <w:rsid w:val="41216845"/>
    <w:rsid w:val="412946A5"/>
    <w:rsid w:val="412A01EC"/>
    <w:rsid w:val="413305A4"/>
    <w:rsid w:val="4133737D"/>
    <w:rsid w:val="4136669C"/>
    <w:rsid w:val="41366EAC"/>
    <w:rsid w:val="41373AF4"/>
    <w:rsid w:val="41393CF5"/>
    <w:rsid w:val="413B5469"/>
    <w:rsid w:val="413C4B60"/>
    <w:rsid w:val="41432DC5"/>
    <w:rsid w:val="414803DC"/>
    <w:rsid w:val="41481446"/>
    <w:rsid w:val="414824F1"/>
    <w:rsid w:val="41492169"/>
    <w:rsid w:val="414A7CB0"/>
    <w:rsid w:val="414B5915"/>
    <w:rsid w:val="414C5861"/>
    <w:rsid w:val="4151103E"/>
    <w:rsid w:val="4154555F"/>
    <w:rsid w:val="415478EE"/>
    <w:rsid w:val="41550C9F"/>
    <w:rsid w:val="41551AF3"/>
    <w:rsid w:val="41596145"/>
    <w:rsid w:val="415A2D0A"/>
    <w:rsid w:val="415D3E87"/>
    <w:rsid w:val="415D5C35"/>
    <w:rsid w:val="415E375B"/>
    <w:rsid w:val="41614FF9"/>
    <w:rsid w:val="41622767"/>
    <w:rsid w:val="41627B5C"/>
    <w:rsid w:val="41634FC5"/>
    <w:rsid w:val="41650F8E"/>
    <w:rsid w:val="41670862"/>
    <w:rsid w:val="416751FF"/>
    <w:rsid w:val="416A706E"/>
    <w:rsid w:val="416A7C0C"/>
    <w:rsid w:val="41736AF6"/>
    <w:rsid w:val="41740D0B"/>
    <w:rsid w:val="417B45A6"/>
    <w:rsid w:val="417C108D"/>
    <w:rsid w:val="417D0B9D"/>
    <w:rsid w:val="417D6A2A"/>
    <w:rsid w:val="417E3C59"/>
    <w:rsid w:val="41834CA6"/>
    <w:rsid w:val="418423E5"/>
    <w:rsid w:val="41850CE8"/>
    <w:rsid w:val="41877EF8"/>
    <w:rsid w:val="418B1628"/>
    <w:rsid w:val="418C2076"/>
    <w:rsid w:val="418D4040"/>
    <w:rsid w:val="418E58C6"/>
    <w:rsid w:val="418F172B"/>
    <w:rsid w:val="418F600A"/>
    <w:rsid w:val="419337A7"/>
    <w:rsid w:val="41970751"/>
    <w:rsid w:val="41986B84"/>
    <w:rsid w:val="419C332B"/>
    <w:rsid w:val="419D4818"/>
    <w:rsid w:val="419E1A9B"/>
    <w:rsid w:val="41A31919"/>
    <w:rsid w:val="41A84418"/>
    <w:rsid w:val="41A90EA5"/>
    <w:rsid w:val="41AC2558"/>
    <w:rsid w:val="41AD0C15"/>
    <w:rsid w:val="41AE0DD2"/>
    <w:rsid w:val="41AE4EAF"/>
    <w:rsid w:val="41B03594"/>
    <w:rsid w:val="41B03F71"/>
    <w:rsid w:val="41B17625"/>
    <w:rsid w:val="41B261ED"/>
    <w:rsid w:val="41B34A4A"/>
    <w:rsid w:val="41B61E91"/>
    <w:rsid w:val="41C77552"/>
    <w:rsid w:val="41CC4B1E"/>
    <w:rsid w:val="41CC6917"/>
    <w:rsid w:val="41CC7778"/>
    <w:rsid w:val="41CD1200"/>
    <w:rsid w:val="41CE08E1"/>
    <w:rsid w:val="41CE5743"/>
    <w:rsid w:val="41CF145D"/>
    <w:rsid w:val="41D238B1"/>
    <w:rsid w:val="41D42396"/>
    <w:rsid w:val="41D752CB"/>
    <w:rsid w:val="41DC76FF"/>
    <w:rsid w:val="41E41EB2"/>
    <w:rsid w:val="41E719A3"/>
    <w:rsid w:val="41E73A1D"/>
    <w:rsid w:val="41E9716E"/>
    <w:rsid w:val="41EA4FEF"/>
    <w:rsid w:val="41EE076D"/>
    <w:rsid w:val="41EE2D31"/>
    <w:rsid w:val="41EF0857"/>
    <w:rsid w:val="41F420C9"/>
    <w:rsid w:val="41FA1D1A"/>
    <w:rsid w:val="41FA7EA6"/>
    <w:rsid w:val="41FB323E"/>
    <w:rsid w:val="41FB36A0"/>
    <w:rsid w:val="4200449D"/>
    <w:rsid w:val="42011D75"/>
    <w:rsid w:val="4201431E"/>
    <w:rsid w:val="42091919"/>
    <w:rsid w:val="420C765B"/>
    <w:rsid w:val="420D3C55"/>
    <w:rsid w:val="4212328D"/>
    <w:rsid w:val="42156510"/>
    <w:rsid w:val="42163AFD"/>
    <w:rsid w:val="42181B5C"/>
    <w:rsid w:val="421B0E02"/>
    <w:rsid w:val="421B7564"/>
    <w:rsid w:val="421F113C"/>
    <w:rsid w:val="422306AE"/>
    <w:rsid w:val="42264D31"/>
    <w:rsid w:val="42295B17"/>
    <w:rsid w:val="422B32F5"/>
    <w:rsid w:val="422C426F"/>
    <w:rsid w:val="422C55F7"/>
    <w:rsid w:val="422D125F"/>
    <w:rsid w:val="422D540D"/>
    <w:rsid w:val="422E312E"/>
    <w:rsid w:val="422E5823"/>
    <w:rsid w:val="422F6EA6"/>
    <w:rsid w:val="42314F40"/>
    <w:rsid w:val="42347514"/>
    <w:rsid w:val="42350960"/>
    <w:rsid w:val="42386A23"/>
    <w:rsid w:val="423A3BCC"/>
    <w:rsid w:val="423B0B09"/>
    <w:rsid w:val="423D0684"/>
    <w:rsid w:val="423E4D4A"/>
    <w:rsid w:val="423F0BC9"/>
    <w:rsid w:val="42421590"/>
    <w:rsid w:val="42487D72"/>
    <w:rsid w:val="424D6740"/>
    <w:rsid w:val="424D7CC1"/>
    <w:rsid w:val="424E57D2"/>
    <w:rsid w:val="425103BC"/>
    <w:rsid w:val="4251506E"/>
    <w:rsid w:val="4253528A"/>
    <w:rsid w:val="42537038"/>
    <w:rsid w:val="42552980"/>
    <w:rsid w:val="4258195C"/>
    <w:rsid w:val="425863FC"/>
    <w:rsid w:val="425F3736"/>
    <w:rsid w:val="426422AB"/>
    <w:rsid w:val="42644243"/>
    <w:rsid w:val="426923B8"/>
    <w:rsid w:val="426B24C9"/>
    <w:rsid w:val="426D63FE"/>
    <w:rsid w:val="426F5CF8"/>
    <w:rsid w:val="427072A9"/>
    <w:rsid w:val="427A6373"/>
    <w:rsid w:val="4282551A"/>
    <w:rsid w:val="42856D2B"/>
    <w:rsid w:val="42876CE2"/>
    <w:rsid w:val="428A3CB4"/>
    <w:rsid w:val="428D5CD5"/>
    <w:rsid w:val="428F7456"/>
    <w:rsid w:val="42925DB2"/>
    <w:rsid w:val="42954017"/>
    <w:rsid w:val="42974E32"/>
    <w:rsid w:val="429815D4"/>
    <w:rsid w:val="429A316A"/>
    <w:rsid w:val="42A02EF5"/>
    <w:rsid w:val="42A04F29"/>
    <w:rsid w:val="42A11B51"/>
    <w:rsid w:val="42A208DB"/>
    <w:rsid w:val="42A77C16"/>
    <w:rsid w:val="42AB29D0"/>
    <w:rsid w:val="42AD0ADF"/>
    <w:rsid w:val="42B018A9"/>
    <w:rsid w:val="42B04A3A"/>
    <w:rsid w:val="42B26C49"/>
    <w:rsid w:val="42B51912"/>
    <w:rsid w:val="42B95F70"/>
    <w:rsid w:val="42B96FF7"/>
    <w:rsid w:val="42BD50D6"/>
    <w:rsid w:val="42C617E9"/>
    <w:rsid w:val="42C90EFE"/>
    <w:rsid w:val="42C92646"/>
    <w:rsid w:val="42CD0B98"/>
    <w:rsid w:val="42CF1C80"/>
    <w:rsid w:val="42D00689"/>
    <w:rsid w:val="42D0395A"/>
    <w:rsid w:val="42D44D14"/>
    <w:rsid w:val="42D71A17"/>
    <w:rsid w:val="42DA36B2"/>
    <w:rsid w:val="42DC527F"/>
    <w:rsid w:val="42DE4B54"/>
    <w:rsid w:val="42E135E6"/>
    <w:rsid w:val="42E36CC4"/>
    <w:rsid w:val="42E44134"/>
    <w:rsid w:val="42E47C90"/>
    <w:rsid w:val="42E543FC"/>
    <w:rsid w:val="42E621FE"/>
    <w:rsid w:val="42E83C24"/>
    <w:rsid w:val="42ED6100"/>
    <w:rsid w:val="42EE0B0F"/>
    <w:rsid w:val="42EE5D11"/>
    <w:rsid w:val="42EF4FB3"/>
    <w:rsid w:val="42EF538E"/>
    <w:rsid w:val="42F26851"/>
    <w:rsid w:val="42F67E64"/>
    <w:rsid w:val="42FA3412"/>
    <w:rsid w:val="42FA3E0A"/>
    <w:rsid w:val="43037978"/>
    <w:rsid w:val="4305634C"/>
    <w:rsid w:val="43087E22"/>
    <w:rsid w:val="4309042B"/>
    <w:rsid w:val="430E60EC"/>
    <w:rsid w:val="43140575"/>
    <w:rsid w:val="431762B8"/>
    <w:rsid w:val="43194A98"/>
    <w:rsid w:val="431B354B"/>
    <w:rsid w:val="431D0B74"/>
    <w:rsid w:val="431E52AE"/>
    <w:rsid w:val="431F01C6"/>
    <w:rsid w:val="431F6F1A"/>
    <w:rsid w:val="4320271E"/>
    <w:rsid w:val="432032D1"/>
    <w:rsid w:val="43234034"/>
    <w:rsid w:val="43261344"/>
    <w:rsid w:val="432644BC"/>
    <w:rsid w:val="432709E8"/>
    <w:rsid w:val="432819FE"/>
    <w:rsid w:val="43294C5D"/>
    <w:rsid w:val="432A1B18"/>
    <w:rsid w:val="432A5FEB"/>
    <w:rsid w:val="432C1B4F"/>
    <w:rsid w:val="432F5FBD"/>
    <w:rsid w:val="4331444F"/>
    <w:rsid w:val="43317379"/>
    <w:rsid w:val="43324E9F"/>
    <w:rsid w:val="43333348"/>
    <w:rsid w:val="4335673E"/>
    <w:rsid w:val="43360BAF"/>
    <w:rsid w:val="43362BE2"/>
    <w:rsid w:val="43367793"/>
    <w:rsid w:val="433819A3"/>
    <w:rsid w:val="433A05B9"/>
    <w:rsid w:val="433A6FE6"/>
    <w:rsid w:val="43426C4B"/>
    <w:rsid w:val="4348021F"/>
    <w:rsid w:val="43480868"/>
    <w:rsid w:val="434825E3"/>
    <w:rsid w:val="434966C0"/>
    <w:rsid w:val="434F3FDE"/>
    <w:rsid w:val="4350713C"/>
    <w:rsid w:val="43511E32"/>
    <w:rsid w:val="43562F62"/>
    <w:rsid w:val="435A6DDA"/>
    <w:rsid w:val="435B3934"/>
    <w:rsid w:val="435E0E0D"/>
    <w:rsid w:val="435F79D5"/>
    <w:rsid w:val="436463F5"/>
    <w:rsid w:val="43654948"/>
    <w:rsid w:val="436653E0"/>
    <w:rsid w:val="436A2FA4"/>
    <w:rsid w:val="436D5ED7"/>
    <w:rsid w:val="43702C5E"/>
    <w:rsid w:val="437048E9"/>
    <w:rsid w:val="4374370A"/>
    <w:rsid w:val="437454B8"/>
    <w:rsid w:val="43834DCC"/>
    <w:rsid w:val="438356FB"/>
    <w:rsid w:val="438A0A08"/>
    <w:rsid w:val="438A3C8A"/>
    <w:rsid w:val="438C697A"/>
    <w:rsid w:val="43920743"/>
    <w:rsid w:val="4392392C"/>
    <w:rsid w:val="439275D8"/>
    <w:rsid w:val="439336DB"/>
    <w:rsid w:val="439A228C"/>
    <w:rsid w:val="439C52E2"/>
    <w:rsid w:val="439D53B3"/>
    <w:rsid w:val="439E42E3"/>
    <w:rsid w:val="439F4D31"/>
    <w:rsid w:val="43A22025"/>
    <w:rsid w:val="43A23DD3"/>
    <w:rsid w:val="43AA3E03"/>
    <w:rsid w:val="43AB2856"/>
    <w:rsid w:val="43AB7C4E"/>
    <w:rsid w:val="43AD49E6"/>
    <w:rsid w:val="43AD736A"/>
    <w:rsid w:val="43AE09CA"/>
    <w:rsid w:val="43AF7F0B"/>
    <w:rsid w:val="43B37C02"/>
    <w:rsid w:val="43B55F3D"/>
    <w:rsid w:val="43B56765"/>
    <w:rsid w:val="43B91888"/>
    <w:rsid w:val="43BC2C7F"/>
    <w:rsid w:val="43BC2E35"/>
    <w:rsid w:val="43BC2FEB"/>
    <w:rsid w:val="43BD6E5F"/>
    <w:rsid w:val="43C4431A"/>
    <w:rsid w:val="43C45897"/>
    <w:rsid w:val="43C65928"/>
    <w:rsid w:val="43C711FC"/>
    <w:rsid w:val="43CE2E1A"/>
    <w:rsid w:val="43CE7A46"/>
    <w:rsid w:val="43CF0940"/>
    <w:rsid w:val="43D63E4A"/>
    <w:rsid w:val="43DB1093"/>
    <w:rsid w:val="43E175C6"/>
    <w:rsid w:val="43E22422"/>
    <w:rsid w:val="43E30E9C"/>
    <w:rsid w:val="43E31B3C"/>
    <w:rsid w:val="43E31F32"/>
    <w:rsid w:val="43E3619A"/>
    <w:rsid w:val="43E40925"/>
    <w:rsid w:val="43E41E33"/>
    <w:rsid w:val="43E731C5"/>
    <w:rsid w:val="43E91A32"/>
    <w:rsid w:val="43EC31D6"/>
    <w:rsid w:val="43F263DD"/>
    <w:rsid w:val="43F334A9"/>
    <w:rsid w:val="43F87E97"/>
    <w:rsid w:val="43F931E5"/>
    <w:rsid w:val="43F96DC0"/>
    <w:rsid w:val="43FE3E70"/>
    <w:rsid w:val="43FE4D82"/>
    <w:rsid w:val="43FF215A"/>
    <w:rsid w:val="44004F9E"/>
    <w:rsid w:val="44006D4C"/>
    <w:rsid w:val="44064256"/>
    <w:rsid w:val="440A1978"/>
    <w:rsid w:val="440B0E26"/>
    <w:rsid w:val="440C39DF"/>
    <w:rsid w:val="440D53C9"/>
    <w:rsid w:val="44181148"/>
    <w:rsid w:val="441F28BF"/>
    <w:rsid w:val="4420119C"/>
    <w:rsid w:val="44225C7D"/>
    <w:rsid w:val="442347E8"/>
    <w:rsid w:val="442567B2"/>
    <w:rsid w:val="442637F9"/>
    <w:rsid w:val="442758DB"/>
    <w:rsid w:val="44323D41"/>
    <w:rsid w:val="44327604"/>
    <w:rsid w:val="44352E99"/>
    <w:rsid w:val="44354C47"/>
    <w:rsid w:val="44373497"/>
    <w:rsid w:val="443A1F8B"/>
    <w:rsid w:val="443B1833"/>
    <w:rsid w:val="443D758A"/>
    <w:rsid w:val="4440539A"/>
    <w:rsid w:val="44406A74"/>
    <w:rsid w:val="44410FCF"/>
    <w:rsid w:val="44446E0E"/>
    <w:rsid w:val="44466543"/>
    <w:rsid w:val="444A53AB"/>
    <w:rsid w:val="444A7FC7"/>
    <w:rsid w:val="444B446B"/>
    <w:rsid w:val="44501221"/>
    <w:rsid w:val="44513A93"/>
    <w:rsid w:val="445157F9"/>
    <w:rsid w:val="44515B74"/>
    <w:rsid w:val="445350CD"/>
    <w:rsid w:val="44560643"/>
    <w:rsid w:val="44580936"/>
    <w:rsid w:val="44586883"/>
    <w:rsid w:val="44597F42"/>
    <w:rsid w:val="445A46AE"/>
    <w:rsid w:val="445A5A0E"/>
    <w:rsid w:val="445B14E5"/>
    <w:rsid w:val="445D0E39"/>
    <w:rsid w:val="445D2FB7"/>
    <w:rsid w:val="445E2553"/>
    <w:rsid w:val="445F7F16"/>
    <w:rsid w:val="44651A7C"/>
    <w:rsid w:val="44655091"/>
    <w:rsid w:val="446612A5"/>
    <w:rsid w:val="446626D0"/>
    <w:rsid w:val="44674FD6"/>
    <w:rsid w:val="446A4380"/>
    <w:rsid w:val="446D4D0C"/>
    <w:rsid w:val="446D6CF6"/>
    <w:rsid w:val="446E4881"/>
    <w:rsid w:val="44731AA3"/>
    <w:rsid w:val="44743FC6"/>
    <w:rsid w:val="44745F3C"/>
    <w:rsid w:val="447B207C"/>
    <w:rsid w:val="447D039C"/>
    <w:rsid w:val="447E79CB"/>
    <w:rsid w:val="44807B88"/>
    <w:rsid w:val="44817E8C"/>
    <w:rsid w:val="44867251"/>
    <w:rsid w:val="4488527F"/>
    <w:rsid w:val="448B4867"/>
    <w:rsid w:val="448E19FE"/>
    <w:rsid w:val="448F2D96"/>
    <w:rsid w:val="44967EF1"/>
    <w:rsid w:val="449924D3"/>
    <w:rsid w:val="449A71A0"/>
    <w:rsid w:val="449E2D2B"/>
    <w:rsid w:val="44A27E03"/>
    <w:rsid w:val="44A75419"/>
    <w:rsid w:val="44AE49FA"/>
    <w:rsid w:val="44AE67A8"/>
    <w:rsid w:val="44B02520"/>
    <w:rsid w:val="44B32010"/>
    <w:rsid w:val="44B44653"/>
    <w:rsid w:val="44B6565C"/>
    <w:rsid w:val="44B6750B"/>
    <w:rsid w:val="44B7057A"/>
    <w:rsid w:val="44B76015"/>
    <w:rsid w:val="44B951CC"/>
    <w:rsid w:val="44BA339E"/>
    <w:rsid w:val="44BD69EB"/>
    <w:rsid w:val="44BE1330"/>
    <w:rsid w:val="44BF2702"/>
    <w:rsid w:val="44C0516D"/>
    <w:rsid w:val="44C06FEF"/>
    <w:rsid w:val="44C32A2A"/>
    <w:rsid w:val="44C571BC"/>
    <w:rsid w:val="44C9538F"/>
    <w:rsid w:val="44CB40C4"/>
    <w:rsid w:val="44CD14E0"/>
    <w:rsid w:val="44D206E8"/>
    <w:rsid w:val="44D34460"/>
    <w:rsid w:val="44D75CFE"/>
    <w:rsid w:val="44D97387"/>
    <w:rsid w:val="44DB1AAF"/>
    <w:rsid w:val="44DB495D"/>
    <w:rsid w:val="44DC50C3"/>
    <w:rsid w:val="44E05E57"/>
    <w:rsid w:val="44E52F1F"/>
    <w:rsid w:val="44EB037C"/>
    <w:rsid w:val="44EE2B8D"/>
    <w:rsid w:val="44F04006"/>
    <w:rsid w:val="44F20B0B"/>
    <w:rsid w:val="44F37211"/>
    <w:rsid w:val="44F653E2"/>
    <w:rsid w:val="44F87A23"/>
    <w:rsid w:val="44FC56D5"/>
    <w:rsid w:val="45006C99"/>
    <w:rsid w:val="45007C09"/>
    <w:rsid w:val="45047428"/>
    <w:rsid w:val="45055CC0"/>
    <w:rsid w:val="450626CD"/>
    <w:rsid w:val="45070E29"/>
    <w:rsid w:val="450A3F85"/>
    <w:rsid w:val="450A43E7"/>
    <w:rsid w:val="450B601F"/>
    <w:rsid w:val="450C5982"/>
    <w:rsid w:val="450D0C9B"/>
    <w:rsid w:val="450E15F4"/>
    <w:rsid w:val="45120AE5"/>
    <w:rsid w:val="45154338"/>
    <w:rsid w:val="45156827"/>
    <w:rsid w:val="4516348E"/>
    <w:rsid w:val="451B67BC"/>
    <w:rsid w:val="451C04DF"/>
    <w:rsid w:val="451E56DB"/>
    <w:rsid w:val="451E6B63"/>
    <w:rsid w:val="45232576"/>
    <w:rsid w:val="45232CF2"/>
    <w:rsid w:val="45273740"/>
    <w:rsid w:val="45297C62"/>
    <w:rsid w:val="452C362E"/>
    <w:rsid w:val="452E5F4C"/>
    <w:rsid w:val="4531764A"/>
    <w:rsid w:val="45330876"/>
    <w:rsid w:val="453677FF"/>
    <w:rsid w:val="453A1148"/>
    <w:rsid w:val="453C3DB3"/>
    <w:rsid w:val="453C7D4E"/>
    <w:rsid w:val="453D353B"/>
    <w:rsid w:val="4541761C"/>
    <w:rsid w:val="45464C32"/>
    <w:rsid w:val="454B3FF6"/>
    <w:rsid w:val="454F7F8B"/>
    <w:rsid w:val="45506952"/>
    <w:rsid w:val="45541CEF"/>
    <w:rsid w:val="4555083D"/>
    <w:rsid w:val="45554336"/>
    <w:rsid w:val="45555217"/>
    <w:rsid w:val="45595EBE"/>
    <w:rsid w:val="455B4444"/>
    <w:rsid w:val="455C26A8"/>
    <w:rsid w:val="455E3AA1"/>
    <w:rsid w:val="455F7AA2"/>
    <w:rsid w:val="45612018"/>
    <w:rsid w:val="45626AE7"/>
    <w:rsid w:val="456304B6"/>
    <w:rsid w:val="4564320C"/>
    <w:rsid w:val="4572353C"/>
    <w:rsid w:val="45725CA8"/>
    <w:rsid w:val="4577303D"/>
    <w:rsid w:val="45790B64"/>
    <w:rsid w:val="457E261E"/>
    <w:rsid w:val="45834890"/>
    <w:rsid w:val="45861251"/>
    <w:rsid w:val="458710D4"/>
    <w:rsid w:val="458946E9"/>
    <w:rsid w:val="458C41F1"/>
    <w:rsid w:val="458D2861"/>
    <w:rsid w:val="4592194D"/>
    <w:rsid w:val="45921C25"/>
    <w:rsid w:val="45935CF2"/>
    <w:rsid w:val="45956F51"/>
    <w:rsid w:val="45996E45"/>
    <w:rsid w:val="459B54C7"/>
    <w:rsid w:val="459C78D2"/>
    <w:rsid w:val="45A44BCB"/>
    <w:rsid w:val="45A47C0E"/>
    <w:rsid w:val="45A8769B"/>
    <w:rsid w:val="45AA1B9F"/>
    <w:rsid w:val="45AB19D6"/>
    <w:rsid w:val="45AC29A6"/>
    <w:rsid w:val="45B0049D"/>
    <w:rsid w:val="45B147A1"/>
    <w:rsid w:val="45B222C8"/>
    <w:rsid w:val="45B468AC"/>
    <w:rsid w:val="45BF5F46"/>
    <w:rsid w:val="45C328DB"/>
    <w:rsid w:val="45C344D5"/>
    <w:rsid w:val="45C50B8C"/>
    <w:rsid w:val="45C51FFB"/>
    <w:rsid w:val="45C9007A"/>
    <w:rsid w:val="45C94C28"/>
    <w:rsid w:val="45CD3EE2"/>
    <w:rsid w:val="45CE2522"/>
    <w:rsid w:val="45CE3197"/>
    <w:rsid w:val="45CF2E79"/>
    <w:rsid w:val="45D14C98"/>
    <w:rsid w:val="45D264C6"/>
    <w:rsid w:val="45D63573"/>
    <w:rsid w:val="45D668A1"/>
    <w:rsid w:val="45D746D7"/>
    <w:rsid w:val="45D77616"/>
    <w:rsid w:val="45DB3755"/>
    <w:rsid w:val="45E04B1C"/>
    <w:rsid w:val="45E24A05"/>
    <w:rsid w:val="45E677D2"/>
    <w:rsid w:val="45E67EBA"/>
    <w:rsid w:val="45E87A97"/>
    <w:rsid w:val="45EC7588"/>
    <w:rsid w:val="45ED3300"/>
    <w:rsid w:val="45ED50AE"/>
    <w:rsid w:val="45F01FE7"/>
    <w:rsid w:val="45F14B9E"/>
    <w:rsid w:val="45F17926"/>
    <w:rsid w:val="45F4468E"/>
    <w:rsid w:val="45F60596"/>
    <w:rsid w:val="45F96F2A"/>
    <w:rsid w:val="45FA499B"/>
    <w:rsid w:val="45FB3C6E"/>
    <w:rsid w:val="45FF1617"/>
    <w:rsid w:val="46026DAB"/>
    <w:rsid w:val="460C5E7C"/>
    <w:rsid w:val="460E080A"/>
    <w:rsid w:val="4610604E"/>
    <w:rsid w:val="46146ADE"/>
    <w:rsid w:val="46181654"/>
    <w:rsid w:val="462211FB"/>
    <w:rsid w:val="46250CEB"/>
    <w:rsid w:val="4625190A"/>
    <w:rsid w:val="462A4554"/>
    <w:rsid w:val="462B0FC3"/>
    <w:rsid w:val="462F3918"/>
    <w:rsid w:val="46327619"/>
    <w:rsid w:val="46364180"/>
    <w:rsid w:val="46376F32"/>
    <w:rsid w:val="46381FBA"/>
    <w:rsid w:val="463903C0"/>
    <w:rsid w:val="463A6393"/>
    <w:rsid w:val="463B050F"/>
    <w:rsid w:val="463D4A7A"/>
    <w:rsid w:val="463D6035"/>
    <w:rsid w:val="463E7AEC"/>
    <w:rsid w:val="463F7FFF"/>
    <w:rsid w:val="464031DC"/>
    <w:rsid w:val="4641748D"/>
    <w:rsid w:val="46433015"/>
    <w:rsid w:val="46445D3B"/>
    <w:rsid w:val="46455E1C"/>
    <w:rsid w:val="464907A7"/>
    <w:rsid w:val="46494A15"/>
    <w:rsid w:val="464B2231"/>
    <w:rsid w:val="4651096A"/>
    <w:rsid w:val="46535859"/>
    <w:rsid w:val="46577FD6"/>
    <w:rsid w:val="465800E3"/>
    <w:rsid w:val="465807D8"/>
    <w:rsid w:val="46583067"/>
    <w:rsid w:val="465A0393"/>
    <w:rsid w:val="465A2475"/>
    <w:rsid w:val="465D397A"/>
    <w:rsid w:val="46601D24"/>
    <w:rsid w:val="466955DD"/>
    <w:rsid w:val="466C691A"/>
    <w:rsid w:val="46700B12"/>
    <w:rsid w:val="46726E49"/>
    <w:rsid w:val="467648DE"/>
    <w:rsid w:val="46765FC9"/>
    <w:rsid w:val="46773B08"/>
    <w:rsid w:val="46774AB6"/>
    <w:rsid w:val="467C71F4"/>
    <w:rsid w:val="467D0B27"/>
    <w:rsid w:val="467D28D5"/>
    <w:rsid w:val="467D3146"/>
    <w:rsid w:val="467D4684"/>
    <w:rsid w:val="467E4C09"/>
    <w:rsid w:val="46810624"/>
    <w:rsid w:val="46811CC3"/>
    <w:rsid w:val="4683266F"/>
    <w:rsid w:val="46844C83"/>
    <w:rsid w:val="46861592"/>
    <w:rsid w:val="468C48C7"/>
    <w:rsid w:val="469046F5"/>
    <w:rsid w:val="469612B2"/>
    <w:rsid w:val="46963997"/>
    <w:rsid w:val="46963B0E"/>
    <w:rsid w:val="4698326B"/>
    <w:rsid w:val="469C3D1C"/>
    <w:rsid w:val="469D3B8E"/>
    <w:rsid w:val="469D4D26"/>
    <w:rsid w:val="46A03143"/>
    <w:rsid w:val="46A73222"/>
    <w:rsid w:val="46A9191C"/>
    <w:rsid w:val="46AE1659"/>
    <w:rsid w:val="46B15420"/>
    <w:rsid w:val="46B31FC0"/>
    <w:rsid w:val="46B45A2D"/>
    <w:rsid w:val="46B57DA9"/>
    <w:rsid w:val="46B75DE7"/>
    <w:rsid w:val="46B82087"/>
    <w:rsid w:val="46C34640"/>
    <w:rsid w:val="46C45FAD"/>
    <w:rsid w:val="46C8216E"/>
    <w:rsid w:val="46C97984"/>
    <w:rsid w:val="46CA2BEE"/>
    <w:rsid w:val="46CB74E1"/>
    <w:rsid w:val="46CC47B2"/>
    <w:rsid w:val="46CD728B"/>
    <w:rsid w:val="46D2023A"/>
    <w:rsid w:val="46D44E3A"/>
    <w:rsid w:val="46D50688"/>
    <w:rsid w:val="46D955A7"/>
    <w:rsid w:val="46DC3AA0"/>
    <w:rsid w:val="46DF70EC"/>
    <w:rsid w:val="46E55C7F"/>
    <w:rsid w:val="46E66C26"/>
    <w:rsid w:val="46EC3069"/>
    <w:rsid w:val="46EE06BF"/>
    <w:rsid w:val="46F012F9"/>
    <w:rsid w:val="46F01CD0"/>
    <w:rsid w:val="46F030A7"/>
    <w:rsid w:val="46F134AF"/>
    <w:rsid w:val="46F22503"/>
    <w:rsid w:val="46F72688"/>
    <w:rsid w:val="46F81A26"/>
    <w:rsid w:val="46FD7802"/>
    <w:rsid w:val="46FE3A16"/>
    <w:rsid w:val="470010F7"/>
    <w:rsid w:val="470040A7"/>
    <w:rsid w:val="47040901"/>
    <w:rsid w:val="470703F1"/>
    <w:rsid w:val="470B1C00"/>
    <w:rsid w:val="470D1EAB"/>
    <w:rsid w:val="470D5A07"/>
    <w:rsid w:val="4710374A"/>
    <w:rsid w:val="47133957"/>
    <w:rsid w:val="47136D96"/>
    <w:rsid w:val="47144AF7"/>
    <w:rsid w:val="471C3E9C"/>
    <w:rsid w:val="471C5C4A"/>
    <w:rsid w:val="471D028B"/>
    <w:rsid w:val="471D19C3"/>
    <w:rsid w:val="471E2D2A"/>
    <w:rsid w:val="47255F52"/>
    <w:rsid w:val="4726031F"/>
    <w:rsid w:val="47273D2D"/>
    <w:rsid w:val="472745EF"/>
    <w:rsid w:val="472C38BD"/>
    <w:rsid w:val="47330B3B"/>
    <w:rsid w:val="47376F28"/>
    <w:rsid w:val="473867FC"/>
    <w:rsid w:val="474927B8"/>
    <w:rsid w:val="474B212E"/>
    <w:rsid w:val="474D14AB"/>
    <w:rsid w:val="474F04EB"/>
    <w:rsid w:val="47571378"/>
    <w:rsid w:val="47582599"/>
    <w:rsid w:val="4758619D"/>
    <w:rsid w:val="475A1314"/>
    <w:rsid w:val="47613FA5"/>
    <w:rsid w:val="476E0DE5"/>
    <w:rsid w:val="476F1F38"/>
    <w:rsid w:val="476F34A7"/>
    <w:rsid w:val="476F4F18"/>
    <w:rsid w:val="47721D0E"/>
    <w:rsid w:val="47746644"/>
    <w:rsid w:val="47781445"/>
    <w:rsid w:val="477929B9"/>
    <w:rsid w:val="47794E4B"/>
    <w:rsid w:val="477D1E8E"/>
    <w:rsid w:val="47835CCA"/>
    <w:rsid w:val="47835F14"/>
    <w:rsid w:val="478532AD"/>
    <w:rsid w:val="47855EE6"/>
    <w:rsid w:val="47857C94"/>
    <w:rsid w:val="47873DC1"/>
    <w:rsid w:val="478832E0"/>
    <w:rsid w:val="478A0E65"/>
    <w:rsid w:val="478A6DFE"/>
    <w:rsid w:val="478C7274"/>
    <w:rsid w:val="478D740D"/>
    <w:rsid w:val="478E5E0C"/>
    <w:rsid w:val="47925A81"/>
    <w:rsid w:val="47947ED7"/>
    <w:rsid w:val="47953C4F"/>
    <w:rsid w:val="4797684A"/>
    <w:rsid w:val="479C4FDD"/>
    <w:rsid w:val="479D123A"/>
    <w:rsid w:val="479F062A"/>
    <w:rsid w:val="47A06DC5"/>
    <w:rsid w:val="47A07E0C"/>
    <w:rsid w:val="47A53E92"/>
    <w:rsid w:val="47A901C5"/>
    <w:rsid w:val="47A95AF7"/>
    <w:rsid w:val="47AB2F39"/>
    <w:rsid w:val="47BB36B5"/>
    <w:rsid w:val="47BE4F54"/>
    <w:rsid w:val="47BF6F48"/>
    <w:rsid w:val="47C00B9D"/>
    <w:rsid w:val="47C15CCC"/>
    <w:rsid w:val="47C378D3"/>
    <w:rsid w:val="47C6205A"/>
    <w:rsid w:val="47CA7D9C"/>
    <w:rsid w:val="47CA7E15"/>
    <w:rsid w:val="47CD163B"/>
    <w:rsid w:val="47CD17A9"/>
    <w:rsid w:val="47CF2A18"/>
    <w:rsid w:val="47D13B2B"/>
    <w:rsid w:val="47D14DB8"/>
    <w:rsid w:val="47D209FF"/>
    <w:rsid w:val="47D44777"/>
    <w:rsid w:val="47D45165"/>
    <w:rsid w:val="47D70B8B"/>
    <w:rsid w:val="47D75C7C"/>
    <w:rsid w:val="47D76015"/>
    <w:rsid w:val="47D7753E"/>
    <w:rsid w:val="47D85B0A"/>
    <w:rsid w:val="47DB0AAF"/>
    <w:rsid w:val="47DB4FB1"/>
    <w:rsid w:val="47DE5C7D"/>
    <w:rsid w:val="47E15FB8"/>
    <w:rsid w:val="47E50D08"/>
    <w:rsid w:val="47EA3F9B"/>
    <w:rsid w:val="47ED2304"/>
    <w:rsid w:val="47ED5839"/>
    <w:rsid w:val="47F15329"/>
    <w:rsid w:val="47F228FA"/>
    <w:rsid w:val="47F22E4F"/>
    <w:rsid w:val="47F73CB8"/>
    <w:rsid w:val="47F80348"/>
    <w:rsid w:val="47F941DE"/>
    <w:rsid w:val="47FA4B68"/>
    <w:rsid w:val="47FF0EDB"/>
    <w:rsid w:val="47FF2F92"/>
    <w:rsid w:val="48022895"/>
    <w:rsid w:val="4804287D"/>
    <w:rsid w:val="480706A9"/>
    <w:rsid w:val="480768FB"/>
    <w:rsid w:val="48080428"/>
    <w:rsid w:val="480979A1"/>
    <w:rsid w:val="480F57AF"/>
    <w:rsid w:val="48141018"/>
    <w:rsid w:val="4814405E"/>
    <w:rsid w:val="48174664"/>
    <w:rsid w:val="481B23A6"/>
    <w:rsid w:val="481C5878"/>
    <w:rsid w:val="48231CE1"/>
    <w:rsid w:val="48236AD8"/>
    <w:rsid w:val="4824463D"/>
    <w:rsid w:val="48254FD3"/>
    <w:rsid w:val="482729A2"/>
    <w:rsid w:val="482B3A59"/>
    <w:rsid w:val="482C2532"/>
    <w:rsid w:val="482C45B3"/>
    <w:rsid w:val="482E606C"/>
    <w:rsid w:val="48316D32"/>
    <w:rsid w:val="48333D6B"/>
    <w:rsid w:val="48341FFC"/>
    <w:rsid w:val="4838399B"/>
    <w:rsid w:val="48386B72"/>
    <w:rsid w:val="483A1DC6"/>
    <w:rsid w:val="483B0352"/>
    <w:rsid w:val="484625D7"/>
    <w:rsid w:val="484833B3"/>
    <w:rsid w:val="484C255F"/>
    <w:rsid w:val="484E36C4"/>
    <w:rsid w:val="484F02A2"/>
    <w:rsid w:val="48510003"/>
    <w:rsid w:val="48537D92"/>
    <w:rsid w:val="48540955"/>
    <w:rsid w:val="48575D8F"/>
    <w:rsid w:val="485D29BF"/>
    <w:rsid w:val="485E00A8"/>
    <w:rsid w:val="485F546D"/>
    <w:rsid w:val="48623B31"/>
    <w:rsid w:val="48640E4F"/>
    <w:rsid w:val="48667975"/>
    <w:rsid w:val="48687666"/>
    <w:rsid w:val="486929BF"/>
    <w:rsid w:val="486C3576"/>
    <w:rsid w:val="486E3866"/>
    <w:rsid w:val="4870272E"/>
    <w:rsid w:val="48711EC6"/>
    <w:rsid w:val="4873004F"/>
    <w:rsid w:val="48744ADB"/>
    <w:rsid w:val="48755A36"/>
    <w:rsid w:val="48763A80"/>
    <w:rsid w:val="4879615C"/>
    <w:rsid w:val="487C4D28"/>
    <w:rsid w:val="487D1407"/>
    <w:rsid w:val="487E65E4"/>
    <w:rsid w:val="48834E50"/>
    <w:rsid w:val="48842922"/>
    <w:rsid w:val="48853CC3"/>
    <w:rsid w:val="48873598"/>
    <w:rsid w:val="48876B23"/>
    <w:rsid w:val="488D22BD"/>
    <w:rsid w:val="4891193E"/>
    <w:rsid w:val="48931F3C"/>
    <w:rsid w:val="489609D6"/>
    <w:rsid w:val="48967C7F"/>
    <w:rsid w:val="489B2281"/>
    <w:rsid w:val="489B34E7"/>
    <w:rsid w:val="489B7B05"/>
    <w:rsid w:val="489D1070"/>
    <w:rsid w:val="489D2DBB"/>
    <w:rsid w:val="489D3BB8"/>
    <w:rsid w:val="489D62A6"/>
    <w:rsid w:val="489D6874"/>
    <w:rsid w:val="489D7E80"/>
    <w:rsid w:val="489E57B3"/>
    <w:rsid w:val="489F4D85"/>
    <w:rsid w:val="48A6370F"/>
    <w:rsid w:val="48A7129C"/>
    <w:rsid w:val="48A979B2"/>
    <w:rsid w:val="48AB6988"/>
    <w:rsid w:val="48AB6E14"/>
    <w:rsid w:val="48AB7A98"/>
    <w:rsid w:val="48AD5549"/>
    <w:rsid w:val="48AE6D76"/>
    <w:rsid w:val="48B0090B"/>
    <w:rsid w:val="48B1407A"/>
    <w:rsid w:val="48B92DDD"/>
    <w:rsid w:val="48B9571B"/>
    <w:rsid w:val="48BC57A4"/>
    <w:rsid w:val="48BC5937"/>
    <w:rsid w:val="48BC72E5"/>
    <w:rsid w:val="48BD3985"/>
    <w:rsid w:val="48C2235F"/>
    <w:rsid w:val="48C26B67"/>
    <w:rsid w:val="48C5218E"/>
    <w:rsid w:val="48C71E90"/>
    <w:rsid w:val="48C72789"/>
    <w:rsid w:val="48C90054"/>
    <w:rsid w:val="48CB5B7A"/>
    <w:rsid w:val="48CB77C4"/>
    <w:rsid w:val="48CC7D73"/>
    <w:rsid w:val="48D365B9"/>
    <w:rsid w:val="48D507A7"/>
    <w:rsid w:val="48D644F5"/>
    <w:rsid w:val="48E21116"/>
    <w:rsid w:val="48E438ED"/>
    <w:rsid w:val="48E54126"/>
    <w:rsid w:val="48E629B4"/>
    <w:rsid w:val="48E64762"/>
    <w:rsid w:val="48EA3B26"/>
    <w:rsid w:val="48EC789E"/>
    <w:rsid w:val="48EE1ABB"/>
    <w:rsid w:val="48F1686D"/>
    <w:rsid w:val="48F55494"/>
    <w:rsid w:val="48FA020D"/>
    <w:rsid w:val="48FA7BF0"/>
    <w:rsid w:val="48FC21D7"/>
    <w:rsid w:val="49000143"/>
    <w:rsid w:val="49036271"/>
    <w:rsid w:val="490474B0"/>
    <w:rsid w:val="490758F4"/>
    <w:rsid w:val="49093641"/>
    <w:rsid w:val="490C7F41"/>
    <w:rsid w:val="490F3033"/>
    <w:rsid w:val="49100224"/>
    <w:rsid w:val="49117E62"/>
    <w:rsid w:val="4913770C"/>
    <w:rsid w:val="49153299"/>
    <w:rsid w:val="49197859"/>
    <w:rsid w:val="491A6126"/>
    <w:rsid w:val="491B38BC"/>
    <w:rsid w:val="491D057B"/>
    <w:rsid w:val="491D0972"/>
    <w:rsid w:val="491D214E"/>
    <w:rsid w:val="49203C6F"/>
    <w:rsid w:val="49252721"/>
    <w:rsid w:val="49295FC3"/>
    <w:rsid w:val="492C413F"/>
    <w:rsid w:val="492E3AAE"/>
    <w:rsid w:val="49301F00"/>
    <w:rsid w:val="493106FD"/>
    <w:rsid w:val="49315D48"/>
    <w:rsid w:val="49321003"/>
    <w:rsid w:val="493319DD"/>
    <w:rsid w:val="493374DF"/>
    <w:rsid w:val="4934430A"/>
    <w:rsid w:val="49350B41"/>
    <w:rsid w:val="49386D91"/>
    <w:rsid w:val="49395B8C"/>
    <w:rsid w:val="49397293"/>
    <w:rsid w:val="493D6823"/>
    <w:rsid w:val="493F251F"/>
    <w:rsid w:val="49404F92"/>
    <w:rsid w:val="49425522"/>
    <w:rsid w:val="49452AAF"/>
    <w:rsid w:val="4953004F"/>
    <w:rsid w:val="49530E7A"/>
    <w:rsid w:val="49543DC1"/>
    <w:rsid w:val="495530D2"/>
    <w:rsid w:val="495A0418"/>
    <w:rsid w:val="495A0CAC"/>
    <w:rsid w:val="495F4514"/>
    <w:rsid w:val="4961203A"/>
    <w:rsid w:val="4967268A"/>
    <w:rsid w:val="496A475D"/>
    <w:rsid w:val="496A7082"/>
    <w:rsid w:val="496B2A81"/>
    <w:rsid w:val="496F7FE7"/>
    <w:rsid w:val="49706E5A"/>
    <w:rsid w:val="4970701E"/>
    <w:rsid w:val="49736CE7"/>
    <w:rsid w:val="497415F5"/>
    <w:rsid w:val="49784DF4"/>
    <w:rsid w:val="497B24FF"/>
    <w:rsid w:val="497C6648"/>
    <w:rsid w:val="497F0713"/>
    <w:rsid w:val="49836455"/>
    <w:rsid w:val="49846E4D"/>
    <w:rsid w:val="498B04AA"/>
    <w:rsid w:val="498C19FC"/>
    <w:rsid w:val="498C5137"/>
    <w:rsid w:val="499046CE"/>
    <w:rsid w:val="49904F2E"/>
    <w:rsid w:val="49953342"/>
    <w:rsid w:val="499D1BE7"/>
    <w:rsid w:val="499E16E7"/>
    <w:rsid w:val="49A12AC4"/>
    <w:rsid w:val="49A34A17"/>
    <w:rsid w:val="49A57399"/>
    <w:rsid w:val="49A92FC8"/>
    <w:rsid w:val="49AA24D9"/>
    <w:rsid w:val="49AC79AB"/>
    <w:rsid w:val="49AD6DE9"/>
    <w:rsid w:val="49B20C38"/>
    <w:rsid w:val="49B37CB4"/>
    <w:rsid w:val="49B84D29"/>
    <w:rsid w:val="49BA3664"/>
    <w:rsid w:val="49BB15CB"/>
    <w:rsid w:val="49BE56DF"/>
    <w:rsid w:val="49C13AA8"/>
    <w:rsid w:val="49C13D6C"/>
    <w:rsid w:val="49C5081B"/>
    <w:rsid w:val="49CB1BAA"/>
    <w:rsid w:val="49CC57B7"/>
    <w:rsid w:val="49CC64A2"/>
    <w:rsid w:val="49CE055E"/>
    <w:rsid w:val="49CE1635"/>
    <w:rsid w:val="49CF3448"/>
    <w:rsid w:val="49CF51F6"/>
    <w:rsid w:val="49D04453"/>
    <w:rsid w:val="49D10A90"/>
    <w:rsid w:val="49D16A22"/>
    <w:rsid w:val="49D47E8F"/>
    <w:rsid w:val="49DC7715"/>
    <w:rsid w:val="49DE45AD"/>
    <w:rsid w:val="49E113CD"/>
    <w:rsid w:val="49E310FD"/>
    <w:rsid w:val="49E50EBD"/>
    <w:rsid w:val="49E97107"/>
    <w:rsid w:val="49ED1B20"/>
    <w:rsid w:val="49EF2599"/>
    <w:rsid w:val="49F20EE5"/>
    <w:rsid w:val="49F52373"/>
    <w:rsid w:val="49FA31AA"/>
    <w:rsid w:val="49FB248F"/>
    <w:rsid w:val="49FB423D"/>
    <w:rsid w:val="4A001853"/>
    <w:rsid w:val="4A0155CC"/>
    <w:rsid w:val="4A01737A"/>
    <w:rsid w:val="4A023139"/>
    <w:rsid w:val="4A027D4B"/>
    <w:rsid w:val="4A0330F2"/>
    <w:rsid w:val="4A04505A"/>
    <w:rsid w:val="4A050C18"/>
    <w:rsid w:val="4A05330E"/>
    <w:rsid w:val="4A062BE2"/>
    <w:rsid w:val="4A070E34"/>
    <w:rsid w:val="4A095BA4"/>
    <w:rsid w:val="4A0968F2"/>
    <w:rsid w:val="4A0B01F8"/>
    <w:rsid w:val="4A0D5E4D"/>
    <w:rsid w:val="4A101D8C"/>
    <w:rsid w:val="4A111CB3"/>
    <w:rsid w:val="4A1277D9"/>
    <w:rsid w:val="4A18267E"/>
    <w:rsid w:val="4A195F53"/>
    <w:rsid w:val="4A1E70E4"/>
    <w:rsid w:val="4A233794"/>
    <w:rsid w:val="4A236C85"/>
    <w:rsid w:val="4A2559FA"/>
    <w:rsid w:val="4A266DE0"/>
    <w:rsid w:val="4A2857F3"/>
    <w:rsid w:val="4A294FFD"/>
    <w:rsid w:val="4A31014D"/>
    <w:rsid w:val="4A31675B"/>
    <w:rsid w:val="4A323A22"/>
    <w:rsid w:val="4A3322F6"/>
    <w:rsid w:val="4A374F69"/>
    <w:rsid w:val="4A392FB7"/>
    <w:rsid w:val="4A3A3BCC"/>
    <w:rsid w:val="4A3E09FC"/>
    <w:rsid w:val="4A4110E0"/>
    <w:rsid w:val="4A412D97"/>
    <w:rsid w:val="4A431AA7"/>
    <w:rsid w:val="4A454AFD"/>
    <w:rsid w:val="4A4A0D21"/>
    <w:rsid w:val="4A4C043D"/>
    <w:rsid w:val="4A4C2CEB"/>
    <w:rsid w:val="4A4C6847"/>
    <w:rsid w:val="4A4E005D"/>
    <w:rsid w:val="4A520B06"/>
    <w:rsid w:val="4A5228CC"/>
    <w:rsid w:val="4A525E27"/>
    <w:rsid w:val="4A534079"/>
    <w:rsid w:val="4A5439B4"/>
    <w:rsid w:val="4A547DF1"/>
    <w:rsid w:val="4A5F1A38"/>
    <w:rsid w:val="4A6207F9"/>
    <w:rsid w:val="4A62250E"/>
    <w:rsid w:val="4A657908"/>
    <w:rsid w:val="4A6873F9"/>
    <w:rsid w:val="4A7144FF"/>
    <w:rsid w:val="4A716A7E"/>
    <w:rsid w:val="4A730A98"/>
    <w:rsid w:val="4A784DAB"/>
    <w:rsid w:val="4A78588E"/>
    <w:rsid w:val="4A7A7858"/>
    <w:rsid w:val="4A7B576F"/>
    <w:rsid w:val="4A8134F1"/>
    <w:rsid w:val="4A8A3813"/>
    <w:rsid w:val="4A8C540E"/>
    <w:rsid w:val="4A8D0DC3"/>
    <w:rsid w:val="4A8D3941"/>
    <w:rsid w:val="4A9621B8"/>
    <w:rsid w:val="4A9B157C"/>
    <w:rsid w:val="4A9B77CE"/>
    <w:rsid w:val="4A9C73E0"/>
    <w:rsid w:val="4A9D46FE"/>
    <w:rsid w:val="4AA13EFB"/>
    <w:rsid w:val="4AA448D5"/>
    <w:rsid w:val="4AA50EBA"/>
    <w:rsid w:val="4AA76173"/>
    <w:rsid w:val="4AA766A5"/>
    <w:rsid w:val="4AAA3A35"/>
    <w:rsid w:val="4AAB57B2"/>
    <w:rsid w:val="4AAF1765"/>
    <w:rsid w:val="4AAF6DD6"/>
    <w:rsid w:val="4AB3094B"/>
    <w:rsid w:val="4AB83EDC"/>
    <w:rsid w:val="4ABA678C"/>
    <w:rsid w:val="4ABA6BC1"/>
    <w:rsid w:val="4AC00034"/>
    <w:rsid w:val="4AC7411F"/>
    <w:rsid w:val="4AC75EBD"/>
    <w:rsid w:val="4AC97E97"/>
    <w:rsid w:val="4ACA1E61"/>
    <w:rsid w:val="4ACA42E7"/>
    <w:rsid w:val="4ACE72BD"/>
    <w:rsid w:val="4AD17436"/>
    <w:rsid w:val="4AD862AA"/>
    <w:rsid w:val="4AD8632C"/>
    <w:rsid w:val="4ADA6548"/>
    <w:rsid w:val="4ADF2230"/>
    <w:rsid w:val="4AE01685"/>
    <w:rsid w:val="4AE304BB"/>
    <w:rsid w:val="4AE43758"/>
    <w:rsid w:val="4AE831C2"/>
    <w:rsid w:val="4AE87177"/>
    <w:rsid w:val="4AEF4F5A"/>
    <w:rsid w:val="4AF13892"/>
    <w:rsid w:val="4AF313B8"/>
    <w:rsid w:val="4AF44F71"/>
    <w:rsid w:val="4AF561A9"/>
    <w:rsid w:val="4AF56EDE"/>
    <w:rsid w:val="4AF57D24"/>
    <w:rsid w:val="4AF823C5"/>
    <w:rsid w:val="4AFB026D"/>
    <w:rsid w:val="4AFC2008"/>
    <w:rsid w:val="4B060CD3"/>
    <w:rsid w:val="4B0610EB"/>
    <w:rsid w:val="4B07766F"/>
    <w:rsid w:val="4B0906E5"/>
    <w:rsid w:val="4B0A60E6"/>
    <w:rsid w:val="4B0B51E4"/>
    <w:rsid w:val="4B0C247A"/>
    <w:rsid w:val="4B0C5FD6"/>
    <w:rsid w:val="4B0E3534"/>
    <w:rsid w:val="4B1046B6"/>
    <w:rsid w:val="4B124E43"/>
    <w:rsid w:val="4B154434"/>
    <w:rsid w:val="4B1672A7"/>
    <w:rsid w:val="4B1B26BD"/>
    <w:rsid w:val="4B1E2A0A"/>
    <w:rsid w:val="4B1F03FF"/>
    <w:rsid w:val="4B217CD3"/>
    <w:rsid w:val="4B223A4B"/>
    <w:rsid w:val="4B2C0426"/>
    <w:rsid w:val="4B3026A8"/>
    <w:rsid w:val="4B3043BA"/>
    <w:rsid w:val="4B3337B7"/>
    <w:rsid w:val="4B342282"/>
    <w:rsid w:val="4B3519D1"/>
    <w:rsid w:val="4B35377F"/>
    <w:rsid w:val="4B3B2740"/>
    <w:rsid w:val="4B3C4946"/>
    <w:rsid w:val="4B3D1A62"/>
    <w:rsid w:val="4B3E5972"/>
    <w:rsid w:val="4B3F1AAE"/>
    <w:rsid w:val="4B4008AD"/>
    <w:rsid w:val="4B424A07"/>
    <w:rsid w:val="4B4357A4"/>
    <w:rsid w:val="4B490FD8"/>
    <w:rsid w:val="4B4A1E61"/>
    <w:rsid w:val="4B4F707D"/>
    <w:rsid w:val="4B524331"/>
    <w:rsid w:val="4B55379B"/>
    <w:rsid w:val="4B571519"/>
    <w:rsid w:val="4B577B99"/>
    <w:rsid w:val="4B581E1A"/>
    <w:rsid w:val="4B582341"/>
    <w:rsid w:val="4B5B663F"/>
    <w:rsid w:val="4B5C1D01"/>
    <w:rsid w:val="4B612045"/>
    <w:rsid w:val="4B614580"/>
    <w:rsid w:val="4B6202C4"/>
    <w:rsid w:val="4B647BC0"/>
    <w:rsid w:val="4B692FC5"/>
    <w:rsid w:val="4B6A105C"/>
    <w:rsid w:val="4B6C08F1"/>
    <w:rsid w:val="4B7342A7"/>
    <w:rsid w:val="4B7442F5"/>
    <w:rsid w:val="4B776525"/>
    <w:rsid w:val="4B785B6A"/>
    <w:rsid w:val="4B7A5D2B"/>
    <w:rsid w:val="4B814C16"/>
    <w:rsid w:val="4B831A3D"/>
    <w:rsid w:val="4B836DB8"/>
    <w:rsid w:val="4B841AD9"/>
    <w:rsid w:val="4B8442F8"/>
    <w:rsid w:val="4B8535CF"/>
    <w:rsid w:val="4B857541"/>
    <w:rsid w:val="4B8911C3"/>
    <w:rsid w:val="4B893A7E"/>
    <w:rsid w:val="4B895879"/>
    <w:rsid w:val="4B8E2E8F"/>
    <w:rsid w:val="4B995EC1"/>
    <w:rsid w:val="4B9A7B91"/>
    <w:rsid w:val="4B9B594A"/>
    <w:rsid w:val="4B9C37FE"/>
    <w:rsid w:val="4B9C6013"/>
    <w:rsid w:val="4BA12BC2"/>
    <w:rsid w:val="4BA32388"/>
    <w:rsid w:val="4BA40904"/>
    <w:rsid w:val="4BA87665"/>
    <w:rsid w:val="4BB016BF"/>
    <w:rsid w:val="4BB16E8A"/>
    <w:rsid w:val="4BBC21EF"/>
    <w:rsid w:val="4BBE2505"/>
    <w:rsid w:val="4BBE7126"/>
    <w:rsid w:val="4BBF071B"/>
    <w:rsid w:val="4BBF1D3E"/>
    <w:rsid w:val="4BC0573E"/>
    <w:rsid w:val="4BC122FB"/>
    <w:rsid w:val="4BC6239D"/>
    <w:rsid w:val="4BCA1764"/>
    <w:rsid w:val="4BCB65C6"/>
    <w:rsid w:val="4BCC2388"/>
    <w:rsid w:val="4BCD451B"/>
    <w:rsid w:val="4BCE47CB"/>
    <w:rsid w:val="4BD04548"/>
    <w:rsid w:val="4BD2790E"/>
    <w:rsid w:val="4BD42F98"/>
    <w:rsid w:val="4BD44D46"/>
    <w:rsid w:val="4BD765E4"/>
    <w:rsid w:val="4BD81482"/>
    <w:rsid w:val="4BD95797"/>
    <w:rsid w:val="4BDC6F4B"/>
    <w:rsid w:val="4BDE2FE8"/>
    <w:rsid w:val="4BDE6D77"/>
    <w:rsid w:val="4BE00DD2"/>
    <w:rsid w:val="4BE11211"/>
    <w:rsid w:val="4BE33F67"/>
    <w:rsid w:val="4BE62657"/>
    <w:rsid w:val="4BEA19F6"/>
    <w:rsid w:val="4BEA5EDA"/>
    <w:rsid w:val="4BEC2CBC"/>
    <w:rsid w:val="4BEC3C30"/>
    <w:rsid w:val="4BED22AB"/>
    <w:rsid w:val="4BED6507"/>
    <w:rsid w:val="4BEE392E"/>
    <w:rsid w:val="4BF50DC0"/>
    <w:rsid w:val="4BF64F08"/>
    <w:rsid w:val="4BFA230E"/>
    <w:rsid w:val="4BFC678B"/>
    <w:rsid w:val="4BFE0015"/>
    <w:rsid w:val="4BFE1DC3"/>
    <w:rsid w:val="4C001FDF"/>
    <w:rsid w:val="4C034387"/>
    <w:rsid w:val="4C04419F"/>
    <w:rsid w:val="4C0746BB"/>
    <w:rsid w:val="4C07648F"/>
    <w:rsid w:val="4C082019"/>
    <w:rsid w:val="4C0963C7"/>
    <w:rsid w:val="4C0D6895"/>
    <w:rsid w:val="4C0F0E12"/>
    <w:rsid w:val="4C0F1EAD"/>
    <w:rsid w:val="4C0F25EB"/>
    <w:rsid w:val="4C0F7917"/>
    <w:rsid w:val="4C121D12"/>
    <w:rsid w:val="4C147838"/>
    <w:rsid w:val="4C181ED2"/>
    <w:rsid w:val="4C1B2975"/>
    <w:rsid w:val="4C1C66ED"/>
    <w:rsid w:val="4C211F55"/>
    <w:rsid w:val="4C2239CF"/>
    <w:rsid w:val="4C224E9E"/>
    <w:rsid w:val="4C23006B"/>
    <w:rsid w:val="4C285091"/>
    <w:rsid w:val="4C2C14A7"/>
    <w:rsid w:val="4C2F41A4"/>
    <w:rsid w:val="4C324162"/>
    <w:rsid w:val="4C334B0F"/>
    <w:rsid w:val="4C344283"/>
    <w:rsid w:val="4C3750B7"/>
    <w:rsid w:val="4C3A7BEF"/>
    <w:rsid w:val="4C3E4089"/>
    <w:rsid w:val="4C431ECB"/>
    <w:rsid w:val="4C445F49"/>
    <w:rsid w:val="4C462012"/>
    <w:rsid w:val="4C4A0649"/>
    <w:rsid w:val="4C4C6B87"/>
    <w:rsid w:val="4C4D3444"/>
    <w:rsid w:val="4C4D49F7"/>
    <w:rsid w:val="4C4D637D"/>
    <w:rsid w:val="4C5104C0"/>
    <w:rsid w:val="4C511C1D"/>
    <w:rsid w:val="4C516BD0"/>
    <w:rsid w:val="4C520360"/>
    <w:rsid w:val="4C566DD7"/>
    <w:rsid w:val="4C567E51"/>
    <w:rsid w:val="4C596FFC"/>
    <w:rsid w:val="4C5C5158"/>
    <w:rsid w:val="4C5E4F57"/>
    <w:rsid w:val="4C636610"/>
    <w:rsid w:val="4C6956FD"/>
    <w:rsid w:val="4C6A05D6"/>
    <w:rsid w:val="4C6A7458"/>
    <w:rsid w:val="4C6D0CF6"/>
    <w:rsid w:val="4C6D3590"/>
    <w:rsid w:val="4C6F257A"/>
    <w:rsid w:val="4C7603F8"/>
    <w:rsid w:val="4C7708FD"/>
    <w:rsid w:val="4C771B75"/>
    <w:rsid w:val="4C79769B"/>
    <w:rsid w:val="4C7B1665"/>
    <w:rsid w:val="4C7D5AE9"/>
    <w:rsid w:val="4C7E5ECA"/>
    <w:rsid w:val="4C7F21A1"/>
    <w:rsid w:val="4C820C46"/>
    <w:rsid w:val="4C82348F"/>
    <w:rsid w:val="4C83676C"/>
    <w:rsid w:val="4C841680"/>
    <w:rsid w:val="4C847B5A"/>
    <w:rsid w:val="4C85644F"/>
    <w:rsid w:val="4C863983"/>
    <w:rsid w:val="4C874FAA"/>
    <w:rsid w:val="4C876AA5"/>
    <w:rsid w:val="4C885B30"/>
    <w:rsid w:val="4C8904FB"/>
    <w:rsid w:val="4C8D1398"/>
    <w:rsid w:val="4C8F3363"/>
    <w:rsid w:val="4C96024D"/>
    <w:rsid w:val="4C9814EE"/>
    <w:rsid w:val="4C9B771E"/>
    <w:rsid w:val="4CA01B77"/>
    <w:rsid w:val="4CA21960"/>
    <w:rsid w:val="4CA62CE1"/>
    <w:rsid w:val="4CAA019C"/>
    <w:rsid w:val="4CAB2FBA"/>
    <w:rsid w:val="4CAC6F4F"/>
    <w:rsid w:val="4CAE158F"/>
    <w:rsid w:val="4CB03BE6"/>
    <w:rsid w:val="4CB314E0"/>
    <w:rsid w:val="4CB6636F"/>
    <w:rsid w:val="4CB93F3C"/>
    <w:rsid w:val="4CBA2DDB"/>
    <w:rsid w:val="4CBC3E31"/>
    <w:rsid w:val="4CBD17E4"/>
    <w:rsid w:val="4CBD3A2C"/>
    <w:rsid w:val="4CBE4A4C"/>
    <w:rsid w:val="4CBE77A4"/>
    <w:rsid w:val="4CC052CA"/>
    <w:rsid w:val="4CCC4D99"/>
    <w:rsid w:val="4CCD0743"/>
    <w:rsid w:val="4CD04D52"/>
    <w:rsid w:val="4CD508FD"/>
    <w:rsid w:val="4CD62D3F"/>
    <w:rsid w:val="4CD70777"/>
    <w:rsid w:val="4CD72EDE"/>
    <w:rsid w:val="4CD82614"/>
    <w:rsid w:val="4CDB5302"/>
    <w:rsid w:val="4CDD0B07"/>
    <w:rsid w:val="4CDF0163"/>
    <w:rsid w:val="4CE00BB4"/>
    <w:rsid w:val="4CE03699"/>
    <w:rsid w:val="4CE27936"/>
    <w:rsid w:val="4CE41D3B"/>
    <w:rsid w:val="4CE73A00"/>
    <w:rsid w:val="4CEA0894"/>
    <w:rsid w:val="4CEC795C"/>
    <w:rsid w:val="4CED4EE3"/>
    <w:rsid w:val="4CEF5BAF"/>
    <w:rsid w:val="4CF02844"/>
    <w:rsid w:val="4CF05D5C"/>
    <w:rsid w:val="4CF12C3C"/>
    <w:rsid w:val="4CF24F20"/>
    <w:rsid w:val="4CF3569F"/>
    <w:rsid w:val="4CF54544"/>
    <w:rsid w:val="4CF5766A"/>
    <w:rsid w:val="4CF7447A"/>
    <w:rsid w:val="4CFB014E"/>
    <w:rsid w:val="4CFB4554"/>
    <w:rsid w:val="4CFD02CC"/>
    <w:rsid w:val="4D034F9E"/>
    <w:rsid w:val="4D0504AC"/>
    <w:rsid w:val="4D067A92"/>
    <w:rsid w:val="4D074F71"/>
    <w:rsid w:val="4D0A09E9"/>
    <w:rsid w:val="4D0B1F64"/>
    <w:rsid w:val="4D0D580C"/>
    <w:rsid w:val="4D0E00FB"/>
    <w:rsid w:val="4D0E6A50"/>
    <w:rsid w:val="4D0F7FFF"/>
    <w:rsid w:val="4D113BDE"/>
    <w:rsid w:val="4D115B26"/>
    <w:rsid w:val="4D115CAC"/>
    <w:rsid w:val="4D1178B8"/>
    <w:rsid w:val="4D137AF0"/>
    <w:rsid w:val="4D171870"/>
    <w:rsid w:val="4D176606"/>
    <w:rsid w:val="4D187B64"/>
    <w:rsid w:val="4D214F30"/>
    <w:rsid w:val="4D22461E"/>
    <w:rsid w:val="4D240C53"/>
    <w:rsid w:val="4D245859"/>
    <w:rsid w:val="4D27359B"/>
    <w:rsid w:val="4D2A379F"/>
    <w:rsid w:val="4D2C0089"/>
    <w:rsid w:val="4D3006A2"/>
    <w:rsid w:val="4D36558C"/>
    <w:rsid w:val="4D366FFE"/>
    <w:rsid w:val="4D397A39"/>
    <w:rsid w:val="4D3A507C"/>
    <w:rsid w:val="4D3B1A90"/>
    <w:rsid w:val="4D3B63E7"/>
    <w:rsid w:val="4D40640B"/>
    <w:rsid w:val="4D41539D"/>
    <w:rsid w:val="4D4203D5"/>
    <w:rsid w:val="4D435CF2"/>
    <w:rsid w:val="4D461C73"/>
    <w:rsid w:val="4D4C2FCE"/>
    <w:rsid w:val="4D50664E"/>
    <w:rsid w:val="4D557A11"/>
    <w:rsid w:val="4D5906A9"/>
    <w:rsid w:val="4D5A1CE9"/>
    <w:rsid w:val="4D5A3970"/>
    <w:rsid w:val="4D5A571F"/>
    <w:rsid w:val="4D603E47"/>
    <w:rsid w:val="4D616AAD"/>
    <w:rsid w:val="4D622207"/>
    <w:rsid w:val="4D62241E"/>
    <w:rsid w:val="4D6356B6"/>
    <w:rsid w:val="4D656C34"/>
    <w:rsid w:val="4D667FE6"/>
    <w:rsid w:val="4D677E3B"/>
    <w:rsid w:val="4D695962"/>
    <w:rsid w:val="4D6A6186"/>
    <w:rsid w:val="4D6B233B"/>
    <w:rsid w:val="4D6C0858"/>
    <w:rsid w:val="4D6D297A"/>
    <w:rsid w:val="4D6F123F"/>
    <w:rsid w:val="4D6F6780"/>
    <w:rsid w:val="4D706CF0"/>
    <w:rsid w:val="4D73015B"/>
    <w:rsid w:val="4D77122F"/>
    <w:rsid w:val="4D7762D0"/>
    <w:rsid w:val="4D7C38E7"/>
    <w:rsid w:val="4D7D7A3B"/>
    <w:rsid w:val="4D7E765F"/>
    <w:rsid w:val="4D810EFD"/>
    <w:rsid w:val="4D812262"/>
    <w:rsid w:val="4D825B24"/>
    <w:rsid w:val="4D8409ED"/>
    <w:rsid w:val="4D88626D"/>
    <w:rsid w:val="4D894276"/>
    <w:rsid w:val="4D8B192C"/>
    <w:rsid w:val="4D8C33FE"/>
    <w:rsid w:val="4D926928"/>
    <w:rsid w:val="4D940835"/>
    <w:rsid w:val="4D944025"/>
    <w:rsid w:val="4D964E91"/>
    <w:rsid w:val="4D9D6F07"/>
    <w:rsid w:val="4D9E3119"/>
    <w:rsid w:val="4DA60964"/>
    <w:rsid w:val="4DA62712"/>
    <w:rsid w:val="4DA97C1E"/>
    <w:rsid w:val="4DAB0F36"/>
    <w:rsid w:val="4DAE0055"/>
    <w:rsid w:val="4DAE20A0"/>
    <w:rsid w:val="4DB0223D"/>
    <w:rsid w:val="4DB27309"/>
    <w:rsid w:val="4DB44AF9"/>
    <w:rsid w:val="4DB72B71"/>
    <w:rsid w:val="4DBC30BE"/>
    <w:rsid w:val="4DBD5328"/>
    <w:rsid w:val="4DC1579E"/>
    <w:rsid w:val="4DC1754C"/>
    <w:rsid w:val="4DC63B0C"/>
    <w:rsid w:val="4DCA5C07"/>
    <w:rsid w:val="4DCB3F26"/>
    <w:rsid w:val="4DCD6DF1"/>
    <w:rsid w:val="4DCF2151"/>
    <w:rsid w:val="4DD30CB1"/>
    <w:rsid w:val="4DD3110F"/>
    <w:rsid w:val="4DD33F94"/>
    <w:rsid w:val="4DD74FC1"/>
    <w:rsid w:val="4DDC25D7"/>
    <w:rsid w:val="4DDC6134"/>
    <w:rsid w:val="4DE05162"/>
    <w:rsid w:val="4DE12616"/>
    <w:rsid w:val="4DE30D96"/>
    <w:rsid w:val="4DE3372F"/>
    <w:rsid w:val="4DE34C49"/>
    <w:rsid w:val="4DE6344D"/>
    <w:rsid w:val="4DE76CC7"/>
    <w:rsid w:val="4DEC4FB0"/>
    <w:rsid w:val="4DED04A0"/>
    <w:rsid w:val="4DEE0B3C"/>
    <w:rsid w:val="4DF0398D"/>
    <w:rsid w:val="4DF07E31"/>
    <w:rsid w:val="4DF12C9D"/>
    <w:rsid w:val="4DF276B6"/>
    <w:rsid w:val="4DF47921"/>
    <w:rsid w:val="4DF95CEB"/>
    <w:rsid w:val="4DFA0CB0"/>
    <w:rsid w:val="4DFC0584"/>
    <w:rsid w:val="4E037B64"/>
    <w:rsid w:val="4E055D64"/>
    <w:rsid w:val="4E075D8A"/>
    <w:rsid w:val="4E1272C3"/>
    <w:rsid w:val="4E165368"/>
    <w:rsid w:val="4E197388"/>
    <w:rsid w:val="4E1C0C26"/>
    <w:rsid w:val="4E1C31D3"/>
    <w:rsid w:val="4E207EAE"/>
    <w:rsid w:val="4E22771F"/>
    <w:rsid w:val="4E2313AE"/>
    <w:rsid w:val="4E232750"/>
    <w:rsid w:val="4E235B10"/>
    <w:rsid w:val="4E243634"/>
    <w:rsid w:val="4E263853"/>
    <w:rsid w:val="4E2706A2"/>
    <w:rsid w:val="4E274E06"/>
    <w:rsid w:val="4E281379"/>
    <w:rsid w:val="4E2D4CA9"/>
    <w:rsid w:val="4E3017AD"/>
    <w:rsid w:val="4E3213BC"/>
    <w:rsid w:val="4E345E28"/>
    <w:rsid w:val="4E355844"/>
    <w:rsid w:val="4E3A068E"/>
    <w:rsid w:val="4E3B72FE"/>
    <w:rsid w:val="4E3F66C2"/>
    <w:rsid w:val="4E4168DE"/>
    <w:rsid w:val="4E441C3D"/>
    <w:rsid w:val="4E453CD9"/>
    <w:rsid w:val="4E4652D6"/>
    <w:rsid w:val="4E466B09"/>
    <w:rsid w:val="4E48182B"/>
    <w:rsid w:val="4E4855BB"/>
    <w:rsid w:val="4E490270"/>
    <w:rsid w:val="4E496877"/>
    <w:rsid w:val="4E4976D9"/>
    <w:rsid w:val="4E4C680E"/>
    <w:rsid w:val="4E504734"/>
    <w:rsid w:val="4E522AF3"/>
    <w:rsid w:val="4E554C32"/>
    <w:rsid w:val="4E562BC5"/>
    <w:rsid w:val="4E576F6E"/>
    <w:rsid w:val="4E5C00E0"/>
    <w:rsid w:val="4E5D5B4D"/>
    <w:rsid w:val="4E5E123E"/>
    <w:rsid w:val="4E5E6E2A"/>
    <w:rsid w:val="4E5F46AB"/>
    <w:rsid w:val="4E5F7B8D"/>
    <w:rsid w:val="4E60170E"/>
    <w:rsid w:val="4E622DB0"/>
    <w:rsid w:val="4E6252A5"/>
    <w:rsid w:val="4E6334FF"/>
    <w:rsid w:val="4E646F08"/>
    <w:rsid w:val="4E6503ED"/>
    <w:rsid w:val="4E6525CD"/>
    <w:rsid w:val="4E654EFC"/>
    <w:rsid w:val="4E664D82"/>
    <w:rsid w:val="4E666269"/>
    <w:rsid w:val="4E6B222B"/>
    <w:rsid w:val="4E6D1482"/>
    <w:rsid w:val="4E703BAC"/>
    <w:rsid w:val="4E727BFF"/>
    <w:rsid w:val="4E762AA3"/>
    <w:rsid w:val="4E762F95"/>
    <w:rsid w:val="4E7677C9"/>
    <w:rsid w:val="4E780E18"/>
    <w:rsid w:val="4E796C80"/>
    <w:rsid w:val="4E7A597E"/>
    <w:rsid w:val="4E7B1EDE"/>
    <w:rsid w:val="4E7C0C9D"/>
    <w:rsid w:val="4E7C16C5"/>
    <w:rsid w:val="4E806A1B"/>
    <w:rsid w:val="4E872543"/>
    <w:rsid w:val="4E876833"/>
    <w:rsid w:val="4E8B3B47"/>
    <w:rsid w:val="4E8D1E10"/>
    <w:rsid w:val="4E921385"/>
    <w:rsid w:val="4E952F6D"/>
    <w:rsid w:val="4E9559B6"/>
    <w:rsid w:val="4E984750"/>
    <w:rsid w:val="4E992277"/>
    <w:rsid w:val="4E9B75E7"/>
    <w:rsid w:val="4EA01F01"/>
    <w:rsid w:val="4EA053B3"/>
    <w:rsid w:val="4EA36C51"/>
    <w:rsid w:val="4EA6210D"/>
    <w:rsid w:val="4EA930EC"/>
    <w:rsid w:val="4EB07B6B"/>
    <w:rsid w:val="4EB10ED1"/>
    <w:rsid w:val="4EB470B0"/>
    <w:rsid w:val="4EB55C54"/>
    <w:rsid w:val="4EB62E28"/>
    <w:rsid w:val="4EB757CD"/>
    <w:rsid w:val="4EBD22C7"/>
    <w:rsid w:val="4EC00FAD"/>
    <w:rsid w:val="4EC05A55"/>
    <w:rsid w:val="4EC118F3"/>
    <w:rsid w:val="4EC15329"/>
    <w:rsid w:val="4EC217CD"/>
    <w:rsid w:val="4EC27489"/>
    <w:rsid w:val="4EC34610"/>
    <w:rsid w:val="4EC40266"/>
    <w:rsid w:val="4ECA4417"/>
    <w:rsid w:val="4ECC2E87"/>
    <w:rsid w:val="4ECD5F10"/>
    <w:rsid w:val="4ECD723E"/>
    <w:rsid w:val="4ECF7A46"/>
    <w:rsid w:val="4ED078C9"/>
    <w:rsid w:val="4ED137BE"/>
    <w:rsid w:val="4ED31AB1"/>
    <w:rsid w:val="4ED33793"/>
    <w:rsid w:val="4ED4505D"/>
    <w:rsid w:val="4ED92673"/>
    <w:rsid w:val="4EDA073A"/>
    <w:rsid w:val="4EDC15E7"/>
    <w:rsid w:val="4EDC36F8"/>
    <w:rsid w:val="4EDE5EDB"/>
    <w:rsid w:val="4EE23C1E"/>
    <w:rsid w:val="4EE2777A"/>
    <w:rsid w:val="4EE77910"/>
    <w:rsid w:val="4EE95D97"/>
    <w:rsid w:val="4EEA2AD2"/>
    <w:rsid w:val="4EED14A0"/>
    <w:rsid w:val="4EF43951"/>
    <w:rsid w:val="4EF867EB"/>
    <w:rsid w:val="4EFB6A8D"/>
    <w:rsid w:val="4EFD4A05"/>
    <w:rsid w:val="4F0729EA"/>
    <w:rsid w:val="4F0C23D3"/>
    <w:rsid w:val="4F0C396E"/>
    <w:rsid w:val="4F0E26C6"/>
    <w:rsid w:val="4F0E33F0"/>
    <w:rsid w:val="4F10393F"/>
    <w:rsid w:val="4F110A6D"/>
    <w:rsid w:val="4F23758D"/>
    <w:rsid w:val="4F273E23"/>
    <w:rsid w:val="4F2C04DC"/>
    <w:rsid w:val="4F2C7C17"/>
    <w:rsid w:val="4F2E1A56"/>
    <w:rsid w:val="4F3124AF"/>
    <w:rsid w:val="4F337512"/>
    <w:rsid w:val="4F344AEC"/>
    <w:rsid w:val="4F3508F0"/>
    <w:rsid w:val="4F354586"/>
    <w:rsid w:val="4F3930AE"/>
    <w:rsid w:val="4F3971B3"/>
    <w:rsid w:val="4F3B344D"/>
    <w:rsid w:val="4F3B50DC"/>
    <w:rsid w:val="4F447AA0"/>
    <w:rsid w:val="4F4641AC"/>
    <w:rsid w:val="4F471CD3"/>
    <w:rsid w:val="4F4A531F"/>
    <w:rsid w:val="4F4C0140"/>
    <w:rsid w:val="4F4C51A7"/>
    <w:rsid w:val="4F4E3061"/>
    <w:rsid w:val="4F50065D"/>
    <w:rsid w:val="4F506DD9"/>
    <w:rsid w:val="4F516485"/>
    <w:rsid w:val="4F5167A0"/>
    <w:rsid w:val="4F531B4F"/>
    <w:rsid w:val="4F587A3C"/>
    <w:rsid w:val="4F5C733C"/>
    <w:rsid w:val="4F6B3C13"/>
    <w:rsid w:val="4F6C65F8"/>
    <w:rsid w:val="4F6D33BA"/>
    <w:rsid w:val="4F701229"/>
    <w:rsid w:val="4F721E66"/>
    <w:rsid w:val="4F727617"/>
    <w:rsid w:val="4F756840"/>
    <w:rsid w:val="4F764366"/>
    <w:rsid w:val="4F780A0E"/>
    <w:rsid w:val="4F781E8C"/>
    <w:rsid w:val="4F7F669E"/>
    <w:rsid w:val="4F841A89"/>
    <w:rsid w:val="4F846A83"/>
    <w:rsid w:val="4F877DC8"/>
    <w:rsid w:val="4F885D1D"/>
    <w:rsid w:val="4F89272C"/>
    <w:rsid w:val="4F8A2E72"/>
    <w:rsid w:val="4F8B4FA6"/>
    <w:rsid w:val="4F8D6A55"/>
    <w:rsid w:val="4F8F1F33"/>
    <w:rsid w:val="4F8F405A"/>
    <w:rsid w:val="4F912F4E"/>
    <w:rsid w:val="4F954BB4"/>
    <w:rsid w:val="4F981181"/>
    <w:rsid w:val="4F9843DC"/>
    <w:rsid w:val="4F9A0054"/>
    <w:rsid w:val="4F9F38BD"/>
    <w:rsid w:val="4FA52FD7"/>
    <w:rsid w:val="4FA62945"/>
    <w:rsid w:val="4FA86982"/>
    <w:rsid w:val="4FAA337D"/>
    <w:rsid w:val="4FAB2261"/>
    <w:rsid w:val="4FAB400F"/>
    <w:rsid w:val="4FAC7B21"/>
    <w:rsid w:val="4FAD5FDA"/>
    <w:rsid w:val="4FB05301"/>
    <w:rsid w:val="4FB1539E"/>
    <w:rsid w:val="4FB569B7"/>
    <w:rsid w:val="4FB62F8C"/>
    <w:rsid w:val="4FB733A2"/>
    <w:rsid w:val="4FB96CA6"/>
    <w:rsid w:val="4FBA06F6"/>
    <w:rsid w:val="4FBB7FCB"/>
    <w:rsid w:val="4FBE01E7"/>
    <w:rsid w:val="4FBF5D0D"/>
    <w:rsid w:val="4FC1444E"/>
    <w:rsid w:val="4FC1761E"/>
    <w:rsid w:val="4FC41575"/>
    <w:rsid w:val="4FC62A8C"/>
    <w:rsid w:val="4FC6709B"/>
    <w:rsid w:val="4FC83C25"/>
    <w:rsid w:val="4FCB222C"/>
    <w:rsid w:val="4FCD48FD"/>
    <w:rsid w:val="4FCE1081"/>
    <w:rsid w:val="4FD419B5"/>
    <w:rsid w:val="4FD42BD2"/>
    <w:rsid w:val="4FDD4EE8"/>
    <w:rsid w:val="4FDD6E27"/>
    <w:rsid w:val="4FDE2637"/>
    <w:rsid w:val="4FDF1F0B"/>
    <w:rsid w:val="4FE01610"/>
    <w:rsid w:val="4FE20F0D"/>
    <w:rsid w:val="4FE237A9"/>
    <w:rsid w:val="4FE319FB"/>
    <w:rsid w:val="4FE51552"/>
    <w:rsid w:val="4FE80C05"/>
    <w:rsid w:val="4FED7286"/>
    <w:rsid w:val="4FEF3866"/>
    <w:rsid w:val="4FF05EC6"/>
    <w:rsid w:val="4FF0751A"/>
    <w:rsid w:val="4FF77255"/>
    <w:rsid w:val="4FFA6D45"/>
    <w:rsid w:val="4FFB126F"/>
    <w:rsid w:val="4FFC0D0F"/>
    <w:rsid w:val="4FFF6109"/>
    <w:rsid w:val="50044611"/>
    <w:rsid w:val="50054804"/>
    <w:rsid w:val="500E27F0"/>
    <w:rsid w:val="501439CE"/>
    <w:rsid w:val="5015592D"/>
    <w:rsid w:val="501936AE"/>
    <w:rsid w:val="501A2F43"/>
    <w:rsid w:val="501C4F0D"/>
    <w:rsid w:val="501D04CE"/>
    <w:rsid w:val="501D58FF"/>
    <w:rsid w:val="50212524"/>
    <w:rsid w:val="502201C0"/>
    <w:rsid w:val="50231172"/>
    <w:rsid w:val="50233628"/>
    <w:rsid w:val="502350DB"/>
    <w:rsid w:val="50242014"/>
    <w:rsid w:val="50244C7F"/>
    <w:rsid w:val="502733DA"/>
    <w:rsid w:val="50281B04"/>
    <w:rsid w:val="502D0137"/>
    <w:rsid w:val="5033327E"/>
    <w:rsid w:val="50337406"/>
    <w:rsid w:val="50354221"/>
    <w:rsid w:val="50355FCF"/>
    <w:rsid w:val="503B5D4C"/>
    <w:rsid w:val="503C0DF6"/>
    <w:rsid w:val="503C1682"/>
    <w:rsid w:val="503F29AA"/>
    <w:rsid w:val="50461F8A"/>
    <w:rsid w:val="50493828"/>
    <w:rsid w:val="50497C63"/>
    <w:rsid w:val="504B2268"/>
    <w:rsid w:val="504B4AAA"/>
    <w:rsid w:val="504B75A0"/>
    <w:rsid w:val="504D7B96"/>
    <w:rsid w:val="504F1A73"/>
    <w:rsid w:val="50504C4B"/>
    <w:rsid w:val="50556A94"/>
    <w:rsid w:val="50594DAD"/>
    <w:rsid w:val="50595BFA"/>
    <w:rsid w:val="505A34EC"/>
    <w:rsid w:val="505E5526"/>
    <w:rsid w:val="505E5821"/>
    <w:rsid w:val="505F4DFA"/>
    <w:rsid w:val="50642973"/>
    <w:rsid w:val="5065019E"/>
    <w:rsid w:val="506568B4"/>
    <w:rsid w:val="50656BC4"/>
    <w:rsid w:val="50666188"/>
    <w:rsid w:val="50675F9D"/>
    <w:rsid w:val="50686401"/>
    <w:rsid w:val="506B7C43"/>
    <w:rsid w:val="506C678F"/>
    <w:rsid w:val="507076C6"/>
    <w:rsid w:val="5076286F"/>
    <w:rsid w:val="507723AC"/>
    <w:rsid w:val="507812B3"/>
    <w:rsid w:val="50784638"/>
    <w:rsid w:val="50795EBC"/>
    <w:rsid w:val="507A7F40"/>
    <w:rsid w:val="507B14EB"/>
    <w:rsid w:val="507C7E97"/>
    <w:rsid w:val="50804FC3"/>
    <w:rsid w:val="50833890"/>
    <w:rsid w:val="508369D1"/>
    <w:rsid w:val="50836D3A"/>
    <w:rsid w:val="5086006E"/>
    <w:rsid w:val="508C3566"/>
    <w:rsid w:val="508D5E0B"/>
    <w:rsid w:val="508F1454"/>
    <w:rsid w:val="50947199"/>
    <w:rsid w:val="50975B14"/>
    <w:rsid w:val="509A7DA0"/>
    <w:rsid w:val="509B4084"/>
    <w:rsid w:val="509C6E7C"/>
    <w:rsid w:val="509D3F80"/>
    <w:rsid w:val="509E6E33"/>
    <w:rsid w:val="50A13664"/>
    <w:rsid w:val="50A218B6"/>
    <w:rsid w:val="50A26A56"/>
    <w:rsid w:val="50A54F03"/>
    <w:rsid w:val="50A56CB1"/>
    <w:rsid w:val="50A7016E"/>
    <w:rsid w:val="50A730CE"/>
    <w:rsid w:val="50AA2519"/>
    <w:rsid w:val="50AC7A2F"/>
    <w:rsid w:val="50AE413E"/>
    <w:rsid w:val="50B2258E"/>
    <w:rsid w:val="50B821E1"/>
    <w:rsid w:val="50B90F05"/>
    <w:rsid w:val="50C66573"/>
    <w:rsid w:val="50CA0BFE"/>
    <w:rsid w:val="50CB5775"/>
    <w:rsid w:val="50CD4459"/>
    <w:rsid w:val="50D06E75"/>
    <w:rsid w:val="50D15CF8"/>
    <w:rsid w:val="50D2381E"/>
    <w:rsid w:val="50D41344"/>
    <w:rsid w:val="50D47596"/>
    <w:rsid w:val="50D62A02"/>
    <w:rsid w:val="50D740EE"/>
    <w:rsid w:val="50D80274"/>
    <w:rsid w:val="50DB1193"/>
    <w:rsid w:val="50DB26D2"/>
    <w:rsid w:val="50DC6464"/>
    <w:rsid w:val="50DE6667"/>
    <w:rsid w:val="50E04DEE"/>
    <w:rsid w:val="50E13A61"/>
    <w:rsid w:val="50E5037B"/>
    <w:rsid w:val="50E84DEF"/>
    <w:rsid w:val="50ED15D2"/>
    <w:rsid w:val="50F05DA3"/>
    <w:rsid w:val="50F32CC1"/>
    <w:rsid w:val="50F85370"/>
    <w:rsid w:val="50F96FFC"/>
    <w:rsid w:val="50FC334E"/>
    <w:rsid w:val="50FF4962"/>
    <w:rsid w:val="510023A1"/>
    <w:rsid w:val="510065DD"/>
    <w:rsid w:val="510443CF"/>
    <w:rsid w:val="51071719"/>
    <w:rsid w:val="51071BC9"/>
    <w:rsid w:val="510F0982"/>
    <w:rsid w:val="51100A1F"/>
    <w:rsid w:val="51106AB6"/>
    <w:rsid w:val="511204B0"/>
    <w:rsid w:val="51155890"/>
    <w:rsid w:val="51183927"/>
    <w:rsid w:val="511867A9"/>
    <w:rsid w:val="5119144D"/>
    <w:rsid w:val="511A5BBD"/>
    <w:rsid w:val="511B51C5"/>
    <w:rsid w:val="511B771C"/>
    <w:rsid w:val="51203FA0"/>
    <w:rsid w:val="51262341"/>
    <w:rsid w:val="51281690"/>
    <w:rsid w:val="51283470"/>
    <w:rsid w:val="51283F24"/>
    <w:rsid w:val="51306BB7"/>
    <w:rsid w:val="51353F5F"/>
    <w:rsid w:val="5136121E"/>
    <w:rsid w:val="513675CD"/>
    <w:rsid w:val="51385D77"/>
    <w:rsid w:val="513A293B"/>
    <w:rsid w:val="513A4CA9"/>
    <w:rsid w:val="513F3CB3"/>
    <w:rsid w:val="51427AAF"/>
    <w:rsid w:val="51444FD6"/>
    <w:rsid w:val="514814DF"/>
    <w:rsid w:val="514B32EB"/>
    <w:rsid w:val="514C25D2"/>
    <w:rsid w:val="515058A2"/>
    <w:rsid w:val="51505DC9"/>
    <w:rsid w:val="51532BB1"/>
    <w:rsid w:val="5153670D"/>
    <w:rsid w:val="51554D0A"/>
    <w:rsid w:val="515E0AC1"/>
    <w:rsid w:val="515E50B1"/>
    <w:rsid w:val="51603F96"/>
    <w:rsid w:val="5162104E"/>
    <w:rsid w:val="51630DDA"/>
    <w:rsid w:val="5166489C"/>
    <w:rsid w:val="5168194E"/>
    <w:rsid w:val="5168603A"/>
    <w:rsid w:val="516923D4"/>
    <w:rsid w:val="516B1C24"/>
    <w:rsid w:val="516B614C"/>
    <w:rsid w:val="516E79EA"/>
    <w:rsid w:val="517113D3"/>
    <w:rsid w:val="51714DE5"/>
    <w:rsid w:val="51772E99"/>
    <w:rsid w:val="517B0599"/>
    <w:rsid w:val="517B7D81"/>
    <w:rsid w:val="517D757C"/>
    <w:rsid w:val="517F11C6"/>
    <w:rsid w:val="517F39A6"/>
    <w:rsid w:val="517F7502"/>
    <w:rsid w:val="518165E6"/>
    <w:rsid w:val="51820365"/>
    <w:rsid w:val="5184720E"/>
    <w:rsid w:val="51867A9A"/>
    <w:rsid w:val="51890380"/>
    <w:rsid w:val="518A5EA7"/>
    <w:rsid w:val="518A6DD5"/>
    <w:rsid w:val="518C56FF"/>
    <w:rsid w:val="518C7E71"/>
    <w:rsid w:val="518E727E"/>
    <w:rsid w:val="518F0997"/>
    <w:rsid w:val="518F49E9"/>
    <w:rsid w:val="51964954"/>
    <w:rsid w:val="51965F7A"/>
    <w:rsid w:val="51986815"/>
    <w:rsid w:val="51997ACF"/>
    <w:rsid w:val="519B3856"/>
    <w:rsid w:val="519C66E5"/>
    <w:rsid w:val="519D5BDA"/>
    <w:rsid w:val="519E2B43"/>
    <w:rsid w:val="51A46F07"/>
    <w:rsid w:val="51A7569A"/>
    <w:rsid w:val="51A82756"/>
    <w:rsid w:val="51AA64C3"/>
    <w:rsid w:val="51AC4065"/>
    <w:rsid w:val="51AE7DE7"/>
    <w:rsid w:val="51B01FF6"/>
    <w:rsid w:val="51B04A37"/>
    <w:rsid w:val="51B164FE"/>
    <w:rsid w:val="51B83D35"/>
    <w:rsid w:val="51BB5923"/>
    <w:rsid w:val="51BD4A0F"/>
    <w:rsid w:val="51C03179"/>
    <w:rsid w:val="51C07D04"/>
    <w:rsid w:val="51CD54A5"/>
    <w:rsid w:val="51D20CA6"/>
    <w:rsid w:val="51D3277A"/>
    <w:rsid w:val="51D412F6"/>
    <w:rsid w:val="51D41B82"/>
    <w:rsid w:val="51D6733E"/>
    <w:rsid w:val="51D73DE2"/>
    <w:rsid w:val="51DA3F82"/>
    <w:rsid w:val="51DC4954"/>
    <w:rsid w:val="51E22BA5"/>
    <w:rsid w:val="51E23FF1"/>
    <w:rsid w:val="51E4433C"/>
    <w:rsid w:val="51E952C3"/>
    <w:rsid w:val="51EB4B97"/>
    <w:rsid w:val="51ED4DB3"/>
    <w:rsid w:val="51ED7867"/>
    <w:rsid w:val="51F322F9"/>
    <w:rsid w:val="51F37EF0"/>
    <w:rsid w:val="51F96C04"/>
    <w:rsid w:val="51FA74D0"/>
    <w:rsid w:val="51FA7DD6"/>
    <w:rsid w:val="51FC46FA"/>
    <w:rsid w:val="51FD25AC"/>
    <w:rsid w:val="51FD4A72"/>
    <w:rsid w:val="51FD776D"/>
    <w:rsid w:val="52011547"/>
    <w:rsid w:val="520600F5"/>
    <w:rsid w:val="52071B00"/>
    <w:rsid w:val="52081BED"/>
    <w:rsid w:val="52084844"/>
    <w:rsid w:val="5209326F"/>
    <w:rsid w:val="520C2D5F"/>
    <w:rsid w:val="520C48A4"/>
    <w:rsid w:val="520C59A5"/>
    <w:rsid w:val="520E71F7"/>
    <w:rsid w:val="52102850"/>
    <w:rsid w:val="52131E53"/>
    <w:rsid w:val="52157E66"/>
    <w:rsid w:val="52174D54"/>
    <w:rsid w:val="521848AC"/>
    <w:rsid w:val="52195BA8"/>
    <w:rsid w:val="521A3AFB"/>
    <w:rsid w:val="521E46DE"/>
    <w:rsid w:val="52203D91"/>
    <w:rsid w:val="52267E86"/>
    <w:rsid w:val="522B101B"/>
    <w:rsid w:val="522C6DA2"/>
    <w:rsid w:val="522D3402"/>
    <w:rsid w:val="522D6895"/>
    <w:rsid w:val="522F21B8"/>
    <w:rsid w:val="52302EF2"/>
    <w:rsid w:val="52306A4E"/>
    <w:rsid w:val="52310D91"/>
    <w:rsid w:val="5233653E"/>
    <w:rsid w:val="52345A3B"/>
    <w:rsid w:val="523971ED"/>
    <w:rsid w:val="523A04D8"/>
    <w:rsid w:val="524745CF"/>
    <w:rsid w:val="524A2826"/>
    <w:rsid w:val="524B3888"/>
    <w:rsid w:val="524C1A78"/>
    <w:rsid w:val="524C60E8"/>
    <w:rsid w:val="52577BB6"/>
    <w:rsid w:val="525941F7"/>
    <w:rsid w:val="525A1D1D"/>
    <w:rsid w:val="5260529F"/>
    <w:rsid w:val="526445EA"/>
    <w:rsid w:val="52645199"/>
    <w:rsid w:val="526504F0"/>
    <w:rsid w:val="52662470"/>
    <w:rsid w:val="52667D64"/>
    <w:rsid w:val="5268390A"/>
    <w:rsid w:val="52683A31"/>
    <w:rsid w:val="526D1A50"/>
    <w:rsid w:val="526D7CA2"/>
    <w:rsid w:val="5271327A"/>
    <w:rsid w:val="52754DA9"/>
    <w:rsid w:val="527903F5"/>
    <w:rsid w:val="527C647C"/>
    <w:rsid w:val="527F3531"/>
    <w:rsid w:val="52811805"/>
    <w:rsid w:val="52813BCB"/>
    <w:rsid w:val="52826338"/>
    <w:rsid w:val="528374C6"/>
    <w:rsid w:val="52845B17"/>
    <w:rsid w:val="528678D9"/>
    <w:rsid w:val="5288474B"/>
    <w:rsid w:val="528A01D7"/>
    <w:rsid w:val="528B199C"/>
    <w:rsid w:val="528F2C65"/>
    <w:rsid w:val="52975B78"/>
    <w:rsid w:val="529945F3"/>
    <w:rsid w:val="529B770D"/>
    <w:rsid w:val="52A663A6"/>
    <w:rsid w:val="52A72320"/>
    <w:rsid w:val="52AA2CA4"/>
    <w:rsid w:val="52AF73A6"/>
    <w:rsid w:val="52BC6534"/>
    <w:rsid w:val="52BE04FE"/>
    <w:rsid w:val="52BE405A"/>
    <w:rsid w:val="52C11D9C"/>
    <w:rsid w:val="52C5363A"/>
    <w:rsid w:val="52C658DD"/>
    <w:rsid w:val="52C673B2"/>
    <w:rsid w:val="52C758DD"/>
    <w:rsid w:val="52CA0C50"/>
    <w:rsid w:val="52CA2990"/>
    <w:rsid w:val="52CB19E0"/>
    <w:rsid w:val="52CC06CD"/>
    <w:rsid w:val="52D03C5E"/>
    <w:rsid w:val="52D41073"/>
    <w:rsid w:val="52D41ACF"/>
    <w:rsid w:val="52D531F2"/>
    <w:rsid w:val="52D7336D"/>
    <w:rsid w:val="52E00E1E"/>
    <w:rsid w:val="52E03AA7"/>
    <w:rsid w:val="52E05966"/>
    <w:rsid w:val="52E57838"/>
    <w:rsid w:val="52EB0BC7"/>
    <w:rsid w:val="52F04020"/>
    <w:rsid w:val="52F12681"/>
    <w:rsid w:val="52F2623A"/>
    <w:rsid w:val="52F45871"/>
    <w:rsid w:val="52F51653"/>
    <w:rsid w:val="52F537F4"/>
    <w:rsid w:val="52F61A46"/>
    <w:rsid w:val="530009DE"/>
    <w:rsid w:val="530174FC"/>
    <w:rsid w:val="53026928"/>
    <w:rsid w:val="53034162"/>
    <w:rsid w:val="53043434"/>
    <w:rsid w:val="53051AFD"/>
    <w:rsid w:val="53077090"/>
    <w:rsid w:val="53081779"/>
    <w:rsid w:val="53093984"/>
    <w:rsid w:val="53095C1D"/>
    <w:rsid w:val="530A54F1"/>
    <w:rsid w:val="53114AD1"/>
    <w:rsid w:val="53121C6C"/>
    <w:rsid w:val="5312326A"/>
    <w:rsid w:val="53156270"/>
    <w:rsid w:val="531578BA"/>
    <w:rsid w:val="53171124"/>
    <w:rsid w:val="531F54C3"/>
    <w:rsid w:val="531F616B"/>
    <w:rsid w:val="532128EB"/>
    <w:rsid w:val="53230361"/>
    <w:rsid w:val="53235AF4"/>
    <w:rsid w:val="53236628"/>
    <w:rsid w:val="53236A4A"/>
    <w:rsid w:val="53272EC1"/>
    <w:rsid w:val="53277E51"/>
    <w:rsid w:val="532E450F"/>
    <w:rsid w:val="532F31A9"/>
    <w:rsid w:val="53304DA6"/>
    <w:rsid w:val="53311227"/>
    <w:rsid w:val="53314ECF"/>
    <w:rsid w:val="5332099B"/>
    <w:rsid w:val="53395DD6"/>
    <w:rsid w:val="533B7DA0"/>
    <w:rsid w:val="533E7B25"/>
    <w:rsid w:val="533F167F"/>
    <w:rsid w:val="53407165"/>
    <w:rsid w:val="53431208"/>
    <w:rsid w:val="53431A11"/>
    <w:rsid w:val="534C0E5E"/>
    <w:rsid w:val="534E75FC"/>
    <w:rsid w:val="534F5B8D"/>
    <w:rsid w:val="53504943"/>
    <w:rsid w:val="53513120"/>
    <w:rsid w:val="53537313"/>
    <w:rsid w:val="535F6B32"/>
    <w:rsid w:val="53600BAB"/>
    <w:rsid w:val="53626C3A"/>
    <w:rsid w:val="53634C01"/>
    <w:rsid w:val="536B40EC"/>
    <w:rsid w:val="536B632B"/>
    <w:rsid w:val="536C344E"/>
    <w:rsid w:val="536C61AC"/>
    <w:rsid w:val="536E1371"/>
    <w:rsid w:val="536F4817"/>
    <w:rsid w:val="536F483D"/>
    <w:rsid w:val="537155BE"/>
    <w:rsid w:val="53746E0E"/>
    <w:rsid w:val="53751DF0"/>
    <w:rsid w:val="53760DD8"/>
    <w:rsid w:val="53776455"/>
    <w:rsid w:val="53794425"/>
    <w:rsid w:val="537F3990"/>
    <w:rsid w:val="538057B3"/>
    <w:rsid w:val="538518D4"/>
    <w:rsid w:val="53852DC9"/>
    <w:rsid w:val="538708F0"/>
    <w:rsid w:val="538815B3"/>
    <w:rsid w:val="538C4158"/>
    <w:rsid w:val="538C5F06"/>
    <w:rsid w:val="538C6936"/>
    <w:rsid w:val="538F59F6"/>
    <w:rsid w:val="538F6AF5"/>
    <w:rsid w:val="53901E9A"/>
    <w:rsid w:val="5390250A"/>
    <w:rsid w:val="53922E18"/>
    <w:rsid w:val="539235B2"/>
    <w:rsid w:val="53987A3F"/>
    <w:rsid w:val="539C2B5F"/>
    <w:rsid w:val="53A039CC"/>
    <w:rsid w:val="53A0797D"/>
    <w:rsid w:val="53A1505A"/>
    <w:rsid w:val="53A16DA2"/>
    <w:rsid w:val="53A25729"/>
    <w:rsid w:val="53A5292E"/>
    <w:rsid w:val="53A5346C"/>
    <w:rsid w:val="53A81760"/>
    <w:rsid w:val="53A9470E"/>
    <w:rsid w:val="53AB2E24"/>
    <w:rsid w:val="53B278ED"/>
    <w:rsid w:val="53B430F6"/>
    <w:rsid w:val="53B4545D"/>
    <w:rsid w:val="53BA0524"/>
    <w:rsid w:val="53BB3836"/>
    <w:rsid w:val="53BC66D3"/>
    <w:rsid w:val="53BD07B5"/>
    <w:rsid w:val="53BF0089"/>
    <w:rsid w:val="53C16009"/>
    <w:rsid w:val="53C4098A"/>
    <w:rsid w:val="53C441A7"/>
    <w:rsid w:val="53C7784D"/>
    <w:rsid w:val="53C826ED"/>
    <w:rsid w:val="53C83EFB"/>
    <w:rsid w:val="53C90F08"/>
    <w:rsid w:val="53D02297"/>
    <w:rsid w:val="53D17DBD"/>
    <w:rsid w:val="53D578AD"/>
    <w:rsid w:val="53D97307"/>
    <w:rsid w:val="53DA07C0"/>
    <w:rsid w:val="53DB0C3B"/>
    <w:rsid w:val="53DE3CE9"/>
    <w:rsid w:val="53E05D55"/>
    <w:rsid w:val="53E063FC"/>
    <w:rsid w:val="53E252EA"/>
    <w:rsid w:val="53E53868"/>
    <w:rsid w:val="53EB70D0"/>
    <w:rsid w:val="53EE6FED"/>
    <w:rsid w:val="53F00B8B"/>
    <w:rsid w:val="53F046E7"/>
    <w:rsid w:val="53F11286"/>
    <w:rsid w:val="53F1220D"/>
    <w:rsid w:val="53F34276"/>
    <w:rsid w:val="53F4424A"/>
    <w:rsid w:val="53F65A75"/>
    <w:rsid w:val="53F67E7F"/>
    <w:rsid w:val="53F8359B"/>
    <w:rsid w:val="53F91E35"/>
    <w:rsid w:val="53FC12DE"/>
    <w:rsid w:val="53FC2C52"/>
    <w:rsid w:val="53FD6E04"/>
    <w:rsid w:val="54063E08"/>
    <w:rsid w:val="54065CB8"/>
    <w:rsid w:val="54075B92"/>
    <w:rsid w:val="54091643"/>
    <w:rsid w:val="540957A8"/>
    <w:rsid w:val="541322D3"/>
    <w:rsid w:val="54182C34"/>
    <w:rsid w:val="541A0B5B"/>
    <w:rsid w:val="541B72D5"/>
    <w:rsid w:val="541F321E"/>
    <w:rsid w:val="541F4143"/>
    <w:rsid w:val="5422105B"/>
    <w:rsid w:val="542611AA"/>
    <w:rsid w:val="54270F5B"/>
    <w:rsid w:val="54273E81"/>
    <w:rsid w:val="54285FFE"/>
    <w:rsid w:val="54290EE0"/>
    <w:rsid w:val="542B0157"/>
    <w:rsid w:val="542B4AFB"/>
    <w:rsid w:val="542D2275"/>
    <w:rsid w:val="542D593B"/>
    <w:rsid w:val="54334337"/>
    <w:rsid w:val="543437E8"/>
    <w:rsid w:val="54343B27"/>
    <w:rsid w:val="54383AE1"/>
    <w:rsid w:val="543842E0"/>
    <w:rsid w:val="543A1E06"/>
    <w:rsid w:val="543A3BB4"/>
    <w:rsid w:val="54422A68"/>
    <w:rsid w:val="544B3A05"/>
    <w:rsid w:val="544D7132"/>
    <w:rsid w:val="54517B9D"/>
    <w:rsid w:val="54530FAD"/>
    <w:rsid w:val="54534C76"/>
    <w:rsid w:val="545509EE"/>
    <w:rsid w:val="545821FD"/>
    <w:rsid w:val="54594023"/>
    <w:rsid w:val="545C1D7C"/>
    <w:rsid w:val="545C4B6C"/>
    <w:rsid w:val="545F4E56"/>
    <w:rsid w:val="545F7ABE"/>
    <w:rsid w:val="54617EFB"/>
    <w:rsid w:val="54641558"/>
    <w:rsid w:val="54646E83"/>
    <w:rsid w:val="546A2571"/>
    <w:rsid w:val="546B6463"/>
    <w:rsid w:val="546C488E"/>
    <w:rsid w:val="547529E9"/>
    <w:rsid w:val="547A0454"/>
    <w:rsid w:val="547C5A02"/>
    <w:rsid w:val="547D27DC"/>
    <w:rsid w:val="547E077F"/>
    <w:rsid w:val="547E4BE3"/>
    <w:rsid w:val="547F7727"/>
    <w:rsid w:val="5483375C"/>
    <w:rsid w:val="5484281F"/>
    <w:rsid w:val="54866880"/>
    <w:rsid w:val="548B00DF"/>
    <w:rsid w:val="54924657"/>
    <w:rsid w:val="5493702F"/>
    <w:rsid w:val="549572CF"/>
    <w:rsid w:val="549A4653"/>
    <w:rsid w:val="549C3935"/>
    <w:rsid w:val="549C624C"/>
    <w:rsid w:val="54A008B7"/>
    <w:rsid w:val="54A00D5D"/>
    <w:rsid w:val="54A03833"/>
    <w:rsid w:val="54A3728F"/>
    <w:rsid w:val="54A43874"/>
    <w:rsid w:val="54A61249"/>
    <w:rsid w:val="54A66EE6"/>
    <w:rsid w:val="54AA67E8"/>
    <w:rsid w:val="54AC551B"/>
    <w:rsid w:val="54B167A5"/>
    <w:rsid w:val="54B35714"/>
    <w:rsid w:val="54B631A4"/>
    <w:rsid w:val="54B75204"/>
    <w:rsid w:val="54BC281B"/>
    <w:rsid w:val="54BC4B4D"/>
    <w:rsid w:val="54C15CB4"/>
    <w:rsid w:val="54C5198D"/>
    <w:rsid w:val="54C865D1"/>
    <w:rsid w:val="54CD1F59"/>
    <w:rsid w:val="54CD3263"/>
    <w:rsid w:val="54CD388E"/>
    <w:rsid w:val="54D13BBE"/>
    <w:rsid w:val="54D20290"/>
    <w:rsid w:val="54D92188"/>
    <w:rsid w:val="54D933CD"/>
    <w:rsid w:val="54E0475B"/>
    <w:rsid w:val="54E27AE1"/>
    <w:rsid w:val="54E3249D"/>
    <w:rsid w:val="54E47D1B"/>
    <w:rsid w:val="54EC1CA0"/>
    <w:rsid w:val="54ED4DE3"/>
    <w:rsid w:val="54EF2BF0"/>
    <w:rsid w:val="54F326AE"/>
    <w:rsid w:val="54F36860"/>
    <w:rsid w:val="54F72B40"/>
    <w:rsid w:val="54F73313"/>
    <w:rsid w:val="54F75F06"/>
    <w:rsid w:val="54F80955"/>
    <w:rsid w:val="54F90D84"/>
    <w:rsid w:val="54F94CCB"/>
    <w:rsid w:val="54FA611B"/>
    <w:rsid w:val="55051143"/>
    <w:rsid w:val="55061CE8"/>
    <w:rsid w:val="55065081"/>
    <w:rsid w:val="550A2B46"/>
    <w:rsid w:val="550A75D6"/>
    <w:rsid w:val="550C6672"/>
    <w:rsid w:val="550D1133"/>
    <w:rsid w:val="550E2D5C"/>
    <w:rsid w:val="550F69C9"/>
    <w:rsid w:val="551074B2"/>
    <w:rsid w:val="55115E13"/>
    <w:rsid w:val="5514395A"/>
    <w:rsid w:val="55177662"/>
    <w:rsid w:val="55191A1B"/>
    <w:rsid w:val="551C0C53"/>
    <w:rsid w:val="551C12D3"/>
    <w:rsid w:val="551D6BBC"/>
    <w:rsid w:val="551F0B77"/>
    <w:rsid w:val="551F3B61"/>
    <w:rsid w:val="552117E0"/>
    <w:rsid w:val="55241A43"/>
    <w:rsid w:val="552534E2"/>
    <w:rsid w:val="552A00CC"/>
    <w:rsid w:val="552A7B27"/>
    <w:rsid w:val="552D196B"/>
    <w:rsid w:val="552E2C7E"/>
    <w:rsid w:val="552F2087"/>
    <w:rsid w:val="55313209"/>
    <w:rsid w:val="553A05CE"/>
    <w:rsid w:val="553D3B28"/>
    <w:rsid w:val="55404A11"/>
    <w:rsid w:val="55436A98"/>
    <w:rsid w:val="55455B37"/>
    <w:rsid w:val="554735B4"/>
    <w:rsid w:val="554D44B1"/>
    <w:rsid w:val="554E0C89"/>
    <w:rsid w:val="555170A7"/>
    <w:rsid w:val="55580A4D"/>
    <w:rsid w:val="555A2CFB"/>
    <w:rsid w:val="555A55A5"/>
    <w:rsid w:val="5560589C"/>
    <w:rsid w:val="556233C2"/>
    <w:rsid w:val="55626808"/>
    <w:rsid w:val="55632FE8"/>
    <w:rsid w:val="55637B8F"/>
    <w:rsid w:val="556517B8"/>
    <w:rsid w:val="556644F5"/>
    <w:rsid w:val="556F019A"/>
    <w:rsid w:val="557821C2"/>
    <w:rsid w:val="55797D86"/>
    <w:rsid w:val="557A3DE7"/>
    <w:rsid w:val="557D644E"/>
    <w:rsid w:val="557E3F74"/>
    <w:rsid w:val="55802B2A"/>
    <w:rsid w:val="55806C15"/>
    <w:rsid w:val="5583158B"/>
    <w:rsid w:val="5587536D"/>
    <w:rsid w:val="558A0B6B"/>
    <w:rsid w:val="558B472F"/>
    <w:rsid w:val="558B4B2C"/>
    <w:rsid w:val="558F1CDD"/>
    <w:rsid w:val="558F3D6E"/>
    <w:rsid w:val="559220A2"/>
    <w:rsid w:val="559246F5"/>
    <w:rsid w:val="55954A18"/>
    <w:rsid w:val="55963095"/>
    <w:rsid w:val="55992B5C"/>
    <w:rsid w:val="55995C7E"/>
    <w:rsid w:val="559B174B"/>
    <w:rsid w:val="559B278A"/>
    <w:rsid w:val="559C65FA"/>
    <w:rsid w:val="559F4616"/>
    <w:rsid w:val="55A17090"/>
    <w:rsid w:val="55A27B6C"/>
    <w:rsid w:val="55A559A5"/>
    <w:rsid w:val="55A737A6"/>
    <w:rsid w:val="55A75279"/>
    <w:rsid w:val="55A80F74"/>
    <w:rsid w:val="55A932DC"/>
    <w:rsid w:val="55AA6B17"/>
    <w:rsid w:val="55AB3CBF"/>
    <w:rsid w:val="55AE4859"/>
    <w:rsid w:val="55B00AB8"/>
    <w:rsid w:val="55B300C2"/>
    <w:rsid w:val="55B522BE"/>
    <w:rsid w:val="55C220B3"/>
    <w:rsid w:val="55C87864"/>
    <w:rsid w:val="55C91693"/>
    <w:rsid w:val="55CC12A6"/>
    <w:rsid w:val="55CE0CF4"/>
    <w:rsid w:val="55D02A22"/>
    <w:rsid w:val="55D122F6"/>
    <w:rsid w:val="55D42D27"/>
    <w:rsid w:val="55D57902"/>
    <w:rsid w:val="55D728A3"/>
    <w:rsid w:val="55DA64C6"/>
    <w:rsid w:val="55DC3D66"/>
    <w:rsid w:val="55E4625D"/>
    <w:rsid w:val="55E464CD"/>
    <w:rsid w:val="55E92BB7"/>
    <w:rsid w:val="55EB785C"/>
    <w:rsid w:val="55EC570B"/>
    <w:rsid w:val="55F06C20"/>
    <w:rsid w:val="55F304BE"/>
    <w:rsid w:val="55F45FE4"/>
    <w:rsid w:val="55F67FAE"/>
    <w:rsid w:val="55F9553D"/>
    <w:rsid w:val="55F96BA6"/>
    <w:rsid w:val="55FB748F"/>
    <w:rsid w:val="55FC6467"/>
    <w:rsid w:val="55FD14CE"/>
    <w:rsid w:val="55FD30EB"/>
    <w:rsid w:val="55FE7A36"/>
    <w:rsid w:val="55FF1D92"/>
    <w:rsid w:val="56010E2D"/>
    <w:rsid w:val="56024940"/>
    <w:rsid w:val="56136A09"/>
    <w:rsid w:val="561479EF"/>
    <w:rsid w:val="561548BD"/>
    <w:rsid w:val="561915D5"/>
    <w:rsid w:val="56196687"/>
    <w:rsid w:val="561A046C"/>
    <w:rsid w:val="561A2200"/>
    <w:rsid w:val="561B17C3"/>
    <w:rsid w:val="562348D9"/>
    <w:rsid w:val="56237289"/>
    <w:rsid w:val="56242D6E"/>
    <w:rsid w:val="5624337B"/>
    <w:rsid w:val="56251AB4"/>
    <w:rsid w:val="56261E8D"/>
    <w:rsid w:val="562C4E47"/>
    <w:rsid w:val="56311680"/>
    <w:rsid w:val="56326FDF"/>
    <w:rsid w:val="56343CD6"/>
    <w:rsid w:val="56356D29"/>
    <w:rsid w:val="563665FD"/>
    <w:rsid w:val="56384799"/>
    <w:rsid w:val="5642399D"/>
    <w:rsid w:val="5643185A"/>
    <w:rsid w:val="5647479B"/>
    <w:rsid w:val="564A762E"/>
    <w:rsid w:val="564D5367"/>
    <w:rsid w:val="56541058"/>
    <w:rsid w:val="56616ACC"/>
    <w:rsid w:val="566A39AB"/>
    <w:rsid w:val="566B44F9"/>
    <w:rsid w:val="56733485"/>
    <w:rsid w:val="56737851"/>
    <w:rsid w:val="56743F9C"/>
    <w:rsid w:val="56757DB2"/>
    <w:rsid w:val="56773599"/>
    <w:rsid w:val="56781609"/>
    <w:rsid w:val="567B0F6D"/>
    <w:rsid w:val="567E48B4"/>
    <w:rsid w:val="56803EF4"/>
    <w:rsid w:val="56830C54"/>
    <w:rsid w:val="56840A94"/>
    <w:rsid w:val="56845DC0"/>
    <w:rsid w:val="56867AB5"/>
    <w:rsid w:val="568832FC"/>
    <w:rsid w:val="568C2D23"/>
    <w:rsid w:val="568D26C1"/>
    <w:rsid w:val="568D42D1"/>
    <w:rsid w:val="56947E78"/>
    <w:rsid w:val="56960489"/>
    <w:rsid w:val="56973B5B"/>
    <w:rsid w:val="56981066"/>
    <w:rsid w:val="5699538C"/>
    <w:rsid w:val="569E6DA7"/>
    <w:rsid w:val="569F3001"/>
    <w:rsid w:val="56A077E2"/>
    <w:rsid w:val="56A47A0A"/>
    <w:rsid w:val="56A538A0"/>
    <w:rsid w:val="56A634BD"/>
    <w:rsid w:val="56A95021"/>
    <w:rsid w:val="56AE5351"/>
    <w:rsid w:val="56AF797A"/>
    <w:rsid w:val="56B04601"/>
    <w:rsid w:val="56B22A9C"/>
    <w:rsid w:val="56B600CC"/>
    <w:rsid w:val="56BC4D54"/>
    <w:rsid w:val="56C500AD"/>
    <w:rsid w:val="56C50D8B"/>
    <w:rsid w:val="56C5269E"/>
    <w:rsid w:val="56C7343B"/>
    <w:rsid w:val="56CC7577"/>
    <w:rsid w:val="56D54068"/>
    <w:rsid w:val="56D57BC4"/>
    <w:rsid w:val="56D7393C"/>
    <w:rsid w:val="56DA5F86"/>
    <w:rsid w:val="56DB2493"/>
    <w:rsid w:val="56DC02CB"/>
    <w:rsid w:val="56DE4131"/>
    <w:rsid w:val="56E022E4"/>
    <w:rsid w:val="56EA18C1"/>
    <w:rsid w:val="56EB2994"/>
    <w:rsid w:val="56EB3D51"/>
    <w:rsid w:val="56EB3E07"/>
    <w:rsid w:val="56EE0C86"/>
    <w:rsid w:val="56F259C3"/>
    <w:rsid w:val="56F26F55"/>
    <w:rsid w:val="56F73FDE"/>
    <w:rsid w:val="56F84E40"/>
    <w:rsid w:val="56FA762A"/>
    <w:rsid w:val="57004558"/>
    <w:rsid w:val="57004A1D"/>
    <w:rsid w:val="57041D59"/>
    <w:rsid w:val="57046B8F"/>
    <w:rsid w:val="570519A5"/>
    <w:rsid w:val="570B5670"/>
    <w:rsid w:val="570B7DB9"/>
    <w:rsid w:val="570C319C"/>
    <w:rsid w:val="570C5CDB"/>
    <w:rsid w:val="57105919"/>
    <w:rsid w:val="57160908"/>
    <w:rsid w:val="57172725"/>
    <w:rsid w:val="57193F55"/>
    <w:rsid w:val="571C57F3"/>
    <w:rsid w:val="5721105B"/>
    <w:rsid w:val="57214A75"/>
    <w:rsid w:val="5724581D"/>
    <w:rsid w:val="572663FF"/>
    <w:rsid w:val="57270EC0"/>
    <w:rsid w:val="57281C3C"/>
    <w:rsid w:val="572D17AE"/>
    <w:rsid w:val="572E1368"/>
    <w:rsid w:val="57335152"/>
    <w:rsid w:val="573963A5"/>
    <w:rsid w:val="573D0B8A"/>
    <w:rsid w:val="573D690C"/>
    <w:rsid w:val="574305EE"/>
    <w:rsid w:val="574311F2"/>
    <w:rsid w:val="574742B5"/>
    <w:rsid w:val="574B7E86"/>
    <w:rsid w:val="574E6F08"/>
    <w:rsid w:val="57511940"/>
    <w:rsid w:val="57541431"/>
    <w:rsid w:val="57543A3F"/>
    <w:rsid w:val="575679E5"/>
    <w:rsid w:val="57580F21"/>
    <w:rsid w:val="575C02E5"/>
    <w:rsid w:val="575E2DBF"/>
    <w:rsid w:val="57601B83"/>
    <w:rsid w:val="57614DD2"/>
    <w:rsid w:val="5763042C"/>
    <w:rsid w:val="57681467"/>
    <w:rsid w:val="57691CE6"/>
    <w:rsid w:val="576C0528"/>
    <w:rsid w:val="576E4C47"/>
    <w:rsid w:val="577073C0"/>
    <w:rsid w:val="577861BC"/>
    <w:rsid w:val="577861D6"/>
    <w:rsid w:val="577B4702"/>
    <w:rsid w:val="577D7035"/>
    <w:rsid w:val="577E46FF"/>
    <w:rsid w:val="578318F4"/>
    <w:rsid w:val="57835872"/>
    <w:rsid w:val="578404B4"/>
    <w:rsid w:val="5784286A"/>
    <w:rsid w:val="578914D7"/>
    <w:rsid w:val="57894333"/>
    <w:rsid w:val="578B5349"/>
    <w:rsid w:val="578D0189"/>
    <w:rsid w:val="57923D07"/>
    <w:rsid w:val="57966F13"/>
    <w:rsid w:val="57A001D2"/>
    <w:rsid w:val="57A06424"/>
    <w:rsid w:val="57A2219C"/>
    <w:rsid w:val="57A51C3B"/>
    <w:rsid w:val="57A9647A"/>
    <w:rsid w:val="57AA24DC"/>
    <w:rsid w:val="57AB627A"/>
    <w:rsid w:val="57AD4DFB"/>
    <w:rsid w:val="57B7116A"/>
    <w:rsid w:val="57B72A76"/>
    <w:rsid w:val="57B72ED5"/>
    <w:rsid w:val="57B76BCF"/>
    <w:rsid w:val="57C1651D"/>
    <w:rsid w:val="57C3426C"/>
    <w:rsid w:val="57CA44C2"/>
    <w:rsid w:val="57CE1F93"/>
    <w:rsid w:val="57CF2327"/>
    <w:rsid w:val="57D52840"/>
    <w:rsid w:val="57D80EF9"/>
    <w:rsid w:val="57D81B7F"/>
    <w:rsid w:val="57DA7B88"/>
    <w:rsid w:val="57DC1CB8"/>
    <w:rsid w:val="57DD55F9"/>
    <w:rsid w:val="57E722A5"/>
    <w:rsid w:val="57E83927"/>
    <w:rsid w:val="57E92E12"/>
    <w:rsid w:val="57EA6BF7"/>
    <w:rsid w:val="57ED1EFD"/>
    <w:rsid w:val="57EE10C2"/>
    <w:rsid w:val="57F56770"/>
    <w:rsid w:val="57F57865"/>
    <w:rsid w:val="57F646C7"/>
    <w:rsid w:val="57FA046D"/>
    <w:rsid w:val="57FF75EE"/>
    <w:rsid w:val="58022C3B"/>
    <w:rsid w:val="580348B5"/>
    <w:rsid w:val="580515D3"/>
    <w:rsid w:val="5805453E"/>
    <w:rsid w:val="58094C63"/>
    <w:rsid w:val="581841B5"/>
    <w:rsid w:val="581D7A74"/>
    <w:rsid w:val="58234642"/>
    <w:rsid w:val="582662A7"/>
    <w:rsid w:val="58270BFF"/>
    <w:rsid w:val="58276B45"/>
    <w:rsid w:val="582E6246"/>
    <w:rsid w:val="58301306"/>
    <w:rsid w:val="583077A8"/>
    <w:rsid w:val="58311572"/>
    <w:rsid w:val="58353225"/>
    <w:rsid w:val="583740FD"/>
    <w:rsid w:val="583B22BC"/>
    <w:rsid w:val="583B2E9E"/>
    <w:rsid w:val="583C0A10"/>
    <w:rsid w:val="583E3F9A"/>
    <w:rsid w:val="583F5BF1"/>
    <w:rsid w:val="58405511"/>
    <w:rsid w:val="58407628"/>
    <w:rsid w:val="584228C4"/>
    <w:rsid w:val="58437705"/>
    <w:rsid w:val="5844243E"/>
    <w:rsid w:val="58442469"/>
    <w:rsid w:val="58444FBB"/>
    <w:rsid w:val="58450D79"/>
    <w:rsid w:val="58450EBB"/>
    <w:rsid w:val="58476B1E"/>
    <w:rsid w:val="58484609"/>
    <w:rsid w:val="584E40D2"/>
    <w:rsid w:val="585051C5"/>
    <w:rsid w:val="58507C69"/>
    <w:rsid w:val="58523BC2"/>
    <w:rsid w:val="5854203E"/>
    <w:rsid w:val="58557DC3"/>
    <w:rsid w:val="5859374A"/>
    <w:rsid w:val="585C058A"/>
    <w:rsid w:val="58670CF0"/>
    <w:rsid w:val="586A0C6F"/>
    <w:rsid w:val="586A2B3F"/>
    <w:rsid w:val="586B269C"/>
    <w:rsid w:val="586B6A54"/>
    <w:rsid w:val="586B6C0A"/>
    <w:rsid w:val="586D7F1B"/>
    <w:rsid w:val="586E6522"/>
    <w:rsid w:val="58704048"/>
    <w:rsid w:val="58705418"/>
    <w:rsid w:val="58731C76"/>
    <w:rsid w:val="58772F35"/>
    <w:rsid w:val="5878114F"/>
    <w:rsid w:val="58785537"/>
    <w:rsid w:val="587C0291"/>
    <w:rsid w:val="587D6C4E"/>
    <w:rsid w:val="587F3DC8"/>
    <w:rsid w:val="587F6039"/>
    <w:rsid w:val="58856FA1"/>
    <w:rsid w:val="58872141"/>
    <w:rsid w:val="588743D1"/>
    <w:rsid w:val="5887701A"/>
    <w:rsid w:val="588954B5"/>
    <w:rsid w:val="588F4414"/>
    <w:rsid w:val="58935F89"/>
    <w:rsid w:val="58956421"/>
    <w:rsid w:val="58957824"/>
    <w:rsid w:val="589A4F15"/>
    <w:rsid w:val="589B2D6B"/>
    <w:rsid w:val="589C75CA"/>
    <w:rsid w:val="589C7987"/>
    <w:rsid w:val="589D235D"/>
    <w:rsid w:val="58A3236C"/>
    <w:rsid w:val="58A46EE4"/>
    <w:rsid w:val="58A50EE9"/>
    <w:rsid w:val="58A56257"/>
    <w:rsid w:val="58A57A71"/>
    <w:rsid w:val="58A67A6A"/>
    <w:rsid w:val="58AB1524"/>
    <w:rsid w:val="58AB5080"/>
    <w:rsid w:val="58AF283F"/>
    <w:rsid w:val="58AF6AC6"/>
    <w:rsid w:val="58B12C89"/>
    <w:rsid w:val="58B303D9"/>
    <w:rsid w:val="58B4599F"/>
    <w:rsid w:val="58B54151"/>
    <w:rsid w:val="58B65528"/>
    <w:rsid w:val="58B83B12"/>
    <w:rsid w:val="58BC2EF3"/>
    <w:rsid w:val="58BC728D"/>
    <w:rsid w:val="58BD08FD"/>
    <w:rsid w:val="58BE1257"/>
    <w:rsid w:val="58BF6D7E"/>
    <w:rsid w:val="58C0522E"/>
    <w:rsid w:val="58C250DD"/>
    <w:rsid w:val="58C3123D"/>
    <w:rsid w:val="58C36A96"/>
    <w:rsid w:val="58C660FE"/>
    <w:rsid w:val="58C779E0"/>
    <w:rsid w:val="58CA2EE6"/>
    <w:rsid w:val="58CF42F5"/>
    <w:rsid w:val="58D277BD"/>
    <w:rsid w:val="58D415F7"/>
    <w:rsid w:val="58D56A01"/>
    <w:rsid w:val="58D67316"/>
    <w:rsid w:val="58D76D5B"/>
    <w:rsid w:val="58D837F2"/>
    <w:rsid w:val="58DC79C9"/>
    <w:rsid w:val="58DC7F4D"/>
    <w:rsid w:val="58DD13D6"/>
    <w:rsid w:val="58DE14C6"/>
    <w:rsid w:val="58DF11CE"/>
    <w:rsid w:val="58DF1B90"/>
    <w:rsid w:val="58E14988"/>
    <w:rsid w:val="58E93DFA"/>
    <w:rsid w:val="58EA6E64"/>
    <w:rsid w:val="58EA72E9"/>
    <w:rsid w:val="58EB528D"/>
    <w:rsid w:val="58EC7908"/>
    <w:rsid w:val="58ED7447"/>
    <w:rsid w:val="58F30846"/>
    <w:rsid w:val="58F8320A"/>
    <w:rsid w:val="58FB758C"/>
    <w:rsid w:val="58FC0A52"/>
    <w:rsid w:val="58FC7435"/>
    <w:rsid w:val="58FE1654"/>
    <w:rsid w:val="58FE6BD8"/>
    <w:rsid w:val="5903341C"/>
    <w:rsid w:val="59050C34"/>
    <w:rsid w:val="590556D0"/>
    <w:rsid w:val="590804A7"/>
    <w:rsid w:val="59084281"/>
    <w:rsid w:val="590C6EA1"/>
    <w:rsid w:val="590D1897"/>
    <w:rsid w:val="590E560F"/>
    <w:rsid w:val="59101D2A"/>
    <w:rsid w:val="591032E0"/>
    <w:rsid w:val="59122C05"/>
    <w:rsid w:val="59123351"/>
    <w:rsid w:val="5913664A"/>
    <w:rsid w:val="59155C19"/>
    <w:rsid w:val="5915706E"/>
    <w:rsid w:val="591732B3"/>
    <w:rsid w:val="59177292"/>
    <w:rsid w:val="59186681"/>
    <w:rsid w:val="591C1A44"/>
    <w:rsid w:val="591C5EA9"/>
    <w:rsid w:val="591E5852"/>
    <w:rsid w:val="591F781C"/>
    <w:rsid w:val="592310BA"/>
    <w:rsid w:val="59254AFE"/>
    <w:rsid w:val="592E68CD"/>
    <w:rsid w:val="5936311F"/>
    <w:rsid w:val="593777F1"/>
    <w:rsid w:val="59390824"/>
    <w:rsid w:val="593B09B7"/>
    <w:rsid w:val="593D0E94"/>
    <w:rsid w:val="59401951"/>
    <w:rsid w:val="59406A7E"/>
    <w:rsid w:val="59413C36"/>
    <w:rsid w:val="59427684"/>
    <w:rsid w:val="5944571F"/>
    <w:rsid w:val="59466D91"/>
    <w:rsid w:val="59481573"/>
    <w:rsid w:val="594855BA"/>
    <w:rsid w:val="594A2AEB"/>
    <w:rsid w:val="594A4899"/>
    <w:rsid w:val="594E73C3"/>
    <w:rsid w:val="594F3C5E"/>
    <w:rsid w:val="59500ADD"/>
    <w:rsid w:val="595524AA"/>
    <w:rsid w:val="595659F5"/>
    <w:rsid w:val="5959342E"/>
    <w:rsid w:val="595B0743"/>
    <w:rsid w:val="595B2C0F"/>
    <w:rsid w:val="595C5ED8"/>
    <w:rsid w:val="595C637A"/>
    <w:rsid w:val="596040BD"/>
    <w:rsid w:val="596051A4"/>
    <w:rsid w:val="59637709"/>
    <w:rsid w:val="59644F18"/>
    <w:rsid w:val="596516D3"/>
    <w:rsid w:val="596811C3"/>
    <w:rsid w:val="59684D1F"/>
    <w:rsid w:val="596A499B"/>
    <w:rsid w:val="596D4A2C"/>
    <w:rsid w:val="596E1CC0"/>
    <w:rsid w:val="596E536D"/>
    <w:rsid w:val="596F722D"/>
    <w:rsid w:val="59710B6E"/>
    <w:rsid w:val="597535CD"/>
    <w:rsid w:val="597731B4"/>
    <w:rsid w:val="59783FBD"/>
    <w:rsid w:val="59784340"/>
    <w:rsid w:val="597933D0"/>
    <w:rsid w:val="597B0EF6"/>
    <w:rsid w:val="597B2CA5"/>
    <w:rsid w:val="597C0A8D"/>
    <w:rsid w:val="597C1201"/>
    <w:rsid w:val="59822430"/>
    <w:rsid w:val="59852B5B"/>
    <w:rsid w:val="5987789B"/>
    <w:rsid w:val="598B08EC"/>
    <w:rsid w:val="598B2A0A"/>
    <w:rsid w:val="59901C4F"/>
    <w:rsid w:val="59920BCF"/>
    <w:rsid w:val="5999137D"/>
    <w:rsid w:val="599C6873"/>
    <w:rsid w:val="599D6243"/>
    <w:rsid w:val="599E6993"/>
    <w:rsid w:val="599F23C9"/>
    <w:rsid w:val="59A07D9A"/>
    <w:rsid w:val="59A51D3D"/>
    <w:rsid w:val="59A52769"/>
    <w:rsid w:val="59A73A9A"/>
    <w:rsid w:val="59AB2777"/>
    <w:rsid w:val="59AD036F"/>
    <w:rsid w:val="59AE1A16"/>
    <w:rsid w:val="59AF6DF2"/>
    <w:rsid w:val="59AF7A01"/>
    <w:rsid w:val="59B13352"/>
    <w:rsid w:val="59B368E2"/>
    <w:rsid w:val="59B83EF9"/>
    <w:rsid w:val="59C0439F"/>
    <w:rsid w:val="59C15E7A"/>
    <w:rsid w:val="59C16B55"/>
    <w:rsid w:val="59C2148F"/>
    <w:rsid w:val="59C46A22"/>
    <w:rsid w:val="59C75EEA"/>
    <w:rsid w:val="59CB2EB2"/>
    <w:rsid w:val="59CC4864"/>
    <w:rsid w:val="59D02E02"/>
    <w:rsid w:val="59D30505"/>
    <w:rsid w:val="59D35957"/>
    <w:rsid w:val="59D40607"/>
    <w:rsid w:val="59E06FAB"/>
    <w:rsid w:val="59E467DD"/>
    <w:rsid w:val="59E53FCF"/>
    <w:rsid w:val="59E86F77"/>
    <w:rsid w:val="59EB0D56"/>
    <w:rsid w:val="59EB5147"/>
    <w:rsid w:val="59EC76FE"/>
    <w:rsid w:val="59EF339D"/>
    <w:rsid w:val="59EF598E"/>
    <w:rsid w:val="59F12F67"/>
    <w:rsid w:val="59F1756A"/>
    <w:rsid w:val="59F34F31"/>
    <w:rsid w:val="59F640F8"/>
    <w:rsid w:val="59F667CF"/>
    <w:rsid w:val="59FB3DE5"/>
    <w:rsid w:val="5A032C9A"/>
    <w:rsid w:val="5A047B0D"/>
    <w:rsid w:val="5A055BE9"/>
    <w:rsid w:val="5A07237A"/>
    <w:rsid w:val="5A096A56"/>
    <w:rsid w:val="5A0F163F"/>
    <w:rsid w:val="5A160C1F"/>
    <w:rsid w:val="5A165ADE"/>
    <w:rsid w:val="5A17367F"/>
    <w:rsid w:val="5A174305"/>
    <w:rsid w:val="5A1924BD"/>
    <w:rsid w:val="5A1C5FBD"/>
    <w:rsid w:val="5A1D3D5C"/>
    <w:rsid w:val="5A1D4924"/>
    <w:rsid w:val="5A1E2CF9"/>
    <w:rsid w:val="5A2068C3"/>
    <w:rsid w:val="5A206A87"/>
    <w:rsid w:val="5A215590"/>
    <w:rsid w:val="5A2450EA"/>
    <w:rsid w:val="5A252FC7"/>
    <w:rsid w:val="5A2B0B9C"/>
    <w:rsid w:val="5A2C21F1"/>
    <w:rsid w:val="5A307F33"/>
    <w:rsid w:val="5A321325"/>
    <w:rsid w:val="5A357CBF"/>
    <w:rsid w:val="5A3609DC"/>
    <w:rsid w:val="5A384D6A"/>
    <w:rsid w:val="5A3931CF"/>
    <w:rsid w:val="5A3B68D8"/>
    <w:rsid w:val="5A3F1438"/>
    <w:rsid w:val="5A4A2677"/>
    <w:rsid w:val="5A4B6B1B"/>
    <w:rsid w:val="5A4D1BC8"/>
    <w:rsid w:val="5A4E5849"/>
    <w:rsid w:val="5A504131"/>
    <w:rsid w:val="5A51701C"/>
    <w:rsid w:val="5A544481"/>
    <w:rsid w:val="5A557999"/>
    <w:rsid w:val="5A59591F"/>
    <w:rsid w:val="5A5B4884"/>
    <w:rsid w:val="5A5F5444"/>
    <w:rsid w:val="5A6038B4"/>
    <w:rsid w:val="5A6279C1"/>
    <w:rsid w:val="5A647BDD"/>
    <w:rsid w:val="5A673229"/>
    <w:rsid w:val="5A706581"/>
    <w:rsid w:val="5A737C5C"/>
    <w:rsid w:val="5A737E20"/>
    <w:rsid w:val="5A7542C1"/>
    <w:rsid w:val="5A76346C"/>
    <w:rsid w:val="5A7A716F"/>
    <w:rsid w:val="5A7A7400"/>
    <w:rsid w:val="5A7B6CD4"/>
    <w:rsid w:val="5A7D6E49"/>
    <w:rsid w:val="5A7E2423"/>
    <w:rsid w:val="5A7F60EA"/>
    <w:rsid w:val="5A841E77"/>
    <w:rsid w:val="5A847A46"/>
    <w:rsid w:val="5A847B2F"/>
    <w:rsid w:val="5A867B53"/>
    <w:rsid w:val="5A887FF8"/>
    <w:rsid w:val="5A8A04D9"/>
    <w:rsid w:val="5A8B55A3"/>
    <w:rsid w:val="5A8D45E6"/>
    <w:rsid w:val="5A8D50AD"/>
    <w:rsid w:val="5A930325"/>
    <w:rsid w:val="5A941D0F"/>
    <w:rsid w:val="5A95141D"/>
    <w:rsid w:val="5A987886"/>
    <w:rsid w:val="5A995E18"/>
    <w:rsid w:val="5A996DB1"/>
    <w:rsid w:val="5A9B1124"/>
    <w:rsid w:val="5A9D01E2"/>
    <w:rsid w:val="5A9D4E9D"/>
    <w:rsid w:val="5AA224B3"/>
    <w:rsid w:val="5AA36073"/>
    <w:rsid w:val="5AA75D1B"/>
    <w:rsid w:val="5AA942DE"/>
    <w:rsid w:val="5AAA7924"/>
    <w:rsid w:val="5AAB1B4F"/>
    <w:rsid w:val="5AAF70D9"/>
    <w:rsid w:val="5AB43C34"/>
    <w:rsid w:val="5AB50438"/>
    <w:rsid w:val="5AB87F28"/>
    <w:rsid w:val="5ABA77FD"/>
    <w:rsid w:val="5ABB0B29"/>
    <w:rsid w:val="5ABE2233"/>
    <w:rsid w:val="5AC056CA"/>
    <w:rsid w:val="5AC24DC3"/>
    <w:rsid w:val="5AC452F6"/>
    <w:rsid w:val="5AC624B2"/>
    <w:rsid w:val="5ACB37B8"/>
    <w:rsid w:val="5ACC7530"/>
    <w:rsid w:val="5ACD2B82"/>
    <w:rsid w:val="5ACE5056"/>
    <w:rsid w:val="5ACF743B"/>
    <w:rsid w:val="5AD0555F"/>
    <w:rsid w:val="5AD3266C"/>
    <w:rsid w:val="5AD47B9A"/>
    <w:rsid w:val="5ADD1965"/>
    <w:rsid w:val="5ADF2741"/>
    <w:rsid w:val="5AE623A0"/>
    <w:rsid w:val="5AE81F44"/>
    <w:rsid w:val="5AE94326"/>
    <w:rsid w:val="5AE96334"/>
    <w:rsid w:val="5AED2FF7"/>
    <w:rsid w:val="5AF102AB"/>
    <w:rsid w:val="5AF145B2"/>
    <w:rsid w:val="5AF423C3"/>
    <w:rsid w:val="5AF93875"/>
    <w:rsid w:val="5AFE475B"/>
    <w:rsid w:val="5AFF1EA4"/>
    <w:rsid w:val="5B020E9A"/>
    <w:rsid w:val="5B030576"/>
    <w:rsid w:val="5B044A3A"/>
    <w:rsid w:val="5B060265"/>
    <w:rsid w:val="5B0647F0"/>
    <w:rsid w:val="5B0D4501"/>
    <w:rsid w:val="5B0D5B7E"/>
    <w:rsid w:val="5B11716C"/>
    <w:rsid w:val="5B135ABE"/>
    <w:rsid w:val="5B146FB7"/>
    <w:rsid w:val="5B150ED7"/>
    <w:rsid w:val="5B1572DE"/>
    <w:rsid w:val="5B1672F5"/>
    <w:rsid w:val="5B19492B"/>
    <w:rsid w:val="5B1A64ED"/>
    <w:rsid w:val="5B1C1498"/>
    <w:rsid w:val="5B1C2265"/>
    <w:rsid w:val="5B1D3B73"/>
    <w:rsid w:val="5B1E1C14"/>
    <w:rsid w:val="5B1E422F"/>
    <w:rsid w:val="5B21454D"/>
    <w:rsid w:val="5B2335F4"/>
    <w:rsid w:val="5B2339EA"/>
    <w:rsid w:val="5B245B33"/>
    <w:rsid w:val="5B252222"/>
    <w:rsid w:val="5B263C70"/>
    <w:rsid w:val="5B264E92"/>
    <w:rsid w:val="5B27137B"/>
    <w:rsid w:val="5B296730"/>
    <w:rsid w:val="5B2F2994"/>
    <w:rsid w:val="5B2F3628"/>
    <w:rsid w:val="5B3352CF"/>
    <w:rsid w:val="5B394FE8"/>
    <w:rsid w:val="5B3E5B31"/>
    <w:rsid w:val="5B411CCC"/>
    <w:rsid w:val="5B441BB5"/>
    <w:rsid w:val="5B453EA0"/>
    <w:rsid w:val="5B4848E5"/>
    <w:rsid w:val="5B4922C9"/>
    <w:rsid w:val="5B494F73"/>
    <w:rsid w:val="5B4B05D0"/>
    <w:rsid w:val="5B4E5767"/>
    <w:rsid w:val="5B52380C"/>
    <w:rsid w:val="5B5437AD"/>
    <w:rsid w:val="5B57229A"/>
    <w:rsid w:val="5B5A0A30"/>
    <w:rsid w:val="5B617C32"/>
    <w:rsid w:val="5B64171A"/>
    <w:rsid w:val="5B6559BA"/>
    <w:rsid w:val="5B687259"/>
    <w:rsid w:val="5B6A60B6"/>
    <w:rsid w:val="5B6B6D49"/>
    <w:rsid w:val="5B6C4D62"/>
    <w:rsid w:val="5B6D0D13"/>
    <w:rsid w:val="5B6F6839"/>
    <w:rsid w:val="5B7244F6"/>
    <w:rsid w:val="5B7309E8"/>
    <w:rsid w:val="5B745BFD"/>
    <w:rsid w:val="5B765E19"/>
    <w:rsid w:val="5B774C2C"/>
    <w:rsid w:val="5B77749C"/>
    <w:rsid w:val="5B865931"/>
    <w:rsid w:val="5B8A088C"/>
    <w:rsid w:val="5B8A2D21"/>
    <w:rsid w:val="5B8B48A9"/>
    <w:rsid w:val="5B8D230E"/>
    <w:rsid w:val="5B8F6EDB"/>
    <w:rsid w:val="5B9067AF"/>
    <w:rsid w:val="5B925C48"/>
    <w:rsid w:val="5B950EA3"/>
    <w:rsid w:val="5B975D90"/>
    <w:rsid w:val="5B98227D"/>
    <w:rsid w:val="5B9C160C"/>
    <w:rsid w:val="5B9C33A6"/>
    <w:rsid w:val="5B9F0C60"/>
    <w:rsid w:val="5BA2287A"/>
    <w:rsid w:val="5BA30291"/>
    <w:rsid w:val="5BA34735"/>
    <w:rsid w:val="5BA4652B"/>
    <w:rsid w:val="5BA83AF9"/>
    <w:rsid w:val="5BAB5397"/>
    <w:rsid w:val="5BAF500A"/>
    <w:rsid w:val="5BAF6F11"/>
    <w:rsid w:val="5BB21DCD"/>
    <w:rsid w:val="5BBE639B"/>
    <w:rsid w:val="5BC10D65"/>
    <w:rsid w:val="5BC22691"/>
    <w:rsid w:val="5BC4133E"/>
    <w:rsid w:val="5BC5423B"/>
    <w:rsid w:val="5BC636A9"/>
    <w:rsid w:val="5BC84DDE"/>
    <w:rsid w:val="5BCA1CC1"/>
    <w:rsid w:val="5BCB16AF"/>
    <w:rsid w:val="5BCC5A39"/>
    <w:rsid w:val="5BCF72D8"/>
    <w:rsid w:val="5BD01669"/>
    <w:rsid w:val="5BD01F02"/>
    <w:rsid w:val="5BD0328B"/>
    <w:rsid w:val="5BD26DC8"/>
    <w:rsid w:val="5BD36EB8"/>
    <w:rsid w:val="5BDB3ECE"/>
    <w:rsid w:val="5BDB69A0"/>
    <w:rsid w:val="5BDC38E0"/>
    <w:rsid w:val="5BDF5D95"/>
    <w:rsid w:val="5BE14009"/>
    <w:rsid w:val="5BE4349F"/>
    <w:rsid w:val="5BE64CCE"/>
    <w:rsid w:val="5BE72873"/>
    <w:rsid w:val="5BEA10A0"/>
    <w:rsid w:val="5BED3C02"/>
    <w:rsid w:val="5BEF03FF"/>
    <w:rsid w:val="5BEF1161"/>
    <w:rsid w:val="5BF05C06"/>
    <w:rsid w:val="5BF40AEC"/>
    <w:rsid w:val="5BF568FF"/>
    <w:rsid w:val="5BF60003"/>
    <w:rsid w:val="5BF8418D"/>
    <w:rsid w:val="5BF85CE2"/>
    <w:rsid w:val="5BF95655"/>
    <w:rsid w:val="5BFE7528"/>
    <w:rsid w:val="5BFE7BBD"/>
    <w:rsid w:val="5C003935"/>
    <w:rsid w:val="5C03084E"/>
    <w:rsid w:val="5C030B0E"/>
    <w:rsid w:val="5C050F4B"/>
    <w:rsid w:val="5C05719D"/>
    <w:rsid w:val="5C087F4D"/>
    <w:rsid w:val="5C0E04A0"/>
    <w:rsid w:val="5C113D3E"/>
    <w:rsid w:val="5C1402D4"/>
    <w:rsid w:val="5C182A2D"/>
    <w:rsid w:val="5C185F09"/>
    <w:rsid w:val="5C1910FA"/>
    <w:rsid w:val="5C1B42CB"/>
    <w:rsid w:val="5C1B74C0"/>
    <w:rsid w:val="5C25339C"/>
    <w:rsid w:val="5C272C70"/>
    <w:rsid w:val="5C29330F"/>
    <w:rsid w:val="5C2947CB"/>
    <w:rsid w:val="5C2A09B2"/>
    <w:rsid w:val="5C2B0F94"/>
    <w:rsid w:val="5C2E04A2"/>
    <w:rsid w:val="5C38410F"/>
    <w:rsid w:val="5C3867C8"/>
    <w:rsid w:val="5C433822"/>
    <w:rsid w:val="5C447475"/>
    <w:rsid w:val="5C471564"/>
    <w:rsid w:val="5C484A27"/>
    <w:rsid w:val="5C4900A4"/>
    <w:rsid w:val="5C490E27"/>
    <w:rsid w:val="5C4968E6"/>
    <w:rsid w:val="5C4C26D6"/>
    <w:rsid w:val="5C5054F6"/>
    <w:rsid w:val="5C5123E2"/>
    <w:rsid w:val="5C593891"/>
    <w:rsid w:val="5C5A6D58"/>
    <w:rsid w:val="5C5B55DE"/>
    <w:rsid w:val="5C5C30D9"/>
    <w:rsid w:val="5C5F2347"/>
    <w:rsid w:val="5C5F5465"/>
    <w:rsid w:val="5C62245D"/>
    <w:rsid w:val="5C642116"/>
    <w:rsid w:val="5C645786"/>
    <w:rsid w:val="5C656BE5"/>
    <w:rsid w:val="5C68455A"/>
    <w:rsid w:val="5C6A7000"/>
    <w:rsid w:val="5C6C4B26"/>
    <w:rsid w:val="5C6C5217"/>
    <w:rsid w:val="5C716827"/>
    <w:rsid w:val="5C75177C"/>
    <w:rsid w:val="5C7560D1"/>
    <w:rsid w:val="5C780E45"/>
    <w:rsid w:val="5C7937A6"/>
    <w:rsid w:val="5C795C32"/>
    <w:rsid w:val="5C7B120D"/>
    <w:rsid w:val="5C7C0AFD"/>
    <w:rsid w:val="5C7C3B52"/>
    <w:rsid w:val="5C806824"/>
    <w:rsid w:val="5C826630"/>
    <w:rsid w:val="5C834903"/>
    <w:rsid w:val="5C84410D"/>
    <w:rsid w:val="5C854305"/>
    <w:rsid w:val="5C867128"/>
    <w:rsid w:val="5C871428"/>
    <w:rsid w:val="5C885AAB"/>
    <w:rsid w:val="5C895264"/>
    <w:rsid w:val="5C8E0F41"/>
    <w:rsid w:val="5C8F0D4E"/>
    <w:rsid w:val="5C8F4B35"/>
    <w:rsid w:val="5C94421A"/>
    <w:rsid w:val="5C9479F8"/>
    <w:rsid w:val="5C95407D"/>
    <w:rsid w:val="5C9627BD"/>
    <w:rsid w:val="5C974299"/>
    <w:rsid w:val="5C983B6D"/>
    <w:rsid w:val="5C9F2538"/>
    <w:rsid w:val="5C9F314E"/>
    <w:rsid w:val="5C9F6CAA"/>
    <w:rsid w:val="5CA02A22"/>
    <w:rsid w:val="5CA2266B"/>
    <w:rsid w:val="5CA249EC"/>
    <w:rsid w:val="5CA73DB1"/>
    <w:rsid w:val="5CA87454"/>
    <w:rsid w:val="5CA94BB2"/>
    <w:rsid w:val="5CAC6DFA"/>
    <w:rsid w:val="5CAF3EB3"/>
    <w:rsid w:val="5CB0535B"/>
    <w:rsid w:val="5CB12EC3"/>
    <w:rsid w:val="5CB3683E"/>
    <w:rsid w:val="5CB52971"/>
    <w:rsid w:val="5CB54D70"/>
    <w:rsid w:val="5CB877B6"/>
    <w:rsid w:val="5CBB0E30"/>
    <w:rsid w:val="5CBB42BA"/>
    <w:rsid w:val="5CBE1EAD"/>
    <w:rsid w:val="5CBF566B"/>
    <w:rsid w:val="5CBF734C"/>
    <w:rsid w:val="5CC1262C"/>
    <w:rsid w:val="5CC2508E"/>
    <w:rsid w:val="5CD1233A"/>
    <w:rsid w:val="5CD712F1"/>
    <w:rsid w:val="5CD821BC"/>
    <w:rsid w:val="5CDA23D8"/>
    <w:rsid w:val="5CDC7EFE"/>
    <w:rsid w:val="5CDD5CA9"/>
    <w:rsid w:val="5CDE2DEC"/>
    <w:rsid w:val="5CDF6386"/>
    <w:rsid w:val="5CE047AB"/>
    <w:rsid w:val="5CE21BA5"/>
    <w:rsid w:val="5CE25D24"/>
    <w:rsid w:val="5CE40B61"/>
    <w:rsid w:val="5CE6671E"/>
    <w:rsid w:val="5CE6780F"/>
    <w:rsid w:val="5CE768A3"/>
    <w:rsid w:val="5CE83D58"/>
    <w:rsid w:val="5CE8654D"/>
    <w:rsid w:val="5CEB5804"/>
    <w:rsid w:val="5CEC5C67"/>
    <w:rsid w:val="5CEE378D"/>
    <w:rsid w:val="5CEE6D21"/>
    <w:rsid w:val="5CEF1C44"/>
    <w:rsid w:val="5CF05758"/>
    <w:rsid w:val="5CF2045A"/>
    <w:rsid w:val="5CF35248"/>
    <w:rsid w:val="5CF36FF6"/>
    <w:rsid w:val="5CF579AF"/>
    <w:rsid w:val="5CF80AB0"/>
    <w:rsid w:val="5CF8460C"/>
    <w:rsid w:val="5CF96FB1"/>
    <w:rsid w:val="5CF971C6"/>
    <w:rsid w:val="5CFA65D6"/>
    <w:rsid w:val="5CFE28CD"/>
    <w:rsid w:val="5CFF74B6"/>
    <w:rsid w:val="5D0178AB"/>
    <w:rsid w:val="5D02548B"/>
    <w:rsid w:val="5D031805"/>
    <w:rsid w:val="5D053910"/>
    <w:rsid w:val="5D060A7F"/>
    <w:rsid w:val="5D0A66F8"/>
    <w:rsid w:val="5D0B07E3"/>
    <w:rsid w:val="5D0E62B1"/>
    <w:rsid w:val="5D107BA8"/>
    <w:rsid w:val="5D1108F0"/>
    <w:rsid w:val="5D1312ED"/>
    <w:rsid w:val="5D164E95"/>
    <w:rsid w:val="5D170F36"/>
    <w:rsid w:val="5D193C68"/>
    <w:rsid w:val="5D1A4582"/>
    <w:rsid w:val="5D1B06FA"/>
    <w:rsid w:val="5D1E3B0E"/>
    <w:rsid w:val="5D1E59B7"/>
    <w:rsid w:val="5D1E6C85"/>
    <w:rsid w:val="5D204EEF"/>
    <w:rsid w:val="5D227ED6"/>
    <w:rsid w:val="5D2423C6"/>
    <w:rsid w:val="5D2522E3"/>
    <w:rsid w:val="5D2534BB"/>
    <w:rsid w:val="5D284EF1"/>
    <w:rsid w:val="5D293131"/>
    <w:rsid w:val="5D2E486D"/>
    <w:rsid w:val="5D2F3316"/>
    <w:rsid w:val="5D2F4577"/>
    <w:rsid w:val="5D306B65"/>
    <w:rsid w:val="5D310119"/>
    <w:rsid w:val="5D327B1E"/>
    <w:rsid w:val="5D372898"/>
    <w:rsid w:val="5D3A2F6B"/>
    <w:rsid w:val="5D3F048D"/>
    <w:rsid w:val="5D415FB3"/>
    <w:rsid w:val="5D443EAD"/>
    <w:rsid w:val="5D461D75"/>
    <w:rsid w:val="5D485594"/>
    <w:rsid w:val="5D494E68"/>
    <w:rsid w:val="5D4C16E2"/>
    <w:rsid w:val="5D4C1777"/>
    <w:rsid w:val="5D5C4440"/>
    <w:rsid w:val="5D5D03BC"/>
    <w:rsid w:val="5D5D5CE9"/>
    <w:rsid w:val="5D5F788B"/>
    <w:rsid w:val="5D613064"/>
    <w:rsid w:val="5D622FE2"/>
    <w:rsid w:val="5D680E32"/>
    <w:rsid w:val="5D682C65"/>
    <w:rsid w:val="5D6A14DC"/>
    <w:rsid w:val="5D6A41D1"/>
    <w:rsid w:val="5D6D3D43"/>
    <w:rsid w:val="5D6D4FFA"/>
    <w:rsid w:val="5D6F2B20"/>
    <w:rsid w:val="5D6F54B3"/>
    <w:rsid w:val="5D6F6C38"/>
    <w:rsid w:val="5D7176B4"/>
    <w:rsid w:val="5D7243BE"/>
    <w:rsid w:val="5D753EAF"/>
    <w:rsid w:val="5D7630E5"/>
    <w:rsid w:val="5D79574D"/>
    <w:rsid w:val="5D7E0FB5"/>
    <w:rsid w:val="5D812854"/>
    <w:rsid w:val="5D856533"/>
    <w:rsid w:val="5D891A24"/>
    <w:rsid w:val="5D896C09"/>
    <w:rsid w:val="5D8D4300"/>
    <w:rsid w:val="5D8E5DBD"/>
    <w:rsid w:val="5D900CE9"/>
    <w:rsid w:val="5D902A97"/>
    <w:rsid w:val="5D9309F2"/>
    <w:rsid w:val="5D945F96"/>
    <w:rsid w:val="5D973629"/>
    <w:rsid w:val="5D983984"/>
    <w:rsid w:val="5D9A3915"/>
    <w:rsid w:val="5D9B1B67"/>
    <w:rsid w:val="5D9E4A1B"/>
    <w:rsid w:val="5DA0160E"/>
    <w:rsid w:val="5DA01B06"/>
    <w:rsid w:val="5DA33B2B"/>
    <w:rsid w:val="5DA46C2D"/>
    <w:rsid w:val="5DA622BA"/>
    <w:rsid w:val="5DAA7B12"/>
    <w:rsid w:val="5DAC2B79"/>
    <w:rsid w:val="5DAD3649"/>
    <w:rsid w:val="5DB3770C"/>
    <w:rsid w:val="5DB559AC"/>
    <w:rsid w:val="5DB81F78"/>
    <w:rsid w:val="5DBC3043"/>
    <w:rsid w:val="5DBD12C2"/>
    <w:rsid w:val="5DBF17D8"/>
    <w:rsid w:val="5DBF512A"/>
    <w:rsid w:val="5DC15346"/>
    <w:rsid w:val="5DC1775A"/>
    <w:rsid w:val="5DC3730F"/>
    <w:rsid w:val="5DC907FB"/>
    <w:rsid w:val="5DC95797"/>
    <w:rsid w:val="5DCA244C"/>
    <w:rsid w:val="5DCD2000"/>
    <w:rsid w:val="5DCF35BF"/>
    <w:rsid w:val="5DD16977"/>
    <w:rsid w:val="5DD46A95"/>
    <w:rsid w:val="5DDA6B28"/>
    <w:rsid w:val="5DDC3855"/>
    <w:rsid w:val="5DDD26D4"/>
    <w:rsid w:val="5DE2638B"/>
    <w:rsid w:val="5DE352BC"/>
    <w:rsid w:val="5DED1C97"/>
    <w:rsid w:val="5DEE6CCF"/>
    <w:rsid w:val="5DEE7A70"/>
    <w:rsid w:val="5DF23751"/>
    <w:rsid w:val="5DF70D68"/>
    <w:rsid w:val="5DFB0858"/>
    <w:rsid w:val="5DFE20F6"/>
    <w:rsid w:val="5DFF1388"/>
    <w:rsid w:val="5E022CE9"/>
    <w:rsid w:val="5E066149"/>
    <w:rsid w:val="5E075321"/>
    <w:rsid w:val="5E0A7F37"/>
    <w:rsid w:val="5E0B4267"/>
    <w:rsid w:val="5E0B6D62"/>
    <w:rsid w:val="5E115985"/>
    <w:rsid w:val="5E14003E"/>
    <w:rsid w:val="5E1436C8"/>
    <w:rsid w:val="5E144E6D"/>
    <w:rsid w:val="5E1824AD"/>
    <w:rsid w:val="5E211941"/>
    <w:rsid w:val="5E2228ED"/>
    <w:rsid w:val="5E227B93"/>
    <w:rsid w:val="5E2467F1"/>
    <w:rsid w:val="5E25455B"/>
    <w:rsid w:val="5E257CDA"/>
    <w:rsid w:val="5E2773B9"/>
    <w:rsid w:val="5E280F21"/>
    <w:rsid w:val="5E2E4276"/>
    <w:rsid w:val="5E317DD6"/>
    <w:rsid w:val="5E32757F"/>
    <w:rsid w:val="5E340649"/>
    <w:rsid w:val="5E341674"/>
    <w:rsid w:val="5E394EDC"/>
    <w:rsid w:val="5E3B0C54"/>
    <w:rsid w:val="5E3D2C1E"/>
    <w:rsid w:val="5E3E05C5"/>
    <w:rsid w:val="5E4035E7"/>
    <w:rsid w:val="5E417D91"/>
    <w:rsid w:val="5E421FE3"/>
    <w:rsid w:val="5E47151E"/>
    <w:rsid w:val="5E4A533B"/>
    <w:rsid w:val="5E4C1BFF"/>
    <w:rsid w:val="5E510478"/>
    <w:rsid w:val="5E513283"/>
    <w:rsid w:val="5E553C3C"/>
    <w:rsid w:val="5E560F86"/>
    <w:rsid w:val="5E5835B4"/>
    <w:rsid w:val="5E5B30A5"/>
    <w:rsid w:val="5E601DF3"/>
    <w:rsid w:val="5E622F17"/>
    <w:rsid w:val="5E6C7060"/>
    <w:rsid w:val="5E6D45CA"/>
    <w:rsid w:val="5E727BC3"/>
    <w:rsid w:val="5E744819"/>
    <w:rsid w:val="5E745F14"/>
    <w:rsid w:val="5E771B91"/>
    <w:rsid w:val="5E79177D"/>
    <w:rsid w:val="5E7D301B"/>
    <w:rsid w:val="5E84084D"/>
    <w:rsid w:val="5E843372"/>
    <w:rsid w:val="5E8545C5"/>
    <w:rsid w:val="5E8720EC"/>
    <w:rsid w:val="5E8928D8"/>
    <w:rsid w:val="5E8A3ED9"/>
    <w:rsid w:val="5E8C397C"/>
    <w:rsid w:val="5E8E6FD6"/>
    <w:rsid w:val="5E9013CA"/>
    <w:rsid w:val="5E9352AC"/>
    <w:rsid w:val="5E940365"/>
    <w:rsid w:val="5E970D38"/>
    <w:rsid w:val="5E98672D"/>
    <w:rsid w:val="5E987E55"/>
    <w:rsid w:val="5E995363"/>
    <w:rsid w:val="5E9B16F3"/>
    <w:rsid w:val="5EA54320"/>
    <w:rsid w:val="5EA83F26"/>
    <w:rsid w:val="5EA92062"/>
    <w:rsid w:val="5EAB6706"/>
    <w:rsid w:val="5EAC3748"/>
    <w:rsid w:val="5EB058A9"/>
    <w:rsid w:val="5EB10F16"/>
    <w:rsid w:val="5EB50015"/>
    <w:rsid w:val="5EBC4008"/>
    <w:rsid w:val="5EBE5E0D"/>
    <w:rsid w:val="5EC54E5A"/>
    <w:rsid w:val="5EC61DF4"/>
    <w:rsid w:val="5EC62C14"/>
    <w:rsid w:val="5EC703B4"/>
    <w:rsid w:val="5EC95F75"/>
    <w:rsid w:val="5ECB022A"/>
    <w:rsid w:val="5ECB5AC8"/>
    <w:rsid w:val="5ECC5D50"/>
    <w:rsid w:val="5ECE6BE2"/>
    <w:rsid w:val="5ED053D5"/>
    <w:rsid w:val="5ED20ADA"/>
    <w:rsid w:val="5ED35331"/>
    <w:rsid w:val="5ED40CD9"/>
    <w:rsid w:val="5ED64DF7"/>
    <w:rsid w:val="5ED864A3"/>
    <w:rsid w:val="5ED86624"/>
    <w:rsid w:val="5ED87B48"/>
    <w:rsid w:val="5EDB2F17"/>
    <w:rsid w:val="5EDF164B"/>
    <w:rsid w:val="5EDF7832"/>
    <w:rsid w:val="5EE13747"/>
    <w:rsid w:val="5EE50BC0"/>
    <w:rsid w:val="5EE60058"/>
    <w:rsid w:val="5EE906B0"/>
    <w:rsid w:val="5EEC239B"/>
    <w:rsid w:val="5EED460C"/>
    <w:rsid w:val="5EEE5CC7"/>
    <w:rsid w:val="5EEF1388"/>
    <w:rsid w:val="5EF35656"/>
    <w:rsid w:val="5EF46734"/>
    <w:rsid w:val="5EF552A7"/>
    <w:rsid w:val="5EF65637"/>
    <w:rsid w:val="5EFA3B65"/>
    <w:rsid w:val="5F0019ED"/>
    <w:rsid w:val="5F011022"/>
    <w:rsid w:val="5F035266"/>
    <w:rsid w:val="5F037243"/>
    <w:rsid w:val="5F0411EF"/>
    <w:rsid w:val="5F043B70"/>
    <w:rsid w:val="5F0A3279"/>
    <w:rsid w:val="5F0C0871"/>
    <w:rsid w:val="5F176514"/>
    <w:rsid w:val="5F1A1E88"/>
    <w:rsid w:val="5F1A2B43"/>
    <w:rsid w:val="5F1F40D2"/>
    <w:rsid w:val="5F225970"/>
    <w:rsid w:val="5F260504"/>
    <w:rsid w:val="5F2E7A9C"/>
    <w:rsid w:val="5F36141C"/>
    <w:rsid w:val="5F374AA0"/>
    <w:rsid w:val="5F3750DA"/>
    <w:rsid w:val="5F3833E6"/>
    <w:rsid w:val="5F3C1128"/>
    <w:rsid w:val="5F3F29C6"/>
    <w:rsid w:val="5F4032B4"/>
    <w:rsid w:val="5F411581"/>
    <w:rsid w:val="5F461122"/>
    <w:rsid w:val="5F487798"/>
    <w:rsid w:val="5F4A2461"/>
    <w:rsid w:val="5F4B4EC7"/>
    <w:rsid w:val="5F5009D0"/>
    <w:rsid w:val="5F553840"/>
    <w:rsid w:val="5F555D46"/>
    <w:rsid w:val="5F574DB8"/>
    <w:rsid w:val="5F58396C"/>
    <w:rsid w:val="5F5875E4"/>
    <w:rsid w:val="5F5A15AE"/>
    <w:rsid w:val="5F5B401F"/>
    <w:rsid w:val="5F5E197E"/>
    <w:rsid w:val="5F6042E7"/>
    <w:rsid w:val="5F6366B5"/>
    <w:rsid w:val="5F645F89"/>
    <w:rsid w:val="5F675A73"/>
    <w:rsid w:val="5F683CCB"/>
    <w:rsid w:val="5F6845F0"/>
    <w:rsid w:val="5F685A79"/>
    <w:rsid w:val="5F6A0D2F"/>
    <w:rsid w:val="5F6C2523"/>
    <w:rsid w:val="5F6E3F38"/>
    <w:rsid w:val="5F743E5D"/>
    <w:rsid w:val="5F750196"/>
    <w:rsid w:val="5F781A34"/>
    <w:rsid w:val="5F7A57AC"/>
    <w:rsid w:val="5F8B111D"/>
    <w:rsid w:val="5F8C3596"/>
    <w:rsid w:val="5F8D6A23"/>
    <w:rsid w:val="5F9031D8"/>
    <w:rsid w:val="5F97010C"/>
    <w:rsid w:val="5F9920D6"/>
    <w:rsid w:val="5F9B3F6B"/>
    <w:rsid w:val="5F9C73C4"/>
    <w:rsid w:val="5F9E7E57"/>
    <w:rsid w:val="5FA05A10"/>
    <w:rsid w:val="5FA076A8"/>
    <w:rsid w:val="5FA2671A"/>
    <w:rsid w:val="5FA34FD0"/>
    <w:rsid w:val="5FA72CCC"/>
    <w:rsid w:val="5FA832C9"/>
    <w:rsid w:val="5FAA4AF1"/>
    <w:rsid w:val="5FAB0CC9"/>
    <w:rsid w:val="5FAD22C3"/>
    <w:rsid w:val="5FAE1CB2"/>
    <w:rsid w:val="5FAE2D5F"/>
    <w:rsid w:val="5FB0128E"/>
    <w:rsid w:val="5FB140AC"/>
    <w:rsid w:val="5FB16B5C"/>
    <w:rsid w:val="5FB316DD"/>
    <w:rsid w:val="5FB556CB"/>
    <w:rsid w:val="5FB749BB"/>
    <w:rsid w:val="5FB75784"/>
    <w:rsid w:val="5FB837BB"/>
    <w:rsid w:val="5FB84140"/>
    <w:rsid w:val="5FBB029F"/>
    <w:rsid w:val="5FBE7D8F"/>
    <w:rsid w:val="5FC1099A"/>
    <w:rsid w:val="5FC40EB6"/>
    <w:rsid w:val="5FC66C44"/>
    <w:rsid w:val="5FCA6734"/>
    <w:rsid w:val="5FCB2EC9"/>
    <w:rsid w:val="5FCD45FE"/>
    <w:rsid w:val="5FCD7FD2"/>
    <w:rsid w:val="5FCE168D"/>
    <w:rsid w:val="5FCF78A6"/>
    <w:rsid w:val="5FD255E8"/>
    <w:rsid w:val="5FD2665D"/>
    <w:rsid w:val="5FD74386"/>
    <w:rsid w:val="5FD850FB"/>
    <w:rsid w:val="5FDF1381"/>
    <w:rsid w:val="5FE17E55"/>
    <w:rsid w:val="5FE86A3A"/>
    <w:rsid w:val="5FE94095"/>
    <w:rsid w:val="5FEC289C"/>
    <w:rsid w:val="5FF1286A"/>
    <w:rsid w:val="5FF13CC0"/>
    <w:rsid w:val="5FF24416"/>
    <w:rsid w:val="5FF3286F"/>
    <w:rsid w:val="5FF4728A"/>
    <w:rsid w:val="5FF54645"/>
    <w:rsid w:val="5FF61782"/>
    <w:rsid w:val="5FFB64D8"/>
    <w:rsid w:val="60025ECE"/>
    <w:rsid w:val="60031766"/>
    <w:rsid w:val="60050C33"/>
    <w:rsid w:val="600A4D82"/>
    <w:rsid w:val="600B4656"/>
    <w:rsid w:val="600F2399"/>
    <w:rsid w:val="60161979"/>
    <w:rsid w:val="601A7F0D"/>
    <w:rsid w:val="601E3283"/>
    <w:rsid w:val="60235E44"/>
    <w:rsid w:val="60244033"/>
    <w:rsid w:val="60250909"/>
    <w:rsid w:val="602757E9"/>
    <w:rsid w:val="602A0F80"/>
    <w:rsid w:val="602A2D2E"/>
    <w:rsid w:val="602A6FA9"/>
    <w:rsid w:val="602B5B06"/>
    <w:rsid w:val="602F7550"/>
    <w:rsid w:val="60330ADB"/>
    <w:rsid w:val="60341BED"/>
    <w:rsid w:val="60343BAD"/>
    <w:rsid w:val="60366DEB"/>
    <w:rsid w:val="6037544B"/>
    <w:rsid w:val="60377784"/>
    <w:rsid w:val="603839C7"/>
    <w:rsid w:val="60383FDA"/>
    <w:rsid w:val="60387B34"/>
    <w:rsid w:val="603B4F3C"/>
    <w:rsid w:val="6043282E"/>
    <w:rsid w:val="60483AFC"/>
    <w:rsid w:val="604C0EF7"/>
    <w:rsid w:val="604D4C6F"/>
    <w:rsid w:val="60517043"/>
    <w:rsid w:val="6054171F"/>
    <w:rsid w:val="60552F7C"/>
    <w:rsid w:val="60563B24"/>
    <w:rsid w:val="605E5D75"/>
    <w:rsid w:val="605F0156"/>
    <w:rsid w:val="605F08C6"/>
    <w:rsid w:val="60610C48"/>
    <w:rsid w:val="606326E4"/>
    <w:rsid w:val="60632AD8"/>
    <w:rsid w:val="60635562"/>
    <w:rsid w:val="60653243"/>
    <w:rsid w:val="606B06A2"/>
    <w:rsid w:val="606E3563"/>
    <w:rsid w:val="606E42E9"/>
    <w:rsid w:val="606F72DB"/>
    <w:rsid w:val="60725437"/>
    <w:rsid w:val="607314B8"/>
    <w:rsid w:val="607418DA"/>
    <w:rsid w:val="60796DC2"/>
    <w:rsid w:val="607A2BF6"/>
    <w:rsid w:val="607B5B58"/>
    <w:rsid w:val="607C44DA"/>
    <w:rsid w:val="607C7030"/>
    <w:rsid w:val="6082700E"/>
    <w:rsid w:val="60834818"/>
    <w:rsid w:val="60836045"/>
    <w:rsid w:val="60897E0A"/>
    <w:rsid w:val="608A07A5"/>
    <w:rsid w:val="608A1A1F"/>
    <w:rsid w:val="608B0DC0"/>
    <w:rsid w:val="608C5797"/>
    <w:rsid w:val="608D5007"/>
    <w:rsid w:val="609111EF"/>
    <w:rsid w:val="60916BAA"/>
    <w:rsid w:val="60917251"/>
    <w:rsid w:val="6093190F"/>
    <w:rsid w:val="60980B48"/>
    <w:rsid w:val="6098238E"/>
    <w:rsid w:val="60993B99"/>
    <w:rsid w:val="609957CA"/>
    <w:rsid w:val="609A21C6"/>
    <w:rsid w:val="609B66FC"/>
    <w:rsid w:val="609C02D9"/>
    <w:rsid w:val="60A04DA0"/>
    <w:rsid w:val="60A17B22"/>
    <w:rsid w:val="60A22F98"/>
    <w:rsid w:val="60A7401F"/>
    <w:rsid w:val="60A8015D"/>
    <w:rsid w:val="60A81B03"/>
    <w:rsid w:val="60A9029A"/>
    <w:rsid w:val="60AD73B9"/>
    <w:rsid w:val="60B50BCC"/>
    <w:rsid w:val="60B62001"/>
    <w:rsid w:val="60B7266D"/>
    <w:rsid w:val="60B96C17"/>
    <w:rsid w:val="60BA67A8"/>
    <w:rsid w:val="60BF4C0A"/>
    <w:rsid w:val="60C018E5"/>
    <w:rsid w:val="60C07B37"/>
    <w:rsid w:val="60C922BB"/>
    <w:rsid w:val="60CC028A"/>
    <w:rsid w:val="60CC405A"/>
    <w:rsid w:val="60CC7703"/>
    <w:rsid w:val="60CD4073"/>
    <w:rsid w:val="60CD4B9A"/>
    <w:rsid w:val="60CE4806"/>
    <w:rsid w:val="60D13AF2"/>
    <w:rsid w:val="60D27317"/>
    <w:rsid w:val="60D316AF"/>
    <w:rsid w:val="60D4713E"/>
    <w:rsid w:val="60D82A72"/>
    <w:rsid w:val="60D849D7"/>
    <w:rsid w:val="60D930B9"/>
    <w:rsid w:val="60D95146"/>
    <w:rsid w:val="60DA7110"/>
    <w:rsid w:val="60E07891"/>
    <w:rsid w:val="60E23609"/>
    <w:rsid w:val="60E732E5"/>
    <w:rsid w:val="60E92BEA"/>
    <w:rsid w:val="60EB4BB4"/>
    <w:rsid w:val="60EE1FAE"/>
    <w:rsid w:val="60EF7934"/>
    <w:rsid w:val="60F05389"/>
    <w:rsid w:val="60F17CF0"/>
    <w:rsid w:val="60F90E21"/>
    <w:rsid w:val="60FA6BA5"/>
    <w:rsid w:val="60FF339B"/>
    <w:rsid w:val="61001B6B"/>
    <w:rsid w:val="61035059"/>
    <w:rsid w:val="61065D91"/>
    <w:rsid w:val="61077514"/>
    <w:rsid w:val="610A05CF"/>
    <w:rsid w:val="610C68D8"/>
    <w:rsid w:val="61113810"/>
    <w:rsid w:val="61131109"/>
    <w:rsid w:val="61136028"/>
    <w:rsid w:val="61150052"/>
    <w:rsid w:val="61151C31"/>
    <w:rsid w:val="61154900"/>
    <w:rsid w:val="61167757"/>
    <w:rsid w:val="611759A9"/>
    <w:rsid w:val="611811AB"/>
    <w:rsid w:val="61190C6A"/>
    <w:rsid w:val="611B6B1B"/>
    <w:rsid w:val="611C2857"/>
    <w:rsid w:val="611C6A7B"/>
    <w:rsid w:val="611D6675"/>
    <w:rsid w:val="61237025"/>
    <w:rsid w:val="612613ED"/>
    <w:rsid w:val="6126799A"/>
    <w:rsid w:val="612A74C1"/>
    <w:rsid w:val="612C6E2D"/>
    <w:rsid w:val="61314591"/>
    <w:rsid w:val="61360396"/>
    <w:rsid w:val="61380ADF"/>
    <w:rsid w:val="61386654"/>
    <w:rsid w:val="613A51F3"/>
    <w:rsid w:val="613F3EDE"/>
    <w:rsid w:val="61442516"/>
    <w:rsid w:val="61463687"/>
    <w:rsid w:val="614B62CA"/>
    <w:rsid w:val="614B7400"/>
    <w:rsid w:val="614C4F26"/>
    <w:rsid w:val="614D0E51"/>
    <w:rsid w:val="614D5EC2"/>
    <w:rsid w:val="615065E1"/>
    <w:rsid w:val="61573FF7"/>
    <w:rsid w:val="61587D6F"/>
    <w:rsid w:val="615B775E"/>
    <w:rsid w:val="615D3C5C"/>
    <w:rsid w:val="615D6134"/>
    <w:rsid w:val="615F4C5A"/>
    <w:rsid w:val="61671D60"/>
    <w:rsid w:val="616905D4"/>
    <w:rsid w:val="616B1851"/>
    <w:rsid w:val="616F4669"/>
    <w:rsid w:val="61754F5B"/>
    <w:rsid w:val="6176116F"/>
    <w:rsid w:val="6177459A"/>
    <w:rsid w:val="617A1A94"/>
    <w:rsid w:val="617B77E0"/>
    <w:rsid w:val="617B7A74"/>
    <w:rsid w:val="6181388D"/>
    <w:rsid w:val="6182423A"/>
    <w:rsid w:val="61880654"/>
    <w:rsid w:val="618943CD"/>
    <w:rsid w:val="6189617B"/>
    <w:rsid w:val="618A315E"/>
    <w:rsid w:val="618B1868"/>
    <w:rsid w:val="618C16A2"/>
    <w:rsid w:val="618D7A19"/>
    <w:rsid w:val="61935261"/>
    <w:rsid w:val="61994794"/>
    <w:rsid w:val="619A05C2"/>
    <w:rsid w:val="619A5734"/>
    <w:rsid w:val="619F774C"/>
    <w:rsid w:val="61A11DC5"/>
    <w:rsid w:val="61A44D62"/>
    <w:rsid w:val="61A57F07"/>
    <w:rsid w:val="61A70CC0"/>
    <w:rsid w:val="61A84915"/>
    <w:rsid w:val="61A91FD8"/>
    <w:rsid w:val="61AB17AB"/>
    <w:rsid w:val="61AC29D7"/>
    <w:rsid w:val="61AE115F"/>
    <w:rsid w:val="61B50D1E"/>
    <w:rsid w:val="61B83734"/>
    <w:rsid w:val="61BA4586"/>
    <w:rsid w:val="61BB2715"/>
    <w:rsid w:val="61BC24CC"/>
    <w:rsid w:val="61BD2347"/>
    <w:rsid w:val="61BF394A"/>
    <w:rsid w:val="61C0689B"/>
    <w:rsid w:val="61C15914"/>
    <w:rsid w:val="61C3168D"/>
    <w:rsid w:val="61C410F9"/>
    <w:rsid w:val="61C66E59"/>
    <w:rsid w:val="61C85897"/>
    <w:rsid w:val="61CB37C8"/>
    <w:rsid w:val="61CE5D71"/>
    <w:rsid w:val="61D3616D"/>
    <w:rsid w:val="61D472A5"/>
    <w:rsid w:val="61D6728C"/>
    <w:rsid w:val="61D701E7"/>
    <w:rsid w:val="61DA69D6"/>
    <w:rsid w:val="61DC2234"/>
    <w:rsid w:val="61E215D8"/>
    <w:rsid w:val="61E23D5D"/>
    <w:rsid w:val="61EA5852"/>
    <w:rsid w:val="61F21F72"/>
    <w:rsid w:val="61F45CEA"/>
    <w:rsid w:val="61F914A4"/>
    <w:rsid w:val="61FA4982"/>
    <w:rsid w:val="61FB0E26"/>
    <w:rsid w:val="61FF09F1"/>
    <w:rsid w:val="62013F63"/>
    <w:rsid w:val="62045AB6"/>
    <w:rsid w:val="6205092E"/>
    <w:rsid w:val="620677CB"/>
    <w:rsid w:val="620706FA"/>
    <w:rsid w:val="6207597C"/>
    <w:rsid w:val="620A45DB"/>
    <w:rsid w:val="620A72BB"/>
    <w:rsid w:val="620D0B5A"/>
    <w:rsid w:val="620D6DAC"/>
    <w:rsid w:val="620E622B"/>
    <w:rsid w:val="62127F1E"/>
    <w:rsid w:val="62141017"/>
    <w:rsid w:val="62144EC1"/>
    <w:rsid w:val="621625BE"/>
    <w:rsid w:val="62173786"/>
    <w:rsid w:val="62175534"/>
    <w:rsid w:val="62191165"/>
    <w:rsid w:val="62197C87"/>
    <w:rsid w:val="621B3775"/>
    <w:rsid w:val="621B558A"/>
    <w:rsid w:val="621E2D67"/>
    <w:rsid w:val="621E7B3E"/>
    <w:rsid w:val="621F15B7"/>
    <w:rsid w:val="62205C3F"/>
    <w:rsid w:val="62261B07"/>
    <w:rsid w:val="622639C9"/>
    <w:rsid w:val="62265778"/>
    <w:rsid w:val="622814F0"/>
    <w:rsid w:val="62285994"/>
    <w:rsid w:val="62292AFB"/>
    <w:rsid w:val="622A170C"/>
    <w:rsid w:val="62330EBD"/>
    <w:rsid w:val="62342ED8"/>
    <w:rsid w:val="62347E94"/>
    <w:rsid w:val="62364782"/>
    <w:rsid w:val="623F643D"/>
    <w:rsid w:val="624002F3"/>
    <w:rsid w:val="62402F48"/>
    <w:rsid w:val="6243457B"/>
    <w:rsid w:val="62441735"/>
    <w:rsid w:val="62446797"/>
    <w:rsid w:val="62455EA3"/>
    <w:rsid w:val="624668E0"/>
    <w:rsid w:val="62467333"/>
    <w:rsid w:val="624A0763"/>
    <w:rsid w:val="624D0F56"/>
    <w:rsid w:val="624F1172"/>
    <w:rsid w:val="62521A36"/>
    <w:rsid w:val="6256605D"/>
    <w:rsid w:val="62585376"/>
    <w:rsid w:val="625D5417"/>
    <w:rsid w:val="626420B1"/>
    <w:rsid w:val="62642590"/>
    <w:rsid w:val="62645578"/>
    <w:rsid w:val="626C770B"/>
    <w:rsid w:val="626D784A"/>
    <w:rsid w:val="626F06E7"/>
    <w:rsid w:val="62712E97"/>
    <w:rsid w:val="62717B6B"/>
    <w:rsid w:val="627666FF"/>
    <w:rsid w:val="62775FD3"/>
    <w:rsid w:val="62783DE2"/>
    <w:rsid w:val="6280757E"/>
    <w:rsid w:val="62885B17"/>
    <w:rsid w:val="628A5999"/>
    <w:rsid w:val="628C2FAE"/>
    <w:rsid w:val="6291281B"/>
    <w:rsid w:val="62943029"/>
    <w:rsid w:val="629A2BEB"/>
    <w:rsid w:val="629E5BFD"/>
    <w:rsid w:val="62A36DC8"/>
    <w:rsid w:val="62A414BE"/>
    <w:rsid w:val="62A74B0A"/>
    <w:rsid w:val="62A80031"/>
    <w:rsid w:val="62A84F30"/>
    <w:rsid w:val="62AA0157"/>
    <w:rsid w:val="62AA45FB"/>
    <w:rsid w:val="62AB0025"/>
    <w:rsid w:val="62AD216F"/>
    <w:rsid w:val="62AF5054"/>
    <w:rsid w:val="62B17D06"/>
    <w:rsid w:val="62B247EF"/>
    <w:rsid w:val="62B45F2D"/>
    <w:rsid w:val="62B47227"/>
    <w:rsid w:val="62B670EF"/>
    <w:rsid w:val="62B87406"/>
    <w:rsid w:val="62B92A90"/>
    <w:rsid w:val="62BB6808"/>
    <w:rsid w:val="62BC53CC"/>
    <w:rsid w:val="62BF3972"/>
    <w:rsid w:val="62C11704"/>
    <w:rsid w:val="62CA6A4B"/>
    <w:rsid w:val="62CB60B2"/>
    <w:rsid w:val="62CD3B95"/>
    <w:rsid w:val="62D00CA9"/>
    <w:rsid w:val="62D022B3"/>
    <w:rsid w:val="62D36191"/>
    <w:rsid w:val="62D44271"/>
    <w:rsid w:val="62D553DB"/>
    <w:rsid w:val="62D71CF6"/>
    <w:rsid w:val="62D87CA3"/>
    <w:rsid w:val="62D97F19"/>
    <w:rsid w:val="62DB15BE"/>
    <w:rsid w:val="62DF24F6"/>
    <w:rsid w:val="62DF2A10"/>
    <w:rsid w:val="62E4791A"/>
    <w:rsid w:val="62EC717B"/>
    <w:rsid w:val="62EE2739"/>
    <w:rsid w:val="62F260C5"/>
    <w:rsid w:val="62F40B35"/>
    <w:rsid w:val="62F53AC8"/>
    <w:rsid w:val="62F608E0"/>
    <w:rsid w:val="62FB00A1"/>
    <w:rsid w:val="62FD21E2"/>
    <w:rsid w:val="63050B9E"/>
    <w:rsid w:val="63063A5A"/>
    <w:rsid w:val="630842EB"/>
    <w:rsid w:val="63086620"/>
    <w:rsid w:val="63097473"/>
    <w:rsid w:val="630979F2"/>
    <w:rsid w:val="630C6B33"/>
    <w:rsid w:val="630D3B14"/>
    <w:rsid w:val="630E529D"/>
    <w:rsid w:val="630E5A38"/>
    <w:rsid w:val="630F445E"/>
    <w:rsid w:val="6312021D"/>
    <w:rsid w:val="6312345B"/>
    <w:rsid w:val="631303F2"/>
    <w:rsid w:val="63177590"/>
    <w:rsid w:val="631C3BFA"/>
    <w:rsid w:val="631D4DCC"/>
    <w:rsid w:val="63212038"/>
    <w:rsid w:val="632342B4"/>
    <w:rsid w:val="63287D89"/>
    <w:rsid w:val="632C14B3"/>
    <w:rsid w:val="632C6DAD"/>
    <w:rsid w:val="63317DA0"/>
    <w:rsid w:val="633704E6"/>
    <w:rsid w:val="633D096D"/>
    <w:rsid w:val="633F431B"/>
    <w:rsid w:val="633F4D43"/>
    <w:rsid w:val="6348429B"/>
    <w:rsid w:val="634B654C"/>
    <w:rsid w:val="63516AC1"/>
    <w:rsid w:val="63525E06"/>
    <w:rsid w:val="63563F69"/>
    <w:rsid w:val="635C3B47"/>
    <w:rsid w:val="635C4E42"/>
    <w:rsid w:val="635E3171"/>
    <w:rsid w:val="6367429A"/>
    <w:rsid w:val="636A5648"/>
    <w:rsid w:val="636C18B0"/>
    <w:rsid w:val="636F29B8"/>
    <w:rsid w:val="63707018"/>
    <w:rsid w:val="6372336A"/>
    <w:rsid w:val="63743970"/>
    <w:rsid w:val="63791BE8"/>
    <w:rsid w:val="637A221F"/>
    <w:rsid w:val="637B7DB8"/>
    <w:rsid w:val="637D21CC"/>
    <w:rsid w:val="637D22FD"/>
    <w:rsid w:val="637E3465"/>
    <w:rsid w:val="63812FF0"/>
    <w:rsid w:val="63815F3A"/>
    <w:rsid w:val="6386012C"/>
    <w:rsid w:val="638B13D4"/>
    <w:rsid w:val="638B442C"/>
    <w:rsid w:val="638E5F67"/>
    <w:rsid w:val="639139A2"/>
    <w:rsid w:val="639323CE"/>
    <w:rsid w:val="63942CC3"/>
    <w:rsid w:val="6394356A"/>
    <w:rsid w:val="63977A54"/>
    <w:rsid w:val="63984453"/>
    <w:rsid w:val="639855BD"/>
    <w:rsid w:val="63997285"/>
    <w:rsid w:val="639A641D"/>
    <w:rsid w:val="639B412F"/>
    <w:rsid w:val="63A269FA"/>
    <w:rsid w:val="63A86D8C"/>
    <w:rsid w:val="63AB1E78"/>
    <w:rsid w:val="63AE4652"/>
    <w:rsid w:val="63B23767"/>
    <w:rsid w:val="63B53257"/>
    <w:rsid w:val="63B9468A"/>
    <w:rsid w:val="63BA6ABF"/>
    <w:rsid w:val="63BA7D82"/>
    <w:rsid w:val="63BB4B1B"/>
    <w:rsid w:val="63BD6ED1"/>
    <w:rsid w:val="63C17E4E"/>
    <w:rsid w:val="63C61B2C"/>
    <w:rsid w:val="63C67A48"/>
    <w:rsid w:val="63C86C56"/>
    <w:rsid w:val="63C96D02"/>
    <w:rsid w:val="63CB4828"/>
    <w:rsid w:val="63CC46EB"/>
    <w:rsid w:val="63D00715"/>
    <w:rsid w:val="63D40BE9"/>
    <w:rsid w:val="63D50868"/>
    <w:rsid w:val="63D602BF"/>
    <w:rsid w:val="63DB5069"/>
    <w:rsid w:val="63DD455C"/>
    <w:rsid w:val="63DE51D5"/>
    <w:rsid w:val="63E43B3C"/>
    <w:rsid w:val="63E771A6"/>
    <w:rsid w:val="63E8408E"/>
    <w:rsid w:val="63E950CE"/>
    <w:rsid w:val="63EC6038"/>
    <w:rsid w:val="63EF2F4B"/>
    <w:rsid w:val="63F03B24"/>
    <w:rsid w:val="63F57AF7"/>
    <w:rsid w:val="63FD601E"/>
    <w:rsid w:val="64002371"/>
    <w:rsid w:val="64033FC2"/>
    <w:rsid w:val="64035543"/>
    <w:rsid w:val="640815D9"/>
    <w:rsid w:val="64085A7D"/>
    <w:rsid w:val="6408782B"/>
    <w:rsid w:val="640970FF"/>
    <w:rsid w:val="640A436D"/>
    <w:rsid w:val="640E2967"/>
    <w:rsid w:val="64102431"/>
    <w:rsid w:val="64114FE8"/>
    <w:rsid w:val="6411790A"/>
    <w:rsid w:val="641238BC"/>
    <w:rsid w:val="64152099"/>
    <w:rsid w:val="64157753"/>
    <w:rsid w:val="641B0572"/>
    <w:rsid w:val="641D5F41"/>
    <w:rsid w:val="641E7392"/>
    <w:rsid w:val="64202BDA"/>
    <w:rsid w:val="64260047"/>
    <w:rsid w:val="64265F03"/>
    <w:rsid w:val="64267CB1"/>
    <w:rsid w:val="64281C7B"/>
    <w:rsid w:val="64283A29"/>
    <w:rsid w:val="64292F48"/>
    <w:rsid w:val="642B27EA"/>
    <w:rsid w:val="642C6BC4"/>
    <w:rsid w:val="64300B94"/>
    <w:rsid w:val="64353139"/>
    <w:rsid w:val="64391096"/>
    <w:rsid w:val="643C5726"/>
    <w:rsid w:val="644022F7"/>
    <w:rsid w:val="644345A9"/>
    <w:rsid w:val="64437279"/>
    <w:rsid w:val="644545DB"/>
    <w:rsid w:val="64461D86"/>
    <w:rsid w:val="644840CB"/>
    <w:rsid w:val="64495ECB"/>
    <w:rsid w:val="644B46DD"/>
    <w:rsid w:val="644B74EE"/>
    <w:rsid w:val="644E39B1"/>
    <w:rsid w:val="64520B2B"/>
    <w:rsid w:val="645250E3"/>
    <w:rsid w:val="645442A7"/>
    <w:rsid w:val="64552344"/>
    <w:rsid w:val="645760BC"/>
    <w:rsid w:val="645816B0"/>
    <w:rsid w:val="645853BD"/>
    <w:rsid w:val="645C36D2"/>
    <w:rsid w:val="645D28B7"/>
    <w:rsid w:val="646021D3"/>
    <w:rsid w:val="646B0C32"/>
    <w:rsid w:val="646C079B"/>
    <w:rsid w:val="647567A3"/>
    <w:rsid w:val="64766A36"/>
    <w:rsid w:val="647732ED"/>
    <w:rsid w:val="64782ECE"/>
    <w:rsid w:val="647A561F"/>
    <w:rsid w:val="647E00C9"/>
    <w:rsid w:val="647E7AED"/>
    <w:rsid w:val="64802227"/>
    <w:rsid w:val="6481066E"/>
    <w:rsid w:val="64821043"/>
    <w:rsid w:val="64830FFF"/>
    <w:rsid w:val="6487736D"/>
    <w:rsid w:val="648D1ADE"/>
    <w:rsid w:val="64917820"/>
    <w:rsid w:val="64947B60"/>
    <w:rsid w:val="6499288C"/>
    <w:rsid w:val="649F75B2"/>
    <w:rsid w:val="64A03E97"/>
    <w:rsid w:val="64A04A37"/>
    <w:rsid w:val="64A20231"/>
    <w:rsid w:val="64A4738B"/>
    <w:rsid w:val="64A5243A"/>
    <w:rsid w:val="64A8358B"/>
    <w:rsid w:val="64A84B6A"/>
    <w:rsid w:val="64AA3487"/>
    <w:rsid w:val="64AC28AC"/>
    <w:rsid w:val="64AC4960"/>
    <w:rsid w:val="64AD0CB0"/>
    <w:rsid w:val="64AD25BC"/>
    <w:rsid w:val="64AD3F2E"/>
    <w:rsid w:val="64AF5EF8"/>
    <w:rsid w:val="64B71F8D"/>
    <w:rsid w:val="64BF2B1F"/>
    <w:rsid w:val="64BF5413"/>
    <w:rsid w:val="64BF6946"/>
    <w:rsid w:val="64C4562D"/>
    <w:rsid w:val="64C574CA"/>
    <w:rsid w:val="64C73242"/>
    <w:rsid w:val="64C758A0"/>
    <w:rsid w:val="64C95DD2"/>
    <w:rsid w:val="64CA0F84"/>
    <w:rsid w:val="64CA1330"/>
    <w:rsid w:val="64CE7CB1"/>
    <w:rsid w:val="64D12215"/>
    <w:rsid w:val="64D75F6D"/>
    <w:rsid w:val="64D9119F"/>
    <w:rsid w:val="64E00027"/>
    <w:rsid w:val="64E22990"/>
    <w:rsid w:val="64E5027A"/>
    <w:rsid w:val="64E5191A"/>
    <w:rsid w:val="64EB1957"/>
    <w:rsid w:val="64EE4C72"/>
    <w:rsid w:val="64EE6A20"/>
    <w:rsid w:val="64EF1EA3"/>
    <w:rsid w:val="64F2779B"/>
    <w:rsid w:val="64F366D3"/>
    <w:rsid w:val="64F531DE"/>
    <w:rsid w:val="64F7551F"/>
    <w:rsid w:val="64FB113D"/>
    <w:rsid w:val="64FF16AF"/>
    <w:rsid w:val="64FF4EB2"/>
    <w:rsid w:val="65045E61"/>
    <w:rsid w:val="650518B8"/>
    <w:rsid w:val="65075D34"/>
    <w:rsid w:val="650C1B5F"/>
    <w:rsid w:val="650C6B80"/>
    <w:rsid w:val="65112AD9"/>
    <w:rsid w:val="651134FE"/>
    <w:rsid w:val="6513470D"/>
    <w:rsid w:val="65152E06"/>
    <w:rsid w:val="65165F77"/>
    <w:rsid w:val="65197BF3"/>
    <w:rsid w:val="651A2071"/>
    <w:rsid w:val="651B4767"/>
    <w:rsid w:val="65206C7A"/>
    <w:rsid w:val="652203B7"/>
    <w:rsid w:val="6522491C"/>
    <w:rsid w:val="6523128F"/>
    <w:rsid w:val="652361D8"/>
    <w:rsid w:val="65252F6E"/>
    <w:rsid w:val="65267BE6"/>
    <w:rsid w:val="65270BAA"/>
    <w:rsid w:val="65293EFC"/>
    <w:rsid w:val="652A5940"/>
    <w:rsid w:val="652D11A4"/>
    <w:rsid w:val="652D5FC8"/>
    <w:rsid w:val="65314B5F"/>
    <w:rsid w:val="6531690D"/>
    <w:rsid w:val="65336B29"/>
    <w:rsid w:val="65373578"/>
    <w:rsid w:val="65385A2C"/>
    <w:rsid w:val="653B6433"/>
    <w:rsid w:val="654235D8"/>
    <w:rsid w:val="65455BC9"/>
    <w:rsid w:val="65462EEE"/>
    <w:rsid w:val="65470910"/>
    <w:rsid w:val="65474919"/>
    <w:rsid w:val="65486E00"/>
    <w:rsid w:val="65494F1F"/>
    <w:rsid w:val="654C1999"/>
    <w:rsid w:val="655232BF"/>
    <w:rsid w:val="65546FD9"/>
    <w:rsid w:val="65550299"/>
    <w:rsid w:val="655A3BDC"/>
    <w:rsid w:val="655B2CBD"/>
    <w:rsid w:val="655D7702"/>
    <w:rsid w:val="656011CF"/>
    <w:rsid w:val="656120AC"/>
    <w:rsid w:val="65626912"/>
    <w:rsid w:val="656657BF"/>
    <w:rsid w:val="65673DFA"/>
    <w:rsid w:val="656B033C"/>
    <w:rsid w:val="656B62C3"/>
    <w:rsid w:val="656D5F2F"/>
    <w:rsid w:val="656E190F"/>
    <w:rsid w:val="656E7B61"/>
    <w:rsid w:val="65726E67"/>
    <w:rsid w:val="65735178"/>
    <w:rsid w:val="657A02DE"/>
    <w:rsid w:val="657A5A7A"/>
    <w:rsid w:val="657A6CE5"/>
    <w:rsid w:val="657F1D6E"/>
    <w:rsid w:val="65836DB6"/>
    <w:rsid w:val="6585152C"/>
    <w:rsid w:val="658B6A29"/>
    <w:rsid w:val="659535FD"/>
    <w:rsid w:val="659603DE"/>
    <w:rsid w:val="659A2704"/>
    <w:rsid w:val="65A05841"/>
    <w:rsid w:val="65A11CE5"/>
    <w:rsid w:val="65A610A9"/>
    <w:rsid w:val="65AB2B63"/>
    <w:rsid w:val="65AC068A"/>
    <w:rsid w:val="65AE7618"/>
    <w:rsid w:val="65B31A18"/>
    <w:rsid w:val="65B5753E"/>
    <w:rsid w:val="65B735DB"/>
    <w:rsid w:val="65BD7140"/>
    <w:rsid w:val="65C154B0"/>
    <w:rsid w:val="65C6384A"/>
    <w:rsid w:val="65C85F2C"/>
    <w:rsid w:val="65CE66F4"/>
    <w:rsid w:val="65D22476"/>
    <w:rsid w:val="65D47220"/>
    <w:rsid w:val="65D774B5"/>
    <w:rsid w:val="65DC4ACB"/>
    <w:rsid w:val="65DF586F"/>
    <w:rsid w:val="65E050D0"/>
    <w:rsid w:val="65E13FD5"/>
    <w:rsid w:val="65E150A0"/>
    <w:rsid w:val="65E16585"/>
    <w:rsid w:val="65E25E59"/>
    <w:rsid w:val="65E32A0F"/>
    <w:rsid w:val="65EB1A2F"/>
    <w:rsid w:val="65EE47FE"/>
    <w:rsid w:val="65F21F0D"/>
    <w:rsid w:val="65F40DEE"/>
    <w:rsid w:val="65FA1E72"/>
    <w:rsid w:val="65FC7A31"/>
    <w:rsid w:val="65FE120F"/>
    <w:rsid w:val="65FE301B"/>
    <w:rsid w:val="65FE7A26"/>
    <w:rsid w:val="66001361"/>
    <w:rsid w:val="66014531"/>
    <w:rsid w:val="66037442"/>
    <w:rsid w:val="66061CF7"/>
    <w:rsid w:val="66067D9A"/>
    <w:rsid w:val="66081D64"/>
    <w:rsid w:val="660B1854"/>
    <w:rsid w:val="660B3602"/>
    <w:rsid w:val="660C57F8"/>
    <w:rsid w:val="6613121F"/>
    <w:rsid w:val="661B1239"/>
    <w:rsid w:val="661F4B88"/>
    <w:rsid w:val="66274EB0"/>
    <w:rsid w:val="6629061B"/>
    <w:rsid w:val="66292655"/>
    <w:rsid w:val="662A13C9"/>
    <w:rsid w:val="662A1A05"/>
    <w:rsid w:val="662D17CA"/>
    <w:rsid w:val="662D40D0"/>
    <w:rsid w:val="663408F8"/>
    <w:rsid w:val="6637279C"/>
    <w:rsid w:val="66380E6B"/>
    <w:rsid w:val="663A7A43"/>
    <w:rsid w:val="66415276"/>
    <w:rsid w:val="66456372"/>
    <w:rsid w:val="66467922"/>
    <w:rsid w:val="66472ED5"/>
    <w:rsid w:val="664C5EC6"/>
    <w:rsid w:val="664E3472"/>
    <w:rsid w:val="664F1741"/>
    <w:rsid w:val="66516547"/>
    <w:rsid w:val="66533D2C"/>
    <w:rsid w:val="66540B05"/>
    <w:rsid w:val="665511D7"/>
    <w:rsid w:val="665925BF"/>
    <w:rsid w:val="665B30FC"/>
    <w:rsid w:val="665E22B4"/>
    <w:rsid w:val="665F67C1"/>
    <w:rsid w:val="666028A7"/>
    <w:rsid w:val="6660596B"/>
    <w:rsid w:val="666176C6"/>
    <w:rsid w:val="66644AC0"/>
    <w:rsid w:val="666B22F3"/>
    <w:rsid w:val="666B5A94"/>
    <w:rsid w:val="666F30B6"/>
    <w:rsid w:val="66704101"/>
    <w:rsid w:val="66716295"/>
    <w:rsid w:val="66732202"/>
    <w:rsid w:val="66735E69"/>
    <w:rsid w:val="667C005C"/>
    <w:rsid w:val="66807B4C"/>
    <w:rsid w:val="6685272F"/>
    <w:rsid w:val="668922D2"/>
    <w:rsid w:val="668A2256"/>
    <w:rsid w:val="668C62E3"/>
    <w:rsid w:val="668D4017"/>
    <w:rsid w:val="668E212E"/>
    <w:rsid w:val="668F7D3D"/>
    <w:rsid w:val="6693338F"/>
    <w:rsid w:val="66973557"/>
    <w:rsid w:val="66990C0E"/>
    <w:rsid w:val="6699475A"/>
    <w:rsid w:val="669971F6"/>
    <w:rsid w:val="669A6691"/>
    <w:rsid w:val="669D38A0"/>
    <w:rsid w:val="669E7FD2"/>
    <w:rsid w:val="669F3493"/>
    <w:rsid w:val="669F3508"/>
    <w:rsid w:val="66A4637F"/>
    <w:rsid w:val="66A51495"/>
    <w:rsid w:val="66A55805"/>
    <w:rsid w:val="66A84677"/>
    <w:rsid w:val="66AF21DF"/>
    <w:rsid w:val="66B37AF6"/>
    <w:rsid w:val="66B71094"/>
    <w:rsid w:val="66B76D00"/>
    <w:rsid w:val="66B91406"/>
    <w:rsid w:val="66B926C9"/>
    <w:rsid w:val="66B9305E"/>
    <w:rsid w:val="66C537B1"/>
    <w:rsid w:val="66C6538E"/>
    <w:rsid w:val="66C83922"/>
    <w:rsid w:val="66CD329D"/>
    <w:rsid w:val="66DB4D83"/>
    <w:rsid w:val="66E14363"/>
    <w:rsid w:val="66E26535"/>
    <w:rsid w:val="66E406BC"/>
    <w:rsid w:val="66E67A63"/>
    <w:rsid w:val="66E75E1D"/>
    <w:rsid w:val="66EE4BBD"/>
    <w:rsid w:val="66EF7B08"/>
    <w:rsid w:val="66F347C2"/>
    <w:rsid w:val="66F637A8"/>
    <w:rsid w:val="66F7663D"/>
    <w:rsid w:val="66F83B86"/>
    <w:rsid w:val="66FD66F7"/>
    <w:rsid w:val="66FE1E6C"/>
    <w:rsid w:val="670047E9"/>
    <w:rsid w:val="670365D8"/>
    <w:rsid w:val="67043F12"/>
    <w:rsid w:val="67097D5F"/>
    <w:rsid w:val="670A5668"/>
    <w:rsid w:val="6712775C"/>
    <w:rsid w:val="67145E8F"/>
    <w:rsid w:val="67146646"/>
    <w:rsid w:val="67146B4F"/>
    <w:rsid w:val="6715345B"/>
    <w:rsid w:val="671A7C95"/>
    <w:rsid w:val="671D192D"/>
    <w:rsid w:val="671F124A"/>
    <w:rsid w:val="672106E4"/>
    <w:rsid w:val="67220C03"/>
    <w:rsid w:val="672521AF"/>
    <w:rsid w:val="672524A2"/>
    <w:rsid w:val="67253585"/>
    <w:rsid w:val="67283DE8"/>
    <w:rsid w:val="672C4FB7"/>
    <w:rsid w:val="67357E07"/>
    <w:rsid w:val="673C3346"/>
    <w:rsid w:val="673D4944"/>
    <w:rsid w:val="673E0392"/>
    <w:rsid w:val="674023FF"/>
    <w:rsid w:val="67404438"/>
    <w:rsid w:val="67406A5C"/>
    <w:rsid w:val="674419F6"/>
    <w:rsid w:val="674522B1"/>
    <w:rsid w:val="67452B44"/>
    <w:rsid w:val="67452E4F"/>
    <w:rsid w:val="67471FF4"/>
    <w:rsid w:val="674768BC"/>
    <w:rsid w:val="67483637"/>
    <w:rsid w:val="674A1F08"/>
    <w:rsid w:val="674B2CAE"/>
    <w:rsid w:val="674C29A0"/>
    <w:rsid w:val="674D0098"/>
    <w:rsid w:val="67513297"/>
    <w:rsid w:val="67521CAD"/>
    <w:rsid w:val="675601A5"/>
    <w:rsid w:val="67562C48"/>
    <w:rsid w:val="675827E2"/>
    <w:rsid w:val="6759039D"/>
    <w:rsid w:val="675E413D"/>
    <w:rsid w:val="67655A94"/>
    <w:rsid w:val="67672ABA"/>
    <w:rsid w:val="676E2501"/>
    <w:rsid w:val="6775516C"/>
    <w:rsid w:val="67786A75"/>
    <w:rsid w:val="677913B4"/>
    <w:rsid w:val="677A33C6"/>
    <w:rsid w:val="677C37D9"/>
    <w:rsid w:val="677C4F08"/>
    <w:rsid w:val="67830BE8"/>
    <w:rsid w:val="67831CEE"/>
    <w:rsid w:val="67831E17"/>
    <w:rsid w:val="678675B4"/>
    <w:rsid w:val="67871AEB"/>
    <w:rsid w:val="679030DF"/>
    <w:rsid w:val="6792143E"/>
    <w:rsid w:val="67934BBC"/>
    <w:rsid w:val="67966F51"/>
    <w:rsid w:val="679C303A"/>
    <w:rsid w:val="679D028A"/>
    <w:rsid w:val="679D64DC"/>
    <w:rsid w:val="679D7C08"/>
    <w:rsid w:val="67A37676"/>
    <w:rsid w:val="67A45ABC"/>
    <w:rsid w:val="67A55390"/>
    <w:rsid w:val="67A67DA6"/>
    <w:rsid w:val="67A8790D"/>
    <w:rsid w:val="67A9795B"/>
    <w:rsid w:val="67AA2D6E"/>
    <w:rsid w:val="67AC671F"/>
    <w:rsid w:val="67AD3AB8"/>
    <w:rsid w:val="67AD4C6F"/>
    <w:rsid w:val="67B34E7A"/>
    <w:rsid w:val="67B47729"/>
    <w:rsid w:val="67B616A6"/>
    <w:rsid w:val="67B63F5A"/>
    <w:rsid w:val="67B6759E"/>
    <w:rsid w:val="67BA708E"/>
    <w:rsid w:val="67BB1FA3"/>
    <w:rsid w:val="67BB6F86"/>
    <w:rsid w:val="67BC1058"/>
    <w:rsid w:val="67BD26DA"/>
    <w:rsid w:val="67BF28F6"/>
    <w:rsid w:val="67BF4BE8"/>
    <w:rsid w:val="67C33CC6"/>
    <w:rsid w:val="67C44955"/>
    <w:rsid w:val="67C62AE7"/>
    <w:rsid w:val="67C96A5E"/>
    <w:rsid w:val="67CA375D"/>
    <w:rsid w:val="67CC6DC1"/>
    <w:rsid w:val="67CE07A0"/>
    <w:rsid w:val="67CF04D5"/>
    <w:rsid w:val="67D059A1"/>
    <w:rsid w:val="67D11D32"/>
    <w:rsid w:val="67D247B3"/>
    <w:rsid w:val="67D65090"/>
    <w:rsid w:val="67D75E41"/>
    <w:rsid w:val="67DD37C6"/>
    <w:rsid w:val="67DF6AF4"/>
    <w:rsid w:val="67E036EA"/>
    <w:rsid w:val="67E70F71"/>
    <w:rsid w:val="67EC296B"/>
    <w:rsid w:val="67ED1140"/>
    <w:rsid w:val="67ED3C9D"/>
    <w:rsid w:val="67EE6FFE"/>
    <w:rsid w:val="67F00162"/>
    <w:rsid w:val="67F124B7"/>
    <w:rsid w:val="67F56318"/>
    <w:rsid w:val="67F867D3"/>
    <w:rsid w:val="67FB3173"/>
    <w:rsid w:val="67FC3B0F"/>
    <w:rsid w:val="68004140"/>
    <w:rsid w:val="68015939"/>
    <w:rsid w:val="68085321"/>
    <w:rsid w:val="68102658"/>
    <w:rsid w:val="681816C1"/>
    <w:rsid w:val="68184566"/>
    <w:rsid w:val="68191180"/>
    <w:rsid w:val="681A7C59"/>
    <w:rsid w:val="681D13CB"/>
    <w:rsid w:val="681E1FDF"/>
    <w:rsid w:val="681F6961"/>
    <w:rsid w:val="68225C25"/>
    <w:rsid w:val="68242759"/>
    <w:rsid w:val="6825056E"/>
    <w:rsid w:val="68262977"/>
    <w:rsid w:val="682664D1"/>
    <w:rsid w:val="682A1294"/>
    <w:rsid w:val="682A1F61"/>
    <w:rsid w:val="682C160E"/>
    <w:rsid w:val="682C725F"/>
    <w:rsid w:val="682E4552"/>
    <w:rsid w:val="682F3798"/>
    <w:rsid w:val="683055A2"/>
    <w:rsid w:val="68314B57"/>
    <w:rsid w:val="683673BF"/>
    <w:rsid w:val="683922E1"/>
    <w:rsid w:val="683A1F7D"/>
    <w:rsid w:val="683A3A89"/>
    <w:rsid w:val="683B1AD0"/>
    <w:rsid w:val="683B719E"/>
    <w:rsid w:val="683E45C5"/>
    <w:rsid w:val="6841155D"/>
    <w:rsid w:val="68412033"/>
    <w:rsid w:val="684253A8"/>
    <w:rsid w:val="68426B85"/>
    <w:rsid w:val="68464DC5"/>
    <w:rsid w:val="68472D2E"/>
    <w:rsid w:val="68484494"/>
    <w:rsid w:val="684B418A"/>
    <w:rsid w:val="684E3D56"/>
    <w:rsid w:val="6852376A"/>
    <w:rsid w:val="685D21D2"/>
    <w:rsid w:val="685D462E"/>
    <w:rsid w:val="68601FBF"/>
    <w:rsid w:val="68610A2F"/>
    <w:rsid w:val="6865349E"/>
    <w:rsid w:val="686B482C"/>
    <w:rsid w:val="686C6FA0"/>
    <w:rsid w:val="686F74D7"/>
    <w:rsid w:val="687436E1"/>
    <w:rsid w:val="6874548F"/>
    <w:rsid w:val="6874733D"/>
    <w:rsid w:val="687A681D"/>
    <w:rsid w:val="687B2915"/>
    <w:rsid w:val="687E4E96"/>
    <w:rsid w:val="687F0FF1"/>
    <w:rsid w:val="687F1367"/>
    <w:rsid w:val="687F2EC8"/>
    <w:rsid w:val="687F5BE1"/>
    <w:rsid w:val="68805514"/>
    <w:rsid w:val="6884144A"/>
    <w:rsid w:val="6885705A"/>
    <w:rsid w:val="688608DD"/>
    <w:rsid w:val="688660C0"/>
    <w:rsid w:val="68895E55"/>
    <w:rsid w:val="688B0A2A"/>
    <w:rsid w:val="688B17FA"/>
    <w:rsid w:val="688C5755"/>
    <w:rsid w:val="688D6550"/>
    <w:rsid w:val="688E0D98"/>
    <w:rsid w:val="68922DFD"/>
    <w:rsid w:val="68925915"/>
    <w:rsid w:val="689478DF"/>
    <w:rsid w:val="689618A9"/>
    <w:rsid w:val="68975621"/>
    <w:rsid w:val="689B5E52"/>
    <w:rsid w:val="689E6570"/>
    <w:rsid w:val="68A14B41"/>
    <w:rsid w:val="68A645A0"/>
    <w:rsid w:val="68AB5FEB"/>
    <w:rsid w:val="68AD3BC0"/>
    <w:rsid w:val="68AF2EEB"/>
    <w:rsid w:val="68B26F25"/>
    <w:rsid w:val="68B31E9D"/>
    <w:rsid w:val="68B569F5"/>
    <w:rsid w:val="68B73708"/>
    <w:rsid w:val="68B967E8"/>
    <w:rsid w:val="68BB258E"/>
    <w:rsid w:val="68BB58FC"/>
    <w:rsid w:val="68BD0027"/>
    <w:rsid w:val="68BD2E8E"/>
    <w:rsid w:val="68BD6144"/>
    <w:rsid w:val="68C06216"/>
    <w:rsid w:val="68C31F72"/>
    <w:rsid w:val="68C91109"/>
    <w:rsid w:val="68C958EA"/>
    <w:rsid w:val="68D128E1"/>
    <w:rsid w:val="68D44F7E"/>
    <w:rsid w:val="68D73C6F"/>
    <w:rsid w:val="68D80C80"/>
    <w:rsid w:val="68D856E5"/>
    <w:rsid w:val="68E02B24"/>
    <w:rsid w:val="68E23675"/>
    <w:rsid w:val="68E50078"/>
    <w:rsid w:val="68EB3277"/>
    <w:rsid w:val="68EC7375"/>
    <w:rsid w:val="68EC7C8D"/>
    <w:rsid w:val="68ED3493"/>
    <w:rsid w:val="68ED3690"/>
    <w:rsid w:val="68F760C0"/>
    <w:rsid w:val="68F76B14"/>
    <w:rsid w:val="68F7752F"/>
    <w:rsid w:val="68FC014D"/>
    <w:rsid w:val="69027E44"/>
    <w:rsid w:val="690B7B13"/>
    <w:rsid w:val="690C5BC8"/>
    <w:rsid w:val="690E1FDD"/>
    <w:rsid w:val="690E58E3"/>
    <w:rsid w:val="691314C2"/>
    <w:rsid w:val="69133070"/>
    <w:rsid w:val="69147452"/>
    <w:rsid w:val="691B7C74"/>
    <w:rsid w:val="691F1C81"/>
    <w:rsid w:val="69201173"/>
    <w:rsid w:val="69221077"/>
    <w:rsid w:val="69270753"/>
    <w:rsid w:val="692C5FB8"/>
    <w:rsid w:val="692F13B6"/>
    <w:rsid w:val="693041EE"/>
    <w:rsid w:val="6931512E"/>
    <w:rsid w:val="69316E2F"/>
    <w:rsid w:val="69336C29"/>
    <w:rsid w:val="693370F8"/>
    <w:rsid w:val="69362744"/>
    <w:rsid w:val="693766F7"/>
    <w:rsid w:val="6938470E"/>
    <w:rsid w:val="69395AAB"/>
    <w:rsid w:val="693A568C"/>
    <w:rsid w:val="69404983"/>
    <w:rsid w:val="6942196E"/>
    <w:rsid w:val="69432F0E"/>
    <w:rsid w:val="69482CF9"/>
    <w:rsid w:val="694A444C"/>
    <w:rsid w:val="694E02AE"/>
    <w:rsid w:val="694E2071"/>
    <w:rsid w:val="694F62D8"/>
    <w:rsid w:val="695312C2"/>
    <w:rsid w:val="69543512"/>
    <w:rsid w:val="69552608"/>
    <w:rsid w:val="69587093"/>
    <w:rsid w:val="695928D6"/>
    <w:rsid w:val="695A7844"/>
    <w:rsid w:val="695E18E7"/>
    <w:rsid w:val="695F7E9D"/>
    <w:rsid w:val="69603C65"/>
    <w:rsid w:val="69661A43"/>
    <w:rsid w:val="69676DA1"/>
    <w:rsid w:val="6968119D"/>
    <w:rsid w:val="696F20FA"/>
    <w:rsid w:val="697061B2"/>
    <w:rsid w:val="69717C20"/>
    <w:rsid w:val="69750844"/>
    <w:rsid w:val="697641D6"/>
    <w:rsid w:val="69766163"/>
    <w:rsid w:val="6979562E"/>
    <w:rsid w:val="697A3B33"/>
    <w:rsid w:val="69807E63"/>
    <w:rsid w:val="69815A80"/>
    <w:rsid w:val="69843021"/>
    <w:rsid w:val="698647BD"/>
    <w:rsid w:val="69881D2B"/>
    <w:rsid w:val="6989120F"/>
    <w:rsid w:val="698D6C59"/>
    <w:rsid w:val="69912070"/>
    <w:rsid w:val="69912DB5"/>
    <w:rsid w:val="69960B36"/>
    <w:rsid w:val="69967687"/>
    <w:rsid w:val="69987E99"/>
    <w:rsid w:val="699B6CC5"/>
    <w:rsid w:val="699F27E0"/>
    <w:rsid w:val="699F29DF"/>
    <w:rsid w:val="69A07C16"/>
    <w:rsid w:val="69A16D38"/>
    <w:rsid w:val="69A36249"/>
    <w:rsid w:val="69A63458"/>
    <w:rsid w:val="69AB1384"/>
    <w:rsid w:val="69AB1B2C"/>
    <w:rsid w:val="69B53FB1"/>
    <w:rsid w:val="69B838BB"/>
    <w:rsid w:val="69BB70ED"/>
    <w:rsid w:val="69BB7916"/>
    <w:rsid w:val="69BC630B"/>
    <w:rsid w:val="69C01A71"/>
    <w:rsid w:val="69C47743"/>
    <w:rsid w:val="69C50FAD"/>
    <w:rsid w:val="69C57779"/>
    <w:rsid w:val="69C709B6"/>
    <w:rsid w:val="69CA10DE"/>
    <w:rsid w:val="69CB37D4"/>
    <w:rsid w:val="69CB6F20"/>
    <w:rsid w:val="69CE0BCF"/>
    <w:rsid w:val="69CF4947"/>
    <w:rsid w:val="69D44760"/>
    <w:rsid w:val="69D72A6C"/>
    <w:rsid w:val="69DA16C4"/>
    <w:rsid w:val="69DA7573"/>
    <w:rsid w:val="69DC09A0"/>
    <w:rsid w:val="69DD7064"/>
    <w:rsid w:val="69E00902"/>
    <w:rsid w:val="69E623BC"/>
    <w:rsid w:val="69E95A08"/>
    <w:rsid w:val="69EF01EA"/>
    <w:rsid w:val="69F0323B"/>
    <w:rsid w:val="69F13E2E"/>
    <w:rsid w:val="69F44661"/>
    <w:rsid w:val="69F61ED3"/>
    <w:rsid w:val="69F66377"/>
    <w:rsid w:val="69F778DA"/>
    <w:rsid w:val="69F82A89"/>
    <w:rsid w:val="69FD7706"/>
    <w:rsid w:val="69FE6846"/>
    <w:rsid w:val="6A016082"/>
    <w:rsid w:val="6A0450C4"/>
    <w:rsid w:val="6A050B67"/>
    <w:rsid w:val="6A050E04"/>
    <w:rsid w:val="6A070115"/>
    <w:rsid w:val="6A0A597F"/>
    <w:rsid w:val="6A0C5941"/>
    <w:rsid w:val="6A0C6224"/>
    <w:rsid w:val="6A0F3211"/>
    <w:rsid w:val="6A0F54B4"/>
    <w:rsid w:val="6A1011E7"/>
    <w:rsid w:val="6A195A76"/>
    <w:rsid w:val="6A1B17E0"/>
    <w:rsid w:val="6A1B4F49"/>
    <w:rsid w:val="6A1D1EEE"/>
    <w:rsid w:val="6A214D70"/>
    <w:rsid w:val="6A260A0B"/>
    <w:rsid w:val="6A2A6D4F"/>
    <w:rsid w:val="6A366901"/>
    <w:rsid w:val="6A3A6795"/>
    <w:rsid w:val="6A3B51DB"/>
    <w:rsid w:val="6A3E3ECE"/>
    <w:rsid w:val="6A3E749F"/>
    <w:rsid w:val="6A413A96"/>
    <w:rsid w:val="6A4162B8"/>
    <w:rsid w:val="6A42067F"/>
    <w:rsid w:val="6A4249DD"/>
    <w:rsid w:val="6A4931E0"/>
    <w:rsid w:val="6A4A4E2B"/>
    <w:rsid w:val="6A4F46AD"/>
    <w:rsid w:val="6A501876"/>
    <w:rsid w:val="6A520EC7"/>
    <w:rsid w:val="6A523796"/>
    <w:rsid w:val="6A55309E"/>
    <w:rsid w:val="6A580034"/>
    <w:rsid w:val="6A5D4479"/>
    <w:rsid w:val="6A5F1CF5"/>
    <w:rsid w:val="6A627569"/>
    <w:rsid w:val="6A644D6C"/>
    <w:rsid w:val="6A65270D"/>
    <w:rsid w:val="6A6B28C1"/>
    <w:rsid w:val="6A6B488C"/>
    <w:rsid w:val="6A7139C8"/>
    <w:rsid w:val="6A740079"/>
    <w:rsid w:val="6A762B94"/>
    <w:rsid w:val="6A766067"/>
    <w:rsid w:val="6A79577C"/>
    <w:rsid w:val="6A7D3581"/>
    <w:rsid w:val="6A7E68BC"/>
    <w:rsid w:val="6A813DAC"/>
    <w:rsid w:val="6A8614A9"/>
    <w:rsid w:val="6A8676FB"/>
    <w:rsid w:val="6A883473"/>
    <w:rsid w:val="6A8B3C1E"/>
    <w:rsid w:val="6A936AFA"/>
    <w:rsid w:val="6A973B65"/>
    <w:rsid w:val="6A9C2A7B"/>
    <w:rsid w:val="6A9F326D"/>
    <w:rsid w:val="6AA113D9"/>
    <w:rsid w:val="6AA441E8"/>
    <w:rsid w:val="6AA5228E"/>
    <w:rsid w:val="6AA57206"/>
    <w:rsid w:val="6AA67D9D"/>
    <w:rsid w:val="6AA86C02"/>
    <w:rsid w:val="6AA954DA"/>
    <w:rsid w:val="6AAB0DFC"/>
    <w:rsid w:val="6AAB0F10"/>
    <w:rsid w:val="6AAD645F"/>
    <w:rsid w:val="6AAE5640"/>
    <w:rsid w:val="6AB04778"/>
    <w:rsid w:val="6AB1487A"/>
    <w:rsid w:val="6AB934DA"/>
    <w:rsid w:val="6ABE36E2"/>
    <w:rsid w:val="6ABF49BB"/>
    <w:rsid w:val="6ABF5EF0"/>
    <w:rsid w:val="6AC10E7E"/>
    <w:rsid w:val="6AC12A02"/>
    <w:rsid w:val="6AC20BB3"/>
    <w:rsid w:val="6AC63F78"/>
    <w:rsid w:val="6ACB15B2"/>
    <w:rsid w:val="6AD11943"/>
    <w:rsid w:val="6AD1439C"/>
    <w:rsid w:val="6AD169BD"/>
    <w:rsid w:val="6ADA17F5"/>
    <w:rsid w:val="6ADC5AAF"/>
    <w:rsid w:val="6ADE5B3D"/>
    <w:rsid w:val="6ADF2C99"/>
    <w:rsid w:val="6AE6019A"/>
    <w:rsid w:val="6AE65957"/>
    <w:rsid w:val="6AE663EC"/>
    <w:rsid w:val="6AE666B7"/>
    <w:rsid w:val="6AE667E3"/>
    <w:rsid w:val="6AE6695D"/>
    <w:rsid w:val="6AE7181D"/>
    <w:rsid w:val="6AE85CC0"/>
    <w:rsid w:val="6AEB6326"/>
    <w:rsid w:val="6AEB6E22"/>
    <w:rsid w:val="6AF26637"/>
    <w:rsid w:val="6AF3005C"/>
    <w:rsid w:val="6AF362D3"/>
    <w:rsid w:val="6AF61F01"/>
    <w:rsid w:val="6AF830B1"/>
    <w:rsid w:val="6AF87E20"/>
    <w:rsid w:val="6AF91C7B"/>
    <w:rsid w:val="6AFD711C"/>
    <w:rsid w:val="6B001843"/>
    <w:rsid w:val="6B013226"/>
    <w:rsid w:val="6B035A15"/>
    <w:rsid w:val="6B05305C"/>
    <w:rsid w:val="6B0B530E"/>
    <w:rsid w:val="6B0D3978"/>
    <w:rsid w:val="6B0F2BA4"/>
    <w:rsid w:val="6B107944"/>
    <w:rsid w:val="6B142F59"/>
    <w:rsid w:val="6B14613B"/>
    <w:rsid w:val="6B170851"/>
    <w:rsid w:val="6B1724CA"/>
    <w:rsid w:val="6B19231D"/>
    <w:rsid w:val="6B1A47A6"/>
    <w:rsid w:val="6B1B7E43"/>
    <w:rsid w:val="6B1F4B21"/>
    <w:rsid w:val="6B1F4EB1"/>
    <w:rsid w:val="6B2036AC"/>
    <w:rsid w:val="6B20545A"/>
    <w:rsid w:val="6B250CC2"/>
    <w:rsid w:val="6B2518A6"/>
    <w:rsid w:val="6B251DCB"/>
    <w:rsid w:val="6B2748BC"/>
    <w:rsid w:val="6B2D5DC9"/>
    <w:rsid w:val="6B31006A"/>
    <w:rsid w:val="6B3132C4"/>
    <w:rsid w:val="6B322639"/>
    <w:rsid w:val="6B3579CF"/>
    <w:rsid w:val="6B362ECF"/>
    <w:rsid w:val="6B372858"/>
    <w:rsid w:val="6B423C9E"/>
    <w:rsid w:val="6B43383E"/>
    <w:rsid w:val="6B497019"/>
    <w:rsid w:val="6B4B624F"/>
    <w:rsid w:val="6B5415A7"/>
    <w:rsid w:val="6B543355"/>
    <w:rsid w:val="6B555497"/>
    <w:rsid w:val="6B5613D6"/>
    <w:rsid w:val="6B5A0A5A"/>
    <w:rsid w:val="6B5A1D2B"/>
    <w:rsid w:val="6B5F343C"/>
    <w:rsid w:val="6B5F3B10"/>
    <w:rsid w:val="6B61461B"/>
    <w:rsid w:val="6B623CC4"/>
    <w:rsid w:val="6B6567CB"/>
    <w:rsid w:val="6B656F00"/>
    <w:rsid w:val="6B6712DB"/>
    <w:rsid w:val="6B676C62"/>
    <w:rsid w:val="6B6D177C"/>
    <w:rsid w:val="6B6F6C1F"/>
    <w:rsid w:val="6B722E52"/>
    <w:rsid w:val="6B746386"/>
    <w:rsid w:val="6B7913E3"/>
    <w:rsid w:val="6B7918A2"/>
    <w:rsid w:val="6B7B1060"/>
    <w:rsid w:val="6B7B1AB7"/>
    <w:rsid w:val="6B7B4D86"/>
    <w:rsid w:val="6B7C1F53"/>
    <w:rsid w:val="6B7D2CFA"/>
    <w:rsid w:val="6B7D53B0"/>
    <w:rsid w:val="6B7F4DFC"/>
    <w:rsid w:val="6B80239C"/>
    <w:rsid w:val="6B864316"/>
    <w:rsid w:val="6B8A64F3"/>
    <w:rsid w:val="6B8A6D77"/>
    <w:rsid w:val="6B8C6D34"/>
    <w:rsid w:val="6B8E77BA"/>
    <w:rsid w:val="6B911929"/>
    <w:rsid w:val="6B933BE4"/>
    <w:rsid w:val="6B9561BD"/>
    <w:rsid w:val="6B99520C"/>
    <w:rsid w:val="6B9C21AC"/>
    <w:rsid w:val="6B9D4CFC"/>
    <w:rsid w:val="6B9D6AAA"/>
    <w:rsid w:val="6B9E135C"/>
    <w:rsid w:val="6BA82E23"/>
    <w:rsid w:val="6BA90B79"/>
    <w:rsid w:val="6BAB0AA8"/>
    <w:rsid w:val="6BAE2C22"/>
    <w:rsid w:val="6BB15296"/>
    <w:rsid w:val="6BB54C71"/>
    <w:rsid w:val="6BB67B6C"/>
    <w:rsid w:val="6BBB1618"/>
    <w:rsid w:val="6BBD5FED"/>
    <w:rsid w:val="6BC009EB"/>
    <w:rsid w:val="6BC24763"/>
    <w:rsid w:val="6BC47DB5"/>
    <w:rsid w:val="6BC51006"/>
    <w:rsid w:val="6BC70DA1"/>
    <w:rsid w:val="6BC77286"/>
    <w:rsid w:val="6BCE16D5"/>
    <w:rsid w:val="6BCF0C2E"/>
    <w:rsid w:val="6BD13D58"/>
    <w:rsid w:val="6BD6020E"/>
    <w:rsid w:val="6BDB45CA"/>
    <w:rsid w:val="6BDD0871"/>
    <w:rsid w:val="6BDD7130"/>
    <w:rsid w:val="6BDE51C8"/>
    <w:rsid w:val="6BE04BE9"/>
    <w:rsid w:val="6BE521FE"/>
    <w:rsid w:val="6BE648F5"/>
    <w:rsid w:val="6BE836C8"/>
    <w:rsid w:val="6BF03075"/>
    <w:rsid w:val="6BF608B1"/>
    <w:rsid w:val="6BFA0B87"/>
    <w:rsid w:val="6BFC4C7A"/>
    <w:rsid w:val="6BFD39ED"/>
    <w:rsid w:val="6BFF7765"/>
    <w:rsid w:val="6C025952"/>
    <w:rsid w:val="6C072029"/>
    <w:rsid w:val="6C0905E4"/>
    <w:rsid w:val="6C0A4A08"/>
    <w:rsid w:val="6C0F2CE7"/>
    <w:rsid w:val="6C111246"/>
    <w:rsid w:val="6C1449A1"/>
    <w:rsid w:val="6C155524"/>
    <w:rsid w:val="6C1A00FB"/>
    <w:rsid w:val="6C1E5EED"/>
    <w:rsid w:val="6C201C16"/>
    <w:rsid w:val="6C2216A6"/>
    <w:rsid w:val="6C223454"/>
    <w:rsid w:val="6C227B1A"/>
    <w:rsid w:val="6C23494A"/>
    <w:rsid w:val="6C2471CC"/>
    <w:rsid w:val="6C2C5534"/>
    <w:rsid w:val="6C3230E9"/>
    <w:rsid w:val="6C327132"/>
    <w:rsid w:val="6C370AAD"/>
    <w:rsid w:val="6C380FD5"/>
    <w:rsid w:val="6C3A459C"/>
    <w:rsid w:val="6C3B62C3"/>
    <w:rsid w:val="6C3C4B90"/>
    <w:rsid w:val="6C3E2B17"/>
    <w:rsid w:val="6C3F4DB9"/>
    <w:rsid w:val="6C4433CA"/>
    <w:rsid w:val="6C463576"/>
    <w:rsid w:val="6C484DE8"/>
    <w:rsid w:val="6C4B6506"/>
    <w:rsid w:val="6C4C5815"/>
    <w:rsid w:val="6C4C59CB"/>
    <w:rsid w:val="6C4D44D0"/>
    <w:rsid w:val="6C53185F"/>
    <w:rsid w:val="6C58310F"/>
    <w:rsid w:val="6C5A7FF2"/>
    <w:rsid w:val="6C5C6347"/>
    <w:rsid w:val="6C5D45FE"/>
    <w:rsid w:val="6C5D56A5"/>
    <w:rsid w:val="6C5F7DAC"/>
    <w:rsid w:val="6C621AA2"/>
    <w:rsid w:val="6C636C38"/>
    <w:rsid w:val="6C6413CE"/>
    <w:rsid w:val="6C645E02"/>
    <w:rsid w:val="6C647510"/>
    <w:rsid w:val="6C656F66"/>
    <w:rsid w:val="6C6770B8"/>
    <w:rsid w:val="6C6D2921"/>
    <w:rsid w:val="6C700663"/>
    <w:rsid w:val="6C700E15"/>
    <w:rsid w:val="6C705F6D"/>
    <w:rsid w:val="6C72358B"/>
    <w:rsid w:val="6C757F17"/>
    <w:rsid w:val="6C7720E8"/>
    <w:rsid w:val="6C7E6CEE"/>
    <w:rsid w:val="6C7F08A6"/>
    <w:rsid w:val="6C7F571D"/>
    <w:rsid w:val="6C876472"/>
    <w:rsid w:val="6C887C54"/>
    <w:rsid w:val="6C8B159C"/>
    <w:rsid w:val="6C9003BD"/>
    <w:rsid w:val="6C93095F"/>
    <w:rsid w:val="6C951E77"/>
    <w:rsid w:val="6C963F75"/>
    <w:rsid w:val="6C9A0567"/>
    <w:rsid w:val="6C9B0685"/>
    <w:rsid w:val="6C9B149C"/>
    <w:rsid w:val="6C9F2875"/>
    <w:rsid w:val="6CA26C54"/>
    <w:rsid w:val="6CA35F05"/>
    <w:rsid w:val="6CA4558E"/>
    <w:rsid w:val="6CA53C84"/>
    <w:rsid w:val="6CA81596"/>
    <w:rsid w:val="6CAB51F7"/>
    <w:rsid w:val="6CAC6410"/>
    <w:rsid w:val="6CB06CB1"/>
    <w:rsid w:val="6CB30550"/>
    <w:rsid w:val="6CB36247"/>
    <w:rsid w:val="6CB50CBC"/>
    <w:rsid w:val="6CBA6439"/>
    <w:rsid w:val="6CBA7B30"/>
    <w:rsid w:val="6CBE0C9F"/>
    <w:rsid w:val="6CBE3223"/>
    <w:rsid w:val="6CBF6EF4"/>
    <w:rsid w:val="6CC10C1F"/>
    <w:rsid w:val="6CC11C6B"/>
    <w:rsid w:val="6CC91B21"/>
    <w:rsid w:val="6CCC5BCB"/>
    <w:rsid w:val="6CD15CBB"/>
    <w:rsid w:val="6CD2026E"/>
    <w:rsid w:val="6CD24E7A"/>
    <w:rsid w:val="6CD62A77"/>
    <w:rsid w:val="6CD72490"/>
    <w:rsid w:val="6CD80931"/>
    <w:rsid w:val="6CDE3331"/>
    <w:rsid w:val="6CE61691"/>
    <w:rsid w:val="6CEB5F3B"/>
    <w:rsid w:val="6CED3A62"/>
    <w:rsid w:val="6CF426E1"/>
    <w:rsid w:val="6CF50B68"/>
    <w:rsid w:val="6CF62D52"/>
    <w:rsid w:val="6CF87AC4"/>
    <w:rsid w:val="6CFA3A97"/>
    <w:rsid w:val="6CFA7F2C"/>
    <w:rsid w:val="6CFC3CA5"/>
    <w:rsid w:val="6CFE2EDC"/>
    <w:rsid w:val="6CFF6606"/>
    <w:rsid w:val="6D0137F7"/>
    <w:rsid w:val="6D035033"/>
    <w:rsid w:val="6D06067F"/>
    <w:rsid w:val="6D0843F7"/>
    <w:rsid w:val="6D0938B4"/>
    <w:rsid w:val="6D0B38CA"/>
    <w:rsid w:val="6D0B5229"/>
    <w:rsid w:val="6D0D4104"/>
    <w:rsid w:val="6D100BF3"/>
    <w:rsid w:val="6D100C92"/>
    <w:rsid w:val="6D1030E7"/>
    <w:rsid w:val="6D131F1B"/>
    <w:rsid w:val="6D143FB2"/>
    <w:rsid w:val="6D1644EF"/>
    <w:rsid w:val="6D17594D"/>
    <w:rsid w:val="6D210048"/>
    <w:rsid w:val="6D2156DB"/>
    <w:rsid w:val="6D2427BA"/>
    <w:rsid w:val="6D2441FA"/>
    <w:rsid w:val="6D2539C3"/>
    <w:rsid w:val="6D254FA9"/>
    <w:rsid w:val="6D284A9A"/>
    <w:rsid w:val="6D2B458A"/>
    <w:rsid w:val="6D2D2FC9"/>
    <w:rsid w:val="6D2E32BC"/>
    <w:rsid w:val="6D2E32CF"/>
    <w:rsid w:val="6D2F7BD6"/>
    <w:rsid w:val="6D3175FD"/>
    <w:rsid w:val="6D323B6A"/>
    <w:rsid w:val="6D3449FA"/>
    <w:rsid w:val="6D366003"/>
    <w:rsid w:val="6D3671B7"/>
    <w:rsid w:val="6D3A4B09"/>
    <w:rsid w:val="6D3E0E38"/>
    <w:rsid w:val="6D3E1679"/>
    <w:rsid w:val="6D3E250F"/>
    <w:rsid w:val="6D486EEA"/>
    <w:rsid w:val="6D4974D8"/>
    <w:rsid w:val="6D4A5C6F"/>
    <w:rsid w:val="6D4C69DA"/>
    <w:rsid w:val="6D4D4DBE"/>
    <w:rsid w:val="6D513E95"/>
    <w:rsid w:val="6D5364AC"/>
    <w:rsid w:val="6D5911FE"/>
    <w:rsid w:val="6D5A5530"/>
    <w:rsid w:val="6D5C3183"/>
    <w:rsid w:val="6D5C4743"/>
    <w:rsid w:val="6D5E2269"/>
    <w:rsid w:val="6D5E495F"/>
    <w:rsid w:val="6D5F7FC3"/>
    <w:rsid w:val="6D6261FE"/>
    <w:rsid w:val="6D633D24"/>
    <w:rsid w:val="6D6372E5"/>
    <w:rsid w:val="6D6535F8"/>
    <w:rsid w:val="6D657A9C"/>
    <w:rsid w:val="6D68775F"/>
    <w:rsid w:val="6D6C2BD8"/>
    <w:rsid w:val="6D6F091A"/>
    <w:rsid w:val="6D6F1887"/>
    <w:rsid w:val="6D6F4508"/>
    <w:rsid w:val="6D740082"/>
    <w:rsid w:val="6D7934E7"/>
    <w:rsid w:val="6D7F17B7"/>
    <w:rsid w:val="6D7F2F44"/>
    <w:rsid w:val="6D800432"/>
    <w:rsid w:val="6D806684"/>
    <w:rsid w:val="6D8A12B0"/>
    <w:rsid w:val="6D8C1837"/>
    <w:rsid w:val="6D8C6CB5"/>
    <w:rsid w:val="6D8E4A94"/>
    <w:rsid w:val="6D8E6FF3"/>
    <w:rsid w:val="6D8F1660"/>
    <w:rsid w:val="6D9739CD"/>
    <w:rsid w:val="6D9914F3"/>
    <w:rsid w:val="6D9C0608"/>
    <w:rsid w:val="6D9D74B5"/>
    <w:rsid w:val="6DA01469"/>
    <w:rsid w:val="6DA05A0A"/>
    <w:rsid w:val="6DA06D26"/>
    <w:rsid w:val="6DA2484C"/>
    <w:rsid w:val="6DA5211F"/>
    <w:rsid w:val="6DA53C6F"/>
    <w:rsid w:val="6DA73C10"/>
    <w:rsid w:val="6DA9017B"/>
    <w:rsid w:val="6DAC1227"/>
    <w:rsid w:val="6DAC6ED4"/>
    <w:rsid w:val="6DAE5815"/>
    <w:rsid w:val="6DB34098"/>
    <w:rsid w:val="6DB450BF"/>
    <w:rsid w:val="6DB477EA"/>
    <w:rsid w:val="6DB545B6"/>
    <w:rsid w:val="6DB8406F"/>
    <w:rsid w:val="6DBA1988"/>
    <w:rsid w:val="6DBA6F1D"/>
    <w:rsid w:val="6DBC14AD"/>
    <w:rsid w:val="6DBF00D6"/>
    <w:rsid w:val="6DBF4521"/>
    <w:rsid w:val="6DBF657D"/>
    <w:rsid w:val="6DC1068E"/>
    <w:rsid w:val="6DC22E90"/>
    <w:rsid w:val="6DC36570"/>
    <w:rsid w:val="6DC61FEB"/>
    <w:rsid w:val="6DC9002B"/>
    <w:rsid w:val="6DCD29E8"/>
    <w:rsid w:val="6DCE0310"/>
    <w:rsid w:val="6DCE3893"/>
    <w:rsid w:val="6DCF3167"/>
    <w:rsid w:val="6DD32C57"/>
    <w:rsid w:val="6DD959B5"/>
    <w:rsid w:val="6DDF784E"/>
    <w:rsid w:val="6DE02FB4"/>
    <w:rsid w:val="6DE2733E"/>
    <w:rsid w:val="6DE41D8A"/>
    <w:rsid w:val="6DE7749E"/>
    <w:rsid w:val="6DE85FCA"/>
    <w:rsid w:val="6DED471D"/>
    <w:rsid w:val="6DEE183F"/>
    <w:rsid w:val="6DEF34F4"/>
    <w:rsid w:val="6DEF3809"/>
    <w:rsid w:val="6DF1132F"/>
    <w:rsid w:val="6DF130DE"/>
    <w:rsid w:val="6DF275B2"/>
    <w:rsid w:val="6DF46A09"/>
    <w:rsid w:val="6DF57072"/>
    <w:rsid w:val="6DF72DBE"/>
    <w:rsid w:val="6DF80910"/>
    <w:rsid w:val="6DF82E3C"/>
    <w:rsid w:val="6DF831B4"/>
    <w:rsid w:val="6DFC39BA"/>
    <w:rsid w:val="6DFC5C5C"/>
    <w:rsid w:val="6DFD6689"/>
    <w:rsid w:val="6DFF202C"/>
    <w:rsid w:val="6DFF54BD"/>
    <w:rsid w:val="6E0077C5"/>
    <w:rsid w:val="6E027008"/>
    <w:rsid w:val="6E0B285A"/>
    <w:rsid w:val="6E0F00B6"/>
    <w:rsid w:val="6E194148"/>
    <w:rsid w:val="6E1B45FE"/>
    <w:rsid w:val="6E1E6807"/>
    <w:rsid w:val="6E1E683B"/>
    <w:rsid w:val="6E1E6B73"/>
    <w:rsid w:val="6E246130"/>
    <w:rsid w:val="6E25722B"/>
    <w:rsid w:val="6E276F9F"/>
    <w:rsid w:val="6E30339A"/>
    <w:rsid w:val="6E315BD0"/>
    <w:rsid w:val="6E346769"/>
    <w:rsid w:val="6E370497"/>
    <w:rsid w:val="6E3A4A84"/>
    <w:rsid w:val="6E3B25AB"/>
    <w:rsid w:val="6E3B58FE"/>
    <w:rsid w:val="6E3C161E"/>
    <w:rsid w:val="6E3D4D34"/>
    <w:rsid w:val="6E3D50AC"/>
    <w:rsid w:val="6E4108DD"/>
    <w:rsid w:val="6E456F9B"/>
    <w:rsid w:val="6E504B48"/>
    <w:rsid w:val="6E514CED"/>
    <w:rsid w:val="6E53087B"/>
    <w:rsid w:val="6E5518BE"/>
    <w:rsid w:val="6E577460"/>
    <w:rsid w:val="6E587601"/>
    <w:rsid w:val="6E5A2C4B"/>
    <w:rsid w:val="6E5E753E"/>
    <w:rsid w:val="6E671F42"/>
    <w:rsid w:val="6E674E45"/>
    <w:rsid w:val="6E6D2E9B"/>
    <w:rsid w:val="6E6E26E3"/>
    <w:rsid w:val="6E6F2326"/>
    <w:rsid w:val="6E7206C2"/>
    <w:rsid w:val="6E72663A"/>
    <w:rsid w:val="6E755BDC"/>
    <w:rsid w:val="6E785076"/>
    <w:rsid w:val="6E7B0AEA"/>
    <w:rsid w:val="6E7C32EF"/>
    <w:rsid w:val="6E7D4831"/>
    <w:rsid w:val="6E8126B3"/>
    <w:rsid w:val="6E8403F6"/>
    <w:rsid w:val="6E8801C7"/>
    <w:rsid w:val="6E8C7780"/>
    <w:rsid w:val="6E8E2040"/>
    <w:rsid w:val="6E8E4DD0"/>
    <w:rsid w:val="6E9247C6"/>
    <w:rsid w:val="6E932D3B"/>
    <w:rsid w:val="6E967FF1"/>
    <w:rsid w:val="6E970129"/>
    <w:rsid w:val="6E99418E"/>
    <w:rsid w:val="6E9A29B2"/>
    <w:rsid w:val="6E9A66EC"/>
    <w:rsid w:val="6E9A79E9"/>
    <w:rsid w:val="6E9B4A59"/>
    <w:rsid w:val="6E9D1A95"/>
    <w:rsid w:val="6E9D5013"/>
    <w:rsid w:val="6EA12D56"/>
    <w:rsid w:val="6EA24FCD"/>
    <w:rsid w:val="6EA67AE7"/>
    <w:rsid w:val="6EAE2731"/>
    <w:rsid w:val="6EAE6B68"/>
    <w:rsid w:val="6EB03A00"/>
    <w:rsid w:val="6EB16ACA"/>
    <w:rsid w:val="6EB41155"/>
    <w:rsid w:val="6EB471F8"/>
    <w:rsid w:val="6EB563D5"/>
    <w:rsid w:val="6EB83583"/>
    <w:rsid w:val="6EBA113F"/>
    <w:rsid w:val="6EC404A5"/>
    <w:rsid w:val="6EC46FB6"/>
    <w:rsid w:val="6EC96D16"/>
    <w:rsid w:val="6ED00DA5"/>
    <w:rsid w:val="6ED3480C"/>
    <w:rsid w:val="6ED43C0F"/>
    <w:rsid w:val="6ED81FBE"/>
    <w:rsid w:val="6ED92677"/>
    <w:rsid w:val="6EDF387E"/>
    <w:rsid w:val="6EE0016B"/>
    <w:rsid w:val="6EE07FAE"/>
    <w:rsid w:val="6EE3336E"/>
    <w:rsid w:val="6EE6509E"/>
    <w:rsid w:val="6EE65862"/>
    <w:rsid w:val="6EE97D5A"/>
    <w:rsid w:val="6EEE5043"/>
    <w:rsid w:val="6EEF1D13"/>
    <w:rsid w:val="6EF55E85"/>
    <w:rsid w:val="6EF727C3"/>
    <w:rsid w:val="6EFC69C0"/>
    <w:rsid w:val="6EFC7F8C"/>
    <w:rsid w:val="6EFF5CCE"/>
    <w:rsid w:val="6F00379E"/>
    <w:rsid w:val="6F014F06"/>
    <w:rsid w:val="6F03756C"/>
    <w:rsid w:val="6F053DC0"/>
    <w:rsid w:val="6F0B1575"/>
    <w:rsid w:val="6F134902"/>
    <w:rsid w:val="6F13705A"/>
    <w:rsid w:val="6F1379EB"/>
    <w:rsid w:val="6F14777D"/>
    <w:rsid w:val="6F15681B"/>
    <w:rsid w:val="6F163899"/>
    <w:rsid w:val="6F163D0D"/>
    <w:rsid w:val="6F165F8F"/>
    <w:rsid w:val="6F181CC4"/>
    <w:rsid w:val="6F197EF2"/>
    <w:rsid w:val="6F1B3708"/>
    <w:rsid w:val="6F1C7C44"/>
    <w:rsid w:val="6F1D213E"/>
    <w:rsid w:val="6F1F25D3"/>
    <w:rsid w:val="6F225983"/>
    <w:rsid w:val="6F230DF1"/>
    <w:rsid w:val="6F234389"/>
    <w:rsid w:val="6F2614AD"/>
    <w:rsid w:val="6F285225"/>
    <w:rsid w:val="6F2879EB"/>
    <w:rsid w:val="6F2A544F"/>
    <w:rsid w:val="6F3161AA"/>
    <w:rsid w:val="6F33772C"/>
    <w:rsid w:val="6F345978"/>
    <w:rsid w:val="6F392F8E"/>
    <w:rsid w:val="6F394D3C"/>
    <w:rsid w:val="6F3E2545"/>
    <w:rsid w:val="6F490B2A"/>
    <w:rsid w:val="6F4F39FE"/>
    <w:rsid w:val="6F513115"/>
    <w:rsid w:val="6F5404DF"/>
    <w:rsid w:val="6F5558EE"/>
    <w:rsid w:val="6F5A5DF3"/>
    <w:rsid w:val="6F5D6CE6"/>
    <w:rsid w:val="6F631DB9"/>
    <w:rsid w:val="6F6536CE"/>
    <w:rsid w:val="6F654CF8"/>
    <w:rsid w:val="6F69307E"/>
    <w:rsid w:val="6F6A1399"/>
    <w:rsid w:val="6F6A1D79"/>
    <w:rsid w:val="6F6D447C"/>
    <w:rsid w:val="6F6D6A14"/>
    <w:rsid w:val="6F6F4C02"/>
    <w:rsid w:val="6F70532F"/>
    <w:rsid w:val="6F751AEC"/>
    <w:rsid w:val="6F763953"/>
    <w:rsid w:val="6F7721ED"/>
    <w:rsid w:val="6F7820FB"/>
    <w:rsid w:val="6F7A7103"/>
    <w:rsid w:val="6F7C5B41"/>
    <w:rsid w:val="6F7D2B0B"/>
    <w:rsid w:val="6F7D6439"/>
    <w:rsid w:val="6F8734B8"/>
    <w:rsid w:val="6F9205FC"/>
    <w:rsid w:val="6F920A5D"/>
    <w:rsid w:val="6F947E4B"/>
    <w:rsid w:val="6F9620E1"/>
    <w:rsid w:val="6F9644E5"/>
    <w:rsid w:val="6F9B3880"/>
    <w:rsid w:val="6F9B59F7"/>
    <w:rsid w:val="6FA0300D"/>
    <w:rsid w:val="6FA63FD2"/>
    <w:rsid w:val="6FAB4091"/>
    <w:rsid w:val="6FAC19B2"/>
    <w:rsid w:val="6FAC3760"/>
    <w:rsid w:val="6FAD4D5E"/>
    <w:rsid w:val="6FAF56E3"/>
    <w:rsid w:val="6FAF69A3"/>
    <w:rsid w:val="6FB10058"/>
    <w:rsid w:val="6FB16FC8"/>
    <w:rsid w:val="6FB62831"/>
    <w:rsid w:val="6FB6419A"/>
    <w:rsid w:val="6FB71FE5"/>
    <w:rsid w:val="6FB74D54"/>
    <w:rsid w:val="6FBB1BF5"/>
    <w:rsid w:val="6FBD3648"/>
    <w:rsid w:val="6FBD596D"/>
    <w:rsid w:val="6FBE3493"/>
    <w:rsid w:val="6FC00FB9"/>
    <w:rsid w:val="6FC0545D"/>
    <w:rsid w:val="6FC833A6"/>
    <w:rsid w:val="6FCA1E38"/>
    <w:rsid w:val="6FCC3E02"/>
    <w:rsid w:val="6FCC766D"/>
    <w:rsid w:val="6FD66A2F"/>
    <w:rsid w:val="6FD74555"/>
    <w:rsid w:val="6FD84D69"/>
    <w:rsid w:val="6FD9207B"/>
    <w:rsid w:val="6FDE6DEF"/>
    <w:rsid w:val="6FDF1901"/>
    <w:rsid w:val="6FE07A9C"/>
    <w:rsid w:val="6FE27BA8"/>
    <w:rsid w:val="6FE52991"/>
    <w:rsid w:val="6FE71D8E"/>
    <w:rsid w:val="6FE729EA"/>
    <w:rsid w:val="6FEA2AB3"/>
    <w:rsid w:val="6FEA4288"/>
    <w:rsid w:val="6FED3D79"/>
    <w:rsid w:val="6FF74C78"/>
    <w:rsid w:val="6FFB09DB"/>
    <w:rsid w:val="6FFC5590"/>
    <w:rsid w:val="6FFD3FBC"/>
    <w:rsid w:val="70003AAC"/>
    <w:rsid w:val="7000585A"/>
    <w:rsid w:val="70017C18"/>
    <w:rsid w:val="700417EE"/>
    <w:rsid w:val="70061ACF"/>
    <w:rsid w:val="700700DB"/>
    <w:rsid w:val="7008042E"/>
    <w:rsid w:val="701052FB"/>
    <w:rsid w:val="70141305"/>
    <w:rsid w:val="7016507D"/>
    <w:rsid w:val="7019691C"/>
    <w:rsid w:val="701A692C"/>
    <w:rsid w:val="701B2694"/>
    <w:rsid w:val="701D01BA"/>
    <w:rsid w:val="701E4F19"/>
    <w:rsid w:val="701F76C7"/>
    <w:rsid w:val="70213AC0"/>
    <w:rsid w:val="702141D2"/>
    <w:rsid w:val="7023519E"/>
    <w:rsid w:val="702A0B29"/>
    <w:rsid w:val="702E23C7"/>
    <w:rsid w:val="702E7ACB"/>
    <w:rsid w:val="70384FF4"/>
    <w:rsid w:val="703A6FBE"/>
    <w:rsid w:val="703B53E1"/>
    <w:rsid w:val="703F15FF"/>
    <w:rsid w:val="704244A1"/>
    <w:rsid w:val="70437090"/>
    <w:rsid w:val="704450C1"/>
    <w:rsid w:val="704716DB"/>
    <w:rsid w:val="704A544B"/>
    <w:rsid w:val="704A7790"/>
    <w:rsid w:val="705362D1"/>
    <w:rsid w:val="7054324D"/>
    <w:rsid w:val="7056730E"/>
    <w:rsid w:val="70577097"/>
    <w:rsid w:val="70577F28"/>
    <w:rsid w:val="70587444"/>
    <w:rsid w:val="705A4699"/>
    <w:rsid w:val="705A6CAB"/>
    <w:rsid w:val="705B39F4"/>
    <w:rsid w:val="705F07D2"/>
    <w:rsid w:val="70616F85"/>
    <w:rsid w:val="70643F6E"/>
    <w:rsid w:val="70664B8C"/>
    <w:rsid w:val="706933FF"/>
    <w:rsid w:val="706B5BE6"/>
    <w:rsid w:val="706C335A"/>
    <w:rsid w:val="706D1DD0"/>
    <w:rsid w:val="706D2210"/>
    <w:rsid w:val="706F0083"/>
    <w:rsid w:val="70703B86"/>
    <w:rsid w:val="70706293"/>
    <w:rsid w:val="707324D0"/>
    <w:rsid w:val="707A560C"/>
    <w:rsid w:val="7085475D"/>
    <w:rsid w:val="70856B87"/>
    <w:rsid w:val="708648FD"/>
    <w:rsid w:val="708D1B14"/>
    <w:rsid w:val="708D6B50"/>
    <w:rsid w:val="708E6FA6"/>
    <w:rsid w:val="70903082"/>
    <w:rsid w:val="70911BAC"/>
    <w:rsid w:val="70983CE4"/>
    <w:rsid w:val="7099510F"/>
    <w:rsid w:val="709B5583"/>
    <w:rsid w:val="709E44C0"/>
    <w:rsid w:val="709F5073"/>
    <w:rsid w:val="70A66401"/>
    <w:rsid w:val="70AB20B2"/>
    <w:rsid w:val="70B16AF1"/>
    <w:rsid w:val="70B36D70"/>
    <w:rsid w:val="70B567B0"/>
    <w:rsid w:val="70B66C1B"/>
    <w:rsid w:val="70BA1EAD"/>
    <w:rsid w:val="70C31BA7"/>
    <w:rsid w:val="70C333E7"/>
    <w:rsid w:val="70C4783D"/>
    <w:rsid w:val="70C71D84"/>
    <w:rsid w:val="70C742EB"/>
    <w:rsid w:val="70C9335B"/>
    <w:rsid w:val="70C96594"/>
    <w:rsid w:val="70CA64E3"/>
    <w:rsid w:val="70CB454F"/>
    <w:rsid w:val="70CC2581"/>
    <w:rsid w:val="70CE22DC"/>
    <w:rsid w:val="70D10E8D"/>
    <w:rsid w:val="70D46640"/>
    <w:rsid w:val="70D527EE"/>
    <w:rsid w:val="70D77933"/>
    <w:rsid w:val="70D83FCF"/>
    <w:rsid w:val="70D87250"/>
    <w:rsid w:val="70D936FB"/>
    <w:rsid w:val="70DC0075"/>
    <w:rsid w:val="70DC1E23"/>
    <w:rsid w:val="70DF1913"/>
    <w:rsid w:val="70DF7A21"/>
    <w:rsid w:val="70E74029"/>
    <w:rsid w:val="70ED2282"/>
    <w:rsid w:val="70F25AEA"/>
    <w:rsid w:val="70F67C58"/>
    <w:rsid w:val="70F86D26"/>
    <w:rsid w:val="70FE623D"/>
    <w:rsid w:val="71006A66"/>
    <w:rsid w:val="710627A7"/>
    <w:rsid w:val="71066EA0"/>
    <w:rsid w:val="71092E34"/>
    <w:rsid w:val="710A7B7A"/>
    <w:rsid w:val="710B095A"/>
    <w:rsid w:val="710C3282"/>
    <w:rsid w:val="710D0EA4"/>
    <w:rsid w:val="710F0051"/>
    <w:rsid w:val="71107825"/>
    <w:rsid w:val="711139C0"/>
    <w:rsid w:val="71162632"/>
    <w:rsid w:val="71162B6E"/>
    <w:rsid w:val="71175D82"/>
    <w:rsid w:val="7118497E"/>
    <w:rsid w:val="711B3242"/>
    <w:rsid w:val="711D243B"/>
    <w:rsid w:val="711E06D5"/>
    <w:rsid w:val="711F1A8A"/>
    <w:rsid w:val="7120576D"/>
    <w:rsid w:val="7124758B"/>
    <w:rsid w:val="71294DA0"/>
    <w:rsid w:val="712B13A2"/>
    <w:rsid w:val="71303BF3"/>
    <w:rsid w:val="713217AE"/>
    <w:rsid w:val="71322822"/>
    <w:rsid w:val="71333A0D"/>
    <w:rsid w:val="713A123F"/>
    <w:rsid w:val="71431EA2"/>
    <w:rsid w:val="714479A3"/>
    <w:rsid w:val="714A1702"/>
    <w:rsid w:val="714C7AFC"/>
    <w:rsid w:val="714D32A7"/>
    <w:rsid w:val="714E0847"/>
    <w:rsid w:val="714F103E"/>
    <w:rsid w:val="714F4396"/>
    <w:rsid w:val="715158D5"/>
    <w:rsid w:val="71530A68"/>
    <w:rsid w:val="715440AF"/>
    <w:rsid w:val="71551100"/>
    <w:rsid w:val="715B5300"/>
    <w:rsid w:val="715C63CB"/>
    <w:rsid w:val="715F1BDC"/>
    <w:rsid w:val="71620F9C"/>
    <w:rsid w:val="71643A1B"/>
    <w:rsid w:val="71656D2D"/>
    <w:rsid w:val="71663DE2"/>
    <w:rsid w:val="716726A8"/>
    <w:rsid w:val="71687C83"/>
    <w:rsid w:val="716A5681"/>
    <w:rsid w:val="716F2C97"/>
    <w:rsid w:val="716F4D6D"/>
    <w:rsid w:val="717402AD"/>
    <w:rsid w:val="71743BA7"/>
    <w:rsid w:val="71755DD4"/>
    <w:rsid w:val="71791D68"/>
    <w:rsid w:val="717C7D3E"/>
    <w:rsid w:val="717D3EDF"/>
    <w:rsid w:val="71834994"/>
    <w:rsid w:val="71897406"/>
    <w:rsid w:val="71897C11"/>
    <w:rsid w:val="71922E29"/>
    <w:rsid w:val="71924BD7"/>
    <w:rsid w:val="71926986"/>
    <w:rsid w:val="71942241"/>
    <w:rsid w:val="71973F9C"/>
    <w:rsid w:val="71976470"/>
    <w:rsid w:val="71984D9D"/>
    <w:rsid w:val="71985FAC"/>
    <w:rsid w:val="71994F66"/>
    <w:rsid w:val="719A0671"/>
    <w:rsid w:val="719B567C"/>
    <w:rsid w:val="719D6172"/>
    <w:rsid w:val="71A146B9"/>
    <w:rsid w:val="71A16BC9"/>
    <w:rsid w:val="71A46EE4"/>
    <w:rsid w:val="71A5490B"/>
    <w:rsid w:val="71AA0173"/>
    <w:rsid w:val="71AB2526"/>
    <w:rsid w:val="71AF12E6"/>
    <w:rsid w:val="71B20DD6"/>
    <w:rsid w:val="71B21502"/>
    <w:rsid w:val="71B35335"/>
    <w:rsid w:val="71B44B4E"/>
    <w:rsid w:val="71B6579F"/>
    <w:rsid w:val="71B763EC"/>
    <w:rsid w:val="71B9563B"/>
    <w:rsid w:val="71BA25D5"/>
    <w:rsid w:val="71BA4692"/>
    <w:rsid w:val="71C94A34"/>
    <w:rsid w:val="71CC3CC0"/>
    <w:rsid w:val="71D074AE"/>
    <w:rsid w:val="71D11D50"/>
    <w:rsid w:val="71D20FFC"/>
    <w:rsid w:val="71D26999"/>
    <w:rsid w:val="71D27F8A"/>
    <w:rsid w:val="71D34630"/>
    <w:rsid w:val="71D37DBD"/>
    <w:rsid w:val="71D46371"/>
    <w:rsid w:val="71D52E2E"/>
    <w:rsid w:val="71D60840"/>
    <w:rsid w:val="71D7083C"/>
    <w:rsid w:val="71D76A8E"/>
    <w:rsid w:val="71D818AE"/>
    <w:rsid w:val="71D945B4"/>
    <w:rsid w:val="71D95ABF"/>
    <w:rsid w:val="71DB0960"/>
    <w:rsid w:val="71DB657E"/>
    <w:rsid w:val="71DD22F7"/>
    <w:rsid w:val="71DE712E"/>
    <w:rsid w:val="71E116BB"/>
    <w:rsid w:val="71E202F1"/>
    <w:rsid w:val="71E80F16"/>
    <w:rsid w:val="71EB05E3"/>
    <w:rsid w:val="71EE0EE5"/>
    <w:rsid w:val="71EE60FA"/>
    <w:rsid w:val="71F17B50"/>
    <w:rsid w:val="71F17BCC"/>
    <w:rsid w:val="71F4277A"/>
    <w:rsid w:val="71F716C4"/>
    <w:rsid w:val="71F820B5"/>
    <w:rsid w:val="71F93AAA"/>
    <w:rsid w:val="71FD64F5"/>
    <w:rsid w:val="71FE06F5"/>
    <w:rsid w:val="72071122"/>
    <w:rsid w:val="721101F2"/>
    <w:rsid w:val="72120B2B"/>
    <w:rsid w:val="72132A22"/>
    <w:rsid w:val="72141A90"/>
    <w:rsid w:val="72142271"/>
    <w:rsid w:val="72161365"/>
    <w:rsid w:val="721D26F3"/>
    <w:rsid w:val="721F0B1E"/>
    <w:rsid w:val="722241AD"/>
    <w:rsid w:val="72227A81"/>
    <w:rsid w:val="722417A6"/>
    <w:rsid w:val="722570FD"/>
    <w:rsid w:val="72275B9A"/>
    <w:rsid w:val="7228274A"/>
    <w:rsid w:val="72284519"/>
    <w:rsid w:val="722F5532"/>
    <w:rsid w:val="72303685"/>
    <w:rsid w:val="72323CC5"/>
    <w:rsid w:val="72345C8F"/>
    <w:rsid w:val="72355D5C"/>
    <w:rsid w:val="723F6B0D"/>
    <w:rsid w:val="72465691"/>
    <w:rsid w:val="7249173A"/>
    <w:rsid w:val="7249798C"/>
    <w:rsid w:val="724A3704"/>
    <w:rsid w:val="724E2BEB"/>
    <w:rsid w:val="724E4A57"/>
    <w:rsid w:val="724F0D1A"/>
    <w:rsid w:val="72544DE5"/>
    <w:rsid w:val="72553024"/>
    <w:rsid w:val="72563E57"/>
    <w:rsid w:val="725A21C1"/>
    <w:rsid w:val="725B146D"/>
    <w:rsid w:val="725C21DB"/>
    <w:rsid w:val="725C5F89"/>
    <w:rsid w:val="725E2D0C"/>
    <w:rsid w:val="7263685F"/>
    <w:rsid w:val="7265540B"/>
    <w:rsid w:val="72655E48"/>
    <w:rsid w:val="72660CC1"/>
    <w:rsid w:val="72677E12"/>
    <w:rsid w:val="726861A6"/>
    <w:rsid w:val="72695938"/>
    <w:rsid w:val="726A1369"/>
    <w:rsid w:val="72726204"/>
    <w:rsid w:val="72746369"/>
    <w:rsid w:val="727662A7"/>
    <w:rsid w:val="72795434"/>
    <w:rsid w:val="727B566C"/>
    <w:rsid w:val="728704B4"/>
    <w:rsid w:val="728A6AE6"/>
    <w:rsid w:val="728C6F1C"/>
    <w:rsid w:val="728F5DF9"/>
    <w:rsid w:val="72936221"/>
    <w:rsid w:val="7298621E"/>
    <w:rsid w:val="72993C38"/>
    <w:rsid w:val="729A3DF9"/>
    <w:rsid w:val="729B6A16"/>
    <w:rsid w:val="729E4FDF"/>
    <w:rsid w:val="729E5396"/>
    <w:rsid w:val="729E6695"/>
    <w:rsid w:val="729F75AC"/>
    <w:rsid w:val="72A2431C"/>
    <w:rsid w:val="72A43760"/>
    <w:rsid w:val="72A83B07"/>
    <w:rsid w:val="72AA5244"/>
    <w:rsid w:val="72AF5315"/>
    <w:rsid w:val="72B36C1F"/>
    <w:rsid w:val="72B37442"/>
    <w:rsid w:val="72BA43E6"/>
    <w:rsid w:val="72C07913"/>
    <w:rsid w:val="72C161C4"/>
    <w:rsid w:val="72C2423F"/>
    <w:rsid w:val="72C25048"/>
    <w:rsid w:val="72C62D8B"/>
    <w:rsid w:val="72C65A98"/>
    <w:rsid w:val="72C6668F"/>
    <w:rsid w:val="72C7080C"/>
    <w:rsid w:val="72CE7F48"/>
    <w:rsid w:val="72D119A7"/>
    <w:rsid w:val="72D34E5C"/>
    <w:rsid w:val="72D6257F"/>
    <w:rsid w:val="72D97771"/>
    <w:rsid w:val="72E72D01"/>
    <w:rsid w:val="72F0605A"/>
    <w:rsid w:val="72F26FB5"/>
    <w:rsid w:val="72F32D2A"/>
    <w:rsid w:val="72F739C1"/>
    <w:rsid w:val="72F848E1"/>
    <w:rsid w:val="72FA2A34"/>
    <w:rsid w:val="72FB105B"/>
    <w:rsid w:val="72FC0C83"/>
    <w:rsid w:val="72FF44EF"/>
    <w:rsid w:val="730008C8"/>
    <w:rsid w:val="73026421"/>
    <w:rsid w:val="73027B3B"/>
    <w:rsid w:val="73030B72"/>
    <w:rsid w:val="7305585B"/>
    <w:rsid w:val="73076EFF"/>
    <w:rsid w:val="730B2E93"/>
    <w:rsid w:val="730B730E"/>
    <w:rsid w:val="730C3213"/>
    <w:rsid w:val="730E294D"/>
    <w:rsid w:val="730E7201"/>
    <w:rsid w:val="730E78B7"/>
    <w:rsid w:val="73122968"/>
    <w:rsid w:val="731240BE"/>
    <w:rsid w:val="73157CEE"/>
    <w:rsid w:val="7318110C"/>
    <w:rsid w:val="731C29AB"/>
    <w:rsid w:val="731D3D93"/>
    <w:rsid w:val="731F5D5E"/>
    <w:rsid w:val="732127B7"/>
    <w:rsid w:val="73223D39"/>
    <w:rsid w:val="732B027F"/>
    <w:rsid w:val="732B4F2B"/>
    <w:rsid w:val="732B5317"/>
    <w:rsid w:val="732C1214"/>
    <w:rsid w:val="732D105C"/>
    <w:rsid w:val="733749E1"/>
    <w:rsid w:val="73397A01"/>
    <w:rsid w:val="733C1F99"/>
    <w:rsid w:val="733D0B73"/>
    <w:rsid w:val="733D5C01"/>
    <w:rsid w:val="733E505E"/>
    <w:rsid w:val="734168B5"/>
    <w:rsid w:val="73420B05"/>
    <w:rsid w:val="73426189"/>
    <w:rsid w:val="734444C7"/>
    <w:rsid w:val="73461DDF"/>
    <w:rsid w:val="734A1F2E"/>
    <w:rsid w:val="734B4ED9"/>
    <w:rsid w:val="734C6C64"/>
    <w:rsid w:val="734D3C1E"/>
    <w:rsid w:val="734D5725"/>
    <w:rsid w:val="73504B4C"/>
    <w:rsid w:val="73506AF8"/>
    <w:rsid w:val="73510E47"/>
    <w:rsid w:val="735144AF"/>
    <w:rsid w:val="73514702"/>
    <w:rsid w:val="73516D78"/>
    <w:rsid w:val="73584999"/>
    <w:rsid w:val="735C36EF"/>
    <w:rsid w:val="735E0D88"/>
    <w:rsid w:val="73603154"/>
    <w:rsid w:val="736117C8"/>
    <w:rsid w:val="7366631C"/>
    <w:rsid w:val="736764A6"/>
    <w:rsid w:val="73693C12"/>
    <w:rsid w:val="736A2763"/>
    <w:rsid w:val="736A38C8"/>
    <w:rsid w:val="736D6845"/>
    <w:rsid w:val="737422BC"/>
    <w:rsid w:val="7375030D"/>
    <w:rsid w:val="737547B1"/>
    <w:rsid w:val="73765D98"/>
    <w:rsid w:val="737F2A61"/>
    <w:rsid w:val="738138AE"/>
    <w:rsid w:val="738203D7"/>
    <w:rsid w:val="73856365"/>
    <w:rsid w:val="738B18DE"/>
    <w:rsid w:val="738D412B"/>
    <w:rsid w:val="738E3479"/>
    <w:rsid w:val="73901947"/>
    <w:rsid w:val="73904001"/>
    <w:rsid w:val="73922C6D"/>
    <w:rsid w:val="739357F1"/>
    <w:rsid w:val="739375BB"/>
    <w:rsid w:val="73967419"/>
    <w:rsid w:val="73970092"/>
    <w:rsid w:val="73971BCF"/>
    <w:rsid w:val="73972979"/>
    <w:rsid w:val="73977025"/>
    <w:rsid w:val="73985263"/>
    <w:rsid w:val="739C1D3D"/>
    <w:rsid w:val="739D0DC8"/>
    <w:rsid w:val="739E5758"/>
    <w:rsid w:val="73A0182E"/>
    <w:rsid w:val="73A11102"/>
    <w:rsid w:val="73A12E13"/>
    <w:rsid w:val="73A3131E"/>
    <w:rsid w:val="73A3674C"/>
    <w:rsid w:val="73AD2380"/>
    <w:rsid w:val="73AD3F4B"/>
    <w:rsid w:val="73AE074E"/>
    <w:rsid w:val="73AF1A71"/>
    <w:rsid w:val="73AF2063"/>
    <w:rsid w:val="73B0192A"/>
    <w:rsid w:val="73B3265C"/>
    <w:rsid w:val="73B47087"/>
    <w:rsid w:val="73B646B1"/>
    <w:rsid w:val="73B76B77"/>
    <w:rsid w:val="73B96911"/>
    <w:rsid w:val="73BA5394"/>
    <w:rsid w:val="73BE58EA"/>
    <w:rsid w:val="73C07CFB"/>
    <w:rsid w:val="73C13552"/>
    <w:rsid w:val="73C3376E"/>
    <w:rsid w:val="73C44AAA"/>
    <w:rsid w:val="73C51AD5"/>
    <w:rsid w:val="73C6228B"/>
    <w:rsid w:val="73C848E1"/>
    <w:rsid w:val="73CC7BB2"/>
    <w:rsid w:val="73CD0268"/>
    <w:rsid w:val="73CD3FD5"/>
    <w:rsid w:val="73CD48A4"/>
    <w:rsid w:val="73CF3EC1"/>
    <w:rsid w:val="73CF616B"/>
    <w:rsid w:val="73D239B1"/>
    <w:rsid w:val="73D441C0"/>
    <w:rsid w:val="73D645CE"/>
    <w:rsid w:val="73DA527B"/>
    <w:rsid w:val="73DD281B"/>
    <w:rsid w:val="73E36AFF"/>
    <w:rsid w:val="73E536E4"/>
    <w:rsid w:val="73E62FB9"/>
    <w:rsid w:val="73E66247"/>
    <w:rsid w:val="73E86D31"/>
    <w:rsid w:val="73EA0CFB"/>
    <w:rsid w:val="73EB241B"/>
    <w:rsid w:val="73ED07EB"/>
    <w:rsid w:val="73ED2599"/>
    <w:rsid w:val="73EF1E6D"/>
    <w:rsid w:val="73F12089"/>
    <w:rsid w:val="73F531FC"/>
    <w:rsid w:val="73F751C6"/>
    <w:rsid w:val="73F8380B"/>
    <w:rsid w:val="7401085F"/>
    <w:rsid w:val="7401207A"/>
    <w:rsid w:val="74031DBD"/>
    <w:rsid w:val="74035919"/>
    <w:rsid w:val="74045267"/>
    <w:rsid w:val="740865A7"/>
    <w:rsid w:val="740942F7"/>
    <w:rsid w:val="740A61BD"/>
    <w:rsid w:val="740D2C3B"/>
    <w:rsid w:val="74122000"/>
    <w:rsid w:val="741501FE"/>
    <w:rsid w:val="741E51F9"/>
    <w:rsid w:val="741E793C"/>
    <w:rsid w:val="7420471D"/>
    <w:rsid w:val="74251D33"/>
    <w:rsid w:val="7425388F"/>
    <w:rsid w:val="74254024"/>
    <w:rsid w:val="74256143"/>
    <w:rsid w:val="742661E3"/>
    <w:rsid w:val="74280EE2"/>
    <w:rsid w:val="742A1FBE"/>
    <w:rsid w:val="742E0FDD"/>
    <w:rsid w:val="74312A84"/>
    <w:rsid w:val="7431692A"/>
    <w:rsid w:val="74316EF9"/>
    <w:rsid w:val="74317E69"/>
    <w:rsid w:val="74341FF0"/>
    <w:rsid w:val="74387CB8"/>
    <w:rsid w:val="74393A30"/>
    <w:rsid w:val="743F7AFB"/>
    <w:rsid w:val="744228E5"/>
    <w:rsid w:val="7444363C"/>
    <w:rsid w:val="7447614D"/>
    <w:rsid w:val="74485A21"/>
    <w:rsid w:val="744877CF"/>
    <w:rsid w:val="744A6D29"/>
    <w:rsid w:val="744C72C0"/>
    <w:rsid w:val="744F5002"/>
    <w:rsid w:val="745146A6"/>
    <w:rsid w:val="745736DB"/>
    <w:rsid w:val="745A287B"/>
    <w:rsid w:val="745C14A4"/>
    <w:rsid w:val="745E015A"/>
    <w:rsid w:val="745E21B1"/>
    <w:rsid w:val="745E3944"/>
    <w:rsid w:val="745F7BD6"/>
    <w:rsid w:val="74602D44"/>
    <w:rsid w:val="74615D5D"/>
    <w:rsid w:val="74624D35"/>
    <w:rsid w:val="746960C4"/>
    <w:rsid w:val="746B1B47"/>
    <w:rsid w:val="746C11B7"/>
    <w:rsid w:val="74716D26"/>
    <w:rsid w:val="74795F19"/>
    <w:rsid w:val="747D391D"/>
    <w:rsid w:val="747F28E7"/>
    <w:rsid w:val="74854F70"/>
    <w:rsid w:val="74871913"/>
    <w:rsid w:val="748A4CEE"/>
    <w:rsid w:val="748D1686"/>
    <w:rsid w:val="748F53FE"/>
    <w:rsid w:val="7491269B"/>
    <w:rsid w:val="74922E74"/>
    <w:rsid w:val="7492403D"/>
    <w:rsid w:val="74985672"/>
    <w:rsid w:val="749C368D"/>
    <w:rsid w:val="749F7D37"/>
    <w:rsid w:val="74A0695D"/>
    <w:rsid w:val="74A24F14"/>
    <w:rsid w:val="74A4584B"/>
    <w:rsid w:val="74A731A8"/>
    <w:rsid w:val="74A9209D"/>
    <w:rsid w:val="74AA1D1C"/>
    <w:rsid w:val="74AB4F7F"/>
    <w:rsid w:val="74AC4F95"/>
    <w:rsid w:val="74AE7F7A"/>
    <w:rsid w:val="74AF5AA0"/>
    <w:rsid w:val="74AF5F64"/>
    <w:rsid w:val="74B408C4"/>
    <w:rsid w:val="74B542D0"/>
    <w:rsid w:val="74B601CC"/>
    <w:rsid w:val="74B60BDD"/>
    <w:rsid w:val="74B80DF9"/>
    <w:rsid w:val="74B90D4E"/>
    <w:rsid w:val="74B9247B"/>
    <w:rsid w:val="74B9509F"/>
    <w:rsid w:val="74BA4363"/>
    <w:rsid w:val="74BB4445"/>
    <w:rsid w:val="74BC6FD8"/>
    <w:rsid w:val="74C403E2"/>
    <w:rsid w:val="74C42937"/>
    <w:rsid w:val="74C50E20"/>
    <w:rsid w:val="74C63631"/>
    <w:rsid w:val="74C6415A"/>
    <w:rsid w:val="74C64A2A"/>
    <w:rsid w:val="74C8164B"/>
    <w:rsid w:val="74CB7389"/>
    <w:rsid w:val="74CB7450"/>
    <w:rsid w:val="74D22D87"/>
    <w:rsid w:val="74D23A79"/>
    <w:rsid w:val="74D92A96"/>
    <w:rsid w:val="74D962FF"/>
    <w:rsid w:val="74DB0643"/>
    <w:rsid w:val="74DB7E2E"/>
    <w:rsid w:val="74DC42A7"/>
    <w:rsid w:val="74E043D0"/>
    <w:rsid w:val="74E21A8B"/>
    <w:rsid w:val="74E4608F"/>
    <w:rsid w:val="74E474F8"/>
    <w:rsid w:val="74E577A2"/>
    <w:rsid w:val="74E63EE7"/>
    <w:rsid w:val="74E86B35"/>
    <w:rsid w:val="74ED7DB1"/>
    <w:rsid w:val="74F05A04"/>
    <w:rsid w:val="74F46A77"/>
    <w:rsid w:val="74F777E9"/>
    <w:rsid w:val="74F804D2"/>
    <w:rsid w:val="74F84F03"/>
    <w:rsid w:val="74FB14A6"/>
    <w:rsid w:val="74FF6D12"/>
    <w:rsid w:val="75001128"/>
    <w:rsid w:val="750202C6"/>
    <w:rsid w:val="75023E22"/>
    <w:rsid w:val="75032C31"/>
    <w:rsid w:val="750758DC"/>
    <w:rsid w:val="75091332"/>
    <w:rsid w:val="7509478A"/>
    <w:rsid w:val="750D4720"/>
    <w:rsid w:val="750E0AAE"/>
    <w:rsid w:val="751029E3"/>
    <w:rsid w:val="75107E7A"/>
    <w:rsid w:val="75114065"/>
    <w:rsid w:val="7513602F"/>
    <w:rsid w:val="75157FF9"/>
    <w:rsid w:val="75181898"/>
    <w:rsid w:val="75184B31"/>
    <w:rsid w:val="751D6206"/>
    <w:rsid w:val="751E3320"/>
    <w:rsid w:val="751F5B56"/>
    <w:rsid w:val="752121F5"/>
    <w:rsid w:val="752244C4"/>
    <w:rsid w:val="75226272"/>
    <w:rsid w:val="75243D99"/>
    <w:rsid w:val="75246CE8"/>
    <w:rsid w:val="75280003"/>
    <w:rsid w:val="752A13E6"/>
    <w:rsid w:val="752C0E9F"/>
    <w:rsid w:val="752C4F4C"/>
    <w:rsid w:val="752C7CCE"/>
    <w:rsid w:val="752C7E1B"/>
    <w:rsid w:val="752D5AEB"/>
    <w:rsid w:val="7531703D"/>
    <w:rsid w:val="75350668"/>
    <w:rsid w:val="7535244A"/>
    <w:rsid w:val="753606CB"/>
    <w:rsid w:val="75372F27"/>
    <w:rsid w:val="75381F44"/>
    <w:rsid w:val="75383CE8"/>
    <w:rsid w:val="75385A96"/>
    <w:rsid w:val="75396F3D"/>
    <w:rsid w:val="753C6A9F"/>
    <w:rsid w:val="7544268D"/>
    <w:rsid w:val="754548E7"/>
    <w:rsid w:val="7545572E"/>
    <w:rsid w:val="754937FF"/>
    <w:rsid w:val="754A5EDB"/>
    <w:rsid w:val="754C55B6"/>
    <w:rsid w:val="754E0BFA"/>
    <w:rsid w:val="754F287A"/>
    <w:rsid w:val="75596A0D"/>
    <w:rsid w:val="755C4C0E"/>
    <w:rsid w:val="755E374E"/>
    <w:rsid w:val="755F74C6"/>
    <w:rsid w:val="75611379"/>
    <w:rsid w:val="75644ADD"/>
    <w:rsid w:val="756A067B"/>
    <w:rsid w:val="756C4CFA"/>
    <w:rsid w:val="756E14B8"/>
    <w:rsid w:val="75706CB7"/>
    <w:rsid w:val="75736ACE"/>
    <w:rsid w:val="75776C5E"/>
    <w:rsid w:val="75790627"/>
    <w:rsid w:val="757C3BD5"/>
    <w:rsid w:val="758365B1"/>
    <w:rsid w:val="75842A89"/>
    <w:rsid w:val="7584469F"/>
    <w:rsid w:val="75851C18"/>
    <w:rsid w:val="758639D9"/>
    <w:rsid w:val="75864A53"/>
    <w:rsid w:val="7590142E"/>
    <w:rsid w:val="75921F4A"/>
    <w:rsid w:val="75954C29"/>
    <w:rsid w:val="759555AC"/>
    <w:rsid w:val="75970F38"/>
    <w:rsid w:val="759C73E8"/>
    <w:rsid w:val="759D3C52"/>
    <w:rsid w:val="759F5B15"/>
    <w:rsid w:val="75A01CBF"/>
    <w:rsid w:val="75A13889"/>
    <w:rsid w:val="75A36FFC"/>
    <w:rsid w:val="75AB4FB6"/>
    <w:rsid w:val="75AB6268"/>
    <w:rsid w:val="75AD31CB"/>
    <w:rsid w:val="75AE3C69"/>
    <w:rsid w:val="75AE5E07"/>
    <w:rsid w:val="75B47698"/>
    <w:rsid w:val="75B61D86"/>
    <w:rsid w:val="75B64AA5"/>
    <w:rsid w:val="75B74C0D"/>
    <w:rsid w:val="75B91551"/>
    <w:rsid w:val="75BB4988"/>
    <w:rsid w:val="75C603D6"/>
    <w:rsid w:val="75C630A2"/>
    <w:rsid w:val="75C81696"/>
    <w:rsid w:val="75C83BAE"/>
    <w:rsid w:val="75CA311B"/>
    <w:rsid w:val="75CB10E1"/>
    <w:rsid w:val="75CB4B5C"/>
    <w:rsid w:val="75D0700A"/>
    <w:rsid w:val="75D07339"/>
    <w:rsid w:val="75D41509"/>
    <w:rsid w:val="75D732ED"/>
    <w:rsid w:val="75D9236E"/>
    <w:rsid w:val="75DB6D84"/>
    <w:rsid w:val="75DC4673"/>
    <w:rsid w:val="75DF39EA"/>
    <w:rsid w:val="75E72F1C"/>
    <w:rsid w:val="75EA3234"/>
    <w:rsid w:val="75EA4FE2"/>
    <w:rsid w:val="75EB0D5A"/>
    <w:rsid w:val="75EC6DCE"/>
    <w:rsid w:val="75F220E9"/>
    <w:rsid w:val="75F53647"/>
    <w:rsid w:val="75FC2F67"/>
    <w:rsid w:val="75FE5050"/>
    <w:rsid w:val="75FF4968"/>
    <w:rsid w:val="7601722A"/>
    <w:rsid w:val="760241FB"/>
    <w:rsid w:val="76033BF8"/>
    <w:rsid w:val="760505A0"/>
    <w:rsid w:val="76050C77"/>
    <w:rsid w:val="76062829"/>
    <w:rsid w:val="760D20BD"/>
    <w:rsid w:val="76102FF8"/>
    <w:rsid w:val="76171B4F"/>
    <w:rsid w:val="761B3F72"/>
    <w:rsid w:val="7621477C"/>
    <w:rsid w:val="762229CE"/>
    <w:rsid w:val="76277FE4"/>
    <w:rsid w:val="762A53DF"/>
    <w:rsid w:val="762D1373"/>
    <w:rsid w:val="763000A3"/>
    <w:rsid w:val="76322680"/>
    <w:rsid w:val="7635099D"/>
    <w:rsid w:val="76362836"/>
    <w:rsid w:val="76366479"/>
    <w:rsid w:val="7638547C"/>
    <w:rsid w:val="763A7103"/>
    <w:rsid w:val="763E6D02"/>
    <w:rsid w:val="76407C8A"/>
    <w:rsid w:val="76446388"/>
    <w:rsid w:val="76457E48"/>
    <w:rsid w:val="764A724A"/>
    <w:rsid w:val="764D0B6D"/>
    <w:rsid w:val="764F3A7E"/>
    <w:rsid w:val="764F65FF"/>
    <w:rsid w:val="765661D4"/>
    <w:rsid w:val="765C4C5B"/>
    <w:rsid w:val="765C616D"/>
    <w:rsid w:val="766057D8"/>
    <w:rsid w:val="7662726E"/>
    <w:rsid w:val="76645A44"/>
    <w:rsid w:val="76654669"/>
    <w:rsid w:val="766C4783"/>
    <w:rsid w:val="766D34DC"/>
    <w:rsid w:val="766F2B08"/>
    <w:rsid w:val="767223B8"/>
    <w:rsid w:val="76781F92"/>
    <w:rsid w:val="767E1A5D"/>
    <w:rsid w:val="767E7DFB"/>
    <w:rsid w:val="767F7280"/>
    <w:rsid w:val="7682521B"/>
    <w:rsid w:val="76832D41"/>
    <w:rsid w:val="76844CA7"/>
    <w:rsid w:val="76867F6C"/>
    <w:rsid w:val="768C6099"/>
    <w:rsid w:val="768F16E6"/>
    <w:rsid w:val="768F5B89"/>
    <w:rsid w:val="769136B0"/>
    <w:rsid w:val="7691545E"/>
    <w:rsid w:val="769211D6"/>
    <w:rsid w:val="76930E73"/>
    <w:rsid w:val="76992564"/>
    <w:rsid w:val="769A6A08"/>
    <w:rsid w:val="769B0B66"/>
    <w:rsid w:val="769D232A"/>
    <w:rsid w:val="769D7753"/>
    <w:rsid w:val="769E7B7B"/>
    <w:rsid w:val="76A50F09"/>
    <w:rsid w:val="76A5715B"/>
    <w:rsid w:val="76A837D8"/>
    <w:rsid w:val="76A95388"/>
    <w:rsid w:val="76AB19E8"/>
    <w:rsid w:val="76AC06A5"/>
    <w:rsid w:val="76AF17F9"/>
    <w:rsid w:val="76AF2205"/>
    <w:rsid w:val="76B4114C"/>
    <w:rsid w:val="76B44018"/>
    <w:rsid w:val="76B56870"/>
    <w:rsid w:val="76B818BD"/>
    <w:rsid w:val="76BB697E"/>
    <w:rsid w:val="76BC122C"/>
    <w:rsid w:val="76C26D16"/>
    <w:rsid w:val="76C359FB"/>
    <w:rsid w:val="76C50910"/>
    <w:rsid w:val="76C72366"/>
    <w:rsid w:val="76C84BF7"/>
    <w:rsid w:val="76C91EEB"/>
    <w:rsid w:val="76CC76CB"/>
    <w:rsid w:val="76D17F50"/>
    <w:rsid w:val="76D87530"/>
    <w:rsid w:val="76D90BB3"/>
    <w:rsid w:val="76DA6D4F"/>
    <w:rsid w:val="76DB0DCF"/>
    <w:rsid w:val="76DD4B47"/>
    <w:rsid w:val="76DF266D"/>
    <w:rsid w:val="76E3671C"/>
    <w:rsid w:val="76EB7264"/>
    <w:rsid w:val="76EC08C1"/>
    <w:rsid w:val="76EC2FDC"/>
    <w:rsid w:val="76F050E0"/>
    <w:rsid w:val="76F53EC6"/>
    <w:rsid w:val="76F70C2B"/>
    <w:rsid w:val="76F8557C"/>
    <w:rsid w:val="76F94835"/>
    <w:rsid w:val="77046AEB"/>
    <w:rsid w:val="77062CE6"/>
    <w:rsid w:val="77067FA1"/>
    <w:rsid w:val="77081A52"/>
    <w:rsid w:val="770976EA"/>
    <w:rsid w:val="770A5210"/>
    <w:rsid w:val="770D4B2A"/>
    <w:rsid w:val="770E4B54"/>
    <w:rsid w:val="770E6AAE"/>
    <w:rsid w:val="770F2826"/>
    <w:rsid w:val="77101B8D"/>
    <w:rsid w:val="771147F0"/>
    <w:rsid w:val="77114C99"/>
    <w:rsid w:val="771468A8"/>
    <w:rsid w:val="77183DD1"/>
    <w:rsid w:val="771A36A5"/>
    <w:rsid w:val="771E40D8"/>
    <w:rsid w:val="771F6898"/>
    <w:rsid w:val="772B58B2"/>
    <w:rsid w:val="772C3E78"/>
    <w:rsid w:val="773065DD"/>
    <w:rsid w:val="7731706A"/>
    <w:rsid w:val="77356731"/>
    <w:rsid w:val="77373487"/>
    <w:rsid w:val="77383B2B"/>
    <w:rsid w:val="773C06E7"/>
    <w:rsid w:val="773F16B0"/>
    <w:rsid w:val="77434033"/>
    <w:rsid w:val="774365C2"/>
    <w:rsid w:val="774460FD"/>
    <w:rsid w:val="77464604"/>
    <w:rsid w:val="77482739"/>
    <w:rsid w:val="77493F8A"/>
    <w:rsid w:val="77497B36"/>
    <w:rsid w:val="774B6D8F"/>
    <w:rsid w:val="774E13F9"/>
    <w:rsid w:val="77500219"/>
    <w:rsid w:val="77520915"/>
    <w:rsid w:val="77530965"/>
    <w:rsid w:val="77585F7B"/>
    <w:rsid w:val="775C3CBE"/>
    <w:rsid w:val="77640DC4"/>
    <w:rsid w:val="77674528"/>
    <w:rsid w:val="776819CA"/>
    <w:rsid w:val="77690189"/>
    <w:rsid w:val="776B2153"/>
    <w:rsid w:val="776C077E"/>
    <w:rsid w:val="77756B2D"/>
    <w:rsid w:val="77762421"/>
    <w:rsid w:val="77770AF7"/>
    <w:rsid w:val="777E5046"/>
    <w:rsid w:val="77807966"/>
    <w:rsid w:val="77811976"/>
    <w:rsid w:val="7783749C"/>
    <w:rsid w:val="77884AB3"/>
    <w:rsid w:val="778E7BEF"/>
    <w:rsid w:val="779034DB"/>
    <w:rsid w:val="779276DF"/>
    <w:rsid w:val="779A30DE"/>
    <w:rsid w:val="779F1DFC"/>
    <w:rsid w:val="779F5E92"/>
    <w:rsid w:val="77A45CA1"/>
    <w:rsid w:val="77A6247E"/>
    <w:rsid w:val="77A6590E"/>
    <w:rsid w:val="77A905D8"/>
    <w:rsid w:val="77AB07A1"/>
    <w:rsid w:val="77AB515F"/>
    <w:rsid w:val="77AC3322"/>
    <w:rsid w:val="77AC35A5"/>
    <w:rsid w:val="77AC382B"/>
    <w:rsid w:val="77B202AA"/>
    <w:rsid w:val="77B238DE"/>
    <w:rsid w:val="77B26EC0"/>
    <w:rsid w:val="77B56B1F"/>
    <w:rsid w:val="77B63C80"/>
    <w:rsid w:val="77B75C63"/>
    <w:rsid w:val="77BB700C"/>
    <w:rsid w:val="77BC4B50"/>
    <w:rsid w:val="77BE24D9"/>
    <w:rsid w:val="77BE6726"/>
    <w:rsid w:val="77BF424C"/>
    <w:rsid w:val="77C16217"/>
    <w:rsid w:val="77C36F28"/>
    <w:rsid w:val="77C4654B"/>
    <w:rsid w:val="77C655DB"/>
    <w:rsid w:val="77C94169"/>
    <w:rsid w:val="77CE2807"/>
    <w:rsid w:val="77D904E3"/>
    <w:rsid w:val="77D917F3"/>
    <w:rsid w:val="77D9543F"/>
    <w:rsid w:val="77DA1086"/>
    <w:rsid w:val="77DB45DB"/>
    <w:rsid w:val="77DB6DBF"/>
    <w:rsid w:val="77DD7EE5"/>
    <w:rsid w:val="77DF669D"/>
    <w:rsid w:val="77E15F2A"/>
    <w:rsid w:val="77E3333B"/>
    <w:rsid w:val="77E830BB"/>
    <w:rsid w:val="77E85551"/>
    <w:rsid w:val="77F1034C"/>
    <w:rsid w:val="77F11FD5"/>
    <w:rsid w:val="77F2691B"/>
    <w:rsid w:val="77F300A6"/>
    <w:rsid w:val="77F64BF4"/>
    <w:rsid w:val="77F9150C"/>
    <w:rsid w:val="77FA40B8"/>
    <w:rsid w:val="77FA64BA"/>
    <w:rsid w:val="77FC6C6C"/>
    <w:rsid w:val="77FE6B23"/>
    <w:rsid w:val="77FF1415"/>
    <w:rsid w:val="780221AD"/>
    <w:rsid w:val="78055644"/>
    <w:rsid w:val="78061E7B"/>
    <w:rsid w:val="780876BF"/>
    <w:rsid w:val="780E0FBE"/>
    <w:rsid w:val="780F08F1"/>
    <w:rsid w:val="780F09F4"/>
    <w:rsid w:val="78104057"/>
    <w:rsid w:val="781221CB"/>
    <w:rsid w:val="78145524"/>
    <w:rsid w:val="78175E36"/>
    <w:rsid w:val="7818237A"/>
    <w:rsid w:val="78184733"/>
    <w:rsid w:val="78184FDF"/>
    <w:rsid w:val="781C169F"/>
    <w:rsid w:val="781C2FB6"/>
    <w:rsid w:val="781D027F"/>
    <w:rsid w:val="781F2928"/>
    <w:rsid w:val="78275C19"/>
    <w:rsid w:val="782C51E5"/>
    <w:rsid w:val="782C7B34"/>
    <w:rsid w:val="78336520"/>
    <w:rsid w:val="78362761"/>
    <w:rsid w:val="78363C17"/>
    <w:rsid w:val="7836450F"/>
    <w:rsid w:val="78393BFA"/>
    <w:rsid w:val="783E33C3"/>
    <w:rsid w:val="783E5890"/>
    <w:rsid w:val="783E7FCF"/>
    <w:rsid w:val="7840713B"/>
    <w:rsid w:val="78420B3F"/>
    <w:rsid w:val="78443FA1"/>
    <w:rsid w:val="78496713"/>
    <w:rsid w:val="784C4644"/>
    <w:rsid w:val="785023CC"/>
    <w:rsid w:val="78516F62"/>
    <w:rsid w:val="7854794A"/>
    <w:rsid w:val="785506C7"/>
    <w:rsid w:val="78561266"/>
    <w:rsid w:val="785C10B6"/>
    <w:rsid w:val="785F1ED9"/>
    <w:rsid w:val="78654DF4"/>
    <w:rsid w:val="786D633C"/>
    <w:rsid w:val="78706B5A"/>
    <w:rsid w:val="78716C1D"/>
    <w:rsid w:val="787212BF"/>
    <w:rsid w:val="787314A9"/>
    <w:rsid w:val="78741052"/>
    <w:rsid w:val="78744D57"/>
    <w:rsid w:val="787B3332"/>
    <w:rsid w:val="787E1377"/>
    <w:rsid w:val="787E2414"/>
    <w:rsid w:val="788118B0"/>
    <w:rsid w:val="7883136E"/>
    <w:rsid w:val="78835B78"/>
    <w:rsid w:val="78846714"/>
    <w:rsid w:val="78882890"/>
    <w:rsid w:val="788F2A50"/>
    <w:rsid w:val="78900171"/>
    <w:rsid w:val="789236C2"/>
    <w:rsid w:val="789300A3"/>
    <w:rsid w:val="78964FAD"/>
    <w:rsid w:val="78970987"/>
    <w:rsid w:val="789B6A68"/>
    <w:rsid w:val="789F69F9"/>
    <w:rsid w:val="78A133FC"/>
    <w:rsid w:val="78A609C8"/>
    <w:rsid w:val="78A7540C"/>
    <w:rsid w:val="78A771BA"/>
    <w:rsid w:val="78A90480"/>
    <w:rsid w:val="78AA5C9B"/>
    <w:rsid w:val="78AB1FFE"/>
    <w:rsid w:val="78AC7172"/>
    <w:rsid w:val="78AE3820"/>
    <w:rsid w:val="78B30702"/>
    <w:rsid w:val="78B60BF2"/>
    <w:rsid w:val="78B91B66"/>
    <w:rsid w:val="78B930D3"/>
    <w:rsid w:val="78BB0EB8"/>
    <w:rsid w:val="78BB101F"/>
    <w:rsid w:val="78BB2BC4"/>
    <w:rsid w:val="78BD4738"/>
    <w:rsid w:val="78BF3ED6"/>
    <w:rsid w:val="78C14214"/>
    <w:rsid w:val="78C22246"/>
    <w:rsid w:val="78C3079A"/>
    <w:rsid w:val="78C55892"/>
    <w:rsid w:val="78C6145C"/>
    <w:rsid w:val="78CA4D1F"/>
    <w:rsid w:val="78CB7290"/>
    <w:rsid w:val="78CF4963"/>
    <w:rsid w:val="78D41F79"/>
    <w:rsid w:val="78D83818"/>
    <w:rsid w:val="78DD0192"/>
    <w:rsid w:val="78DD0E2E"/>
    <w:rsid w:val="78E07A9F"/>
    <w:rsid w:val="78E10A4F"/>
    <w:rsid w:val="78E16960"/>
    <w:rsid w:val="78E511EE"/>
    <w:rsid w:val="78E8332F"/>
    <w:rsid w:val="78EF1E41"/>
    <w:rsid w:val="78F1260C"/>
    <w:rsid w:val="78F64EC7"/>
    <w:rsid w:val="78F86230"/>
    <w:rsid w:val="78F9378E"/>
    <w:rsid w:val="78F97566"/>
    <w:rsid w:val="78FB2C78"/>
    <w:rsid w:val="78FD5B3D"/>
    <w:rsid w:val="7900351B"/>
    <w:rsid w:val="790142EB"/>
    <w:rsid w:val="79022643"/>
    <w:rsid w:val="79047E5F"/>
    <w:rsid w:val="79057DEE"/>
    <w:rsid w:val="79075EAB"/>
    <w:rsid w:val="790E2D96"/>
    <w:rsid w:val="79102556"/>
    <w:rsid w:val="79102FB2"/>
    <w:rsid w:val="7910470E"/>
    <w:rsid w:val="791116AE"/>
    <w:rsid w:val="79142376"/>
    <w:rsid w:val="79144124"/>
    <w:rsid w:val="791903AA"/>
    <w:rsid w:val="791A3E30"/>
    <w:rsid w:val="791A4C70"/>
    <w:rsid w:val="791D122B"/>
    <w:rsid w:val="792230BA"/>
    <w:rsid w:val="7924080B"/>
    <w:rsid w:val="792627D5"/>
    <w:rsid w:val="79283F81"/>
    <w:rsid w:val="792E51E6"/>
    <w:rsid w:val="792F0F5E"/>
    <w:rsid w:val="792F43E6"/>
    <w:rsid w:val="79312F28"/>
    <w:rsid w:val="79344625"/>
    <w:rsid w:val="79383D88"/>
    <w:rsid w:val="793A57EB"/>
    <w:rsid w:val="79425135"/>
    <w:rsid w:val="79426EE3"/>
    <w:rsid w:val="794669D3"/>
    <w:rsid w:val="794D51F4"/>
    <w:rsid w:val="794F0F63"/>
    <w:rsid w:val="795217FC"/>
    <w:rsid w:val="79532E9E"/>
    <w:rsid w:val="79537342"/>
    <w:rsid w:val="795C56CD"/>
    <w:rsid w:val="795D34C2"/>
    <w:rsid w:val="795D5ACB"/>
    <w:rsid w:val="795F1D84"/>
    <w:rsid w:val="795F4D73"/>
    <w:rsid w:val="79645154"/>
    <w:rsid w:val="79646E59"/>
    <w:rsid w:val="79685B6D"/>
    <w:rsid w:val="796877B0"/>
    <w:rsid w:val="796C3F60"/>
    <w:rsid w:val="796C7BDE"/>
    <w:rsid w:val="796D4AE9"/>
    <w:rsid w:val="796E7CD8"/>
    <w:rsid w:val="796F773C"/>
    <w:rsid w:val="79750491"/>
    <w:rsid w:val="7975450A"/>
    <w:rsid w:val="79782905"/>
    <w:rsid w:val="79793A93"/>
    <w:rsid w:val="797A042B"/>
    <w:rsid w:val="797A55D8"/>
    <w:rsid w:val="797A667D"/>
    <w:rsid w:val="797B4BA8"/>
    <w:rsid w:val="797D0FC2"/>
    <w:rsid w:val="797D616D"/>
    <w:rsid w:val="7987231D"/>
    <w:rsid w:val="798A0AC8"/>
    <w:rsid w:val="798A2EAF"/>
    <w:rsid w:val="798C63B0"/>
    <w:rsid w:val="798C793C"/>
    <w:rsid w:val="7990243C"/>
    <w:rsid w:val="79930210"/>
    <w:rsid w:val="7997464C"/>
    <w:rsid w:val="79991D8E"/>
    <w:rsid w:val="799A6D1F"/>
    <w:rsid w:val="799C0E45"/>
    <w:rsid w:val="799D054B"/>
    <w:rsid w:val="799D1EB8"/>
    <w:rsid w:val="79A1483C"/>
    <w:rsid w:val="79A566A8"/>
    <w:rsid w:val="79A656C4"/>
    <w:rsid w:val="79A67472"/>
    <w:rsid w:val="79A74F98"/>
    <w:rsid w:val="79AB4A88"/>
    <w:rsid w:val="79AB6836"/>
    <w:rsid w:val="79B53B29"/>
    <w:rsid w:val="79BF0534"/>
    <w:rsid w:val="79C04763"/>
    <w:rsid w:val="79C1605A"/>
    <w:rsid w:val="79C50B3E"/>
    <w:rsid w:val="79C8563A"/>
    <w:rsid w:val="79C97604"/>
    <w:rsid w:val="79CD61AE"/>
    <w:rsid w:val="79CF72D6"/>
    <w:rsid w:val="79CF7393"/>
    <w:rsid w:val="79D344C4"/>
    <w:rsid w:val="79D56340"/>
    <w:rsid w:val="79D74F47"/>
    <w:rsid w:val="79D81987"/>
    <w:rsid w:val="79D93C4F"/>
    <w:rsid w:val="79DE44A3"/>
    <w:rsid w:val="79E014E4"/>
    <w:rsid w:val="79E05138"/>
    <w:rsid w:val="79E61F64"/>
    <w:rsid w:val="79E7730A"/>
    <w:rsid w:val="79E95CCB"/>
    <w:rsid w:val="79E9735F"/>
    <w:rsid w:val="79EA6628"/>
    <w:rsid w:val="79EE0E19"/>
    <w:rsid w:val="79F20BAD"/>
    <w:rsid w:val="79F3642F"/>
    <w:rsid w:val="79F8061D"/>
    <w:rsid w:val="79FA01BD"/>
    <w:rsid w:val="79FA3E0E"/>
    <w:rsid w:val="79FA674E"/>
    <w:rsid w:val="79FC2E52"/>
    <w:rsid w:val="79FF3026"/>
    <w:rsid w:val="7A04192F"/>
    <w:rsid w:val="7A044199"/>
    <w:rsid w:val="7A053AFF"/>
    <w:rsid w:val="7A056BAC"/>
    <w:rsid w:val="7A0802D6"/>
    <w:rsid w:val="7A0917AF"/>
    <w:rsid w:val="7A0A78C5"/>
    <w:rsid w:val="7A0F14BB"/>
    <w:rsid w:val="7A0F4CBD"/>
    <w:rsid w:val="7A106FE1"/>
    <w:rsid w:val="7A130334"/>
    <w:rsid w:val="7A137282"/>
    <w:rsid w:val="7A1E34AC"/>
    <w:rsid w:val="7A1F4415"/>
    <w:rsid w:val="7A2B5BC9"/>
    <w:rsid w:val="7A2C69B5"/>
    <w:rsid w:val="7A2E6E3E"/>
    <w:rsid w:val="7A2F4E3F"/>
    <w:rsid w:val="7A302433"/>
    <w:rsid w:val="7A323DD4"/>
    <w:rsid w:val="7A364017"/>
    <w:rsid w:val="7A39453F"/>
    <w:rsid w:val="7A3A6C63"/>
    <w:rsid w:val="7A3C05DC"/>
    <w:rsid w:val="7A3E3B4E"/>
    <w:rsid w:val="7A444A03"/>
    <w:rsid w:val="7A447390"/>
    <w:rsid w:val="7A485651"/>
    <w:rsid w:val="7A4858D7"/>
    <w:rsid w:val="7A4A7AD3"/>
    <w:rsid w:val="7A4C2F56"/>
    <w:rsid w:val="7A4F60BF"/>
    <w:rsid w:val="7A5163DA"/>
    <w:rsid w:val="7A521D9F"/>
    <w:rsid w:val="7A57526B"/>
    <w:rsid w:val="7A585DDC"/>
    <w:rsid w:val="7A594FBA"/>
    <w:rsid w:val="7A5A1041"/>
    <w:rsid w:val="7A5B4970"/>
    <w:rsid w:val="7A5C5D83"/>
    <w:rsid w:val="7A5C5F1A"/>
    <w:rsid w:val="7A5D0D6A"/>
    <w:rsid w:val="7A6000D4"/>
    <w:rsid w:val="7A61220C"/>
    <w:rsid w:val="7A6402CB"/>
    <w:rsid w:val="7A6A4943"/>
    <w:rsid w:val="7A6C3430"/>
    <w:rsid w:val="7A6D7C9A"/>
    <w:rsid w:val="7A727D7D"/>
    <w:rsid w:val="7A737479"/>
    <w:rsid w:val="7A793BFF"/>
    <w:rsid w:val="7A7A357F"/>
    <w:rsid w:val="7A7C51A1"/>
    <w:rsid w:val="7A8075AB"/>
    <w:rsid w:val="7A811C8D"/>
    <w:rsid w:val="7A8157E9"/>
    <w:rsid w:val="7A821144"/>
    <w:rsid w:val="7A8265E1"/>
    <w:rsid w:val="7A85352B"/>
    <w:rsid w:val="7A861861"/>
    <w:rsid w:val="7A867B1C"/>
    <w:rsid w:val="7A882AAB"/>
    <w:rsid w:val="7A887326"/>
    <w:rsid w:val="7A8A21DE"/>
    <w:rsid w:val="7A8A479E"/>
    <w:rsid w:val="7A8A5F45"/>
    <w:rsid w:val="7A923E9A"/>
    <w:rsid w:val="7A97216F"/>
    <w:rsid w:val="7A990279"/>
    <w:rsid w:val="7A995229"/>
    <w:rsid w:val="7A9B2D4F"/>
    <w:rsid w:val="7A9B356C"/>
    <w:rsid w:val="7AA15E8B"/>
    <w:rsid w:val="7AA37E55"/>
    <w:rsid w:val="7AAC6D0A"/>
    <w:rsid w:val="7AAF2356"/>
    <w:rsid w:val="7AB830E1"/>
    <w:rsid w:val="7AB923FE"/>
    <w:rsid w:val="7ABC10AC"/>
    <w:rsid w:val="7AC758F2"/>
    <w:rsid w:val="7AC80A67"/>
    <w:rsid w:val="7AC878BC"/>
    <w:rsid w:val="7ACD0A2E"/>
    <w:rsid w:val="7ACD1FF3"/>
    <w:rsid w:val="7AD24297"/>
    <w:rsid w:val="7AD55A85"/>
    <w:rsid w:val="7AD60112"/>
    <w:rsid w:val="7AD902A9"/>
    <w:rsid w:val="7ADB2483"/>
    <w:rsid w:val="7ADD6346"/>
    <w:rsid w:val="7AE33F2E"/>
    <w:rsid w:val="7AE91D0C"/>
    <w:rsid w:val="7AEA7825"/>
    <w:rsid w:val="7AEC178B"/>
    <w:rsid w:val="7AED5ED1"/>
    <w:rsid w:val="7AF37024"/>
    <w:rsid w:val="7AF71777"/>
    <w:rsid w:val="7AF84942"/>
    <w:rsid w:val="7AF91839"/>
    <w:rsid w:val="7AF91AC4"/>
    <w:rsid w:val="7AFB309D"/>
    <w:rsid w:val="7AFE32DE"/>
    <w:rsid w:val="7B007056"/>
    <w:rsid w:val="7B084597"/>
    <w:rsid w:val="7B08614E"/>
    <w:rsid w:val="7B0B038E"/>
    <w:rsid w:val="7B0D52CF"/>
    <w:rsid w:val="7B116B6D"/>
    <w:rsid w:val="7B14665D"/>
    <w:rsid w:val="7B1D7A51"/>
    <w:rsid w:val="7B1E74DC"/>
    <w:rsid w:val="7B1F119D"/>
    <w:rsid w:val="7B21030F"/>
    <w:rsid w:val="7B213DF7"/>
    <w:rsid w:val="7B220D7A"/>
    <w:rsid w:val="7B242D44"/>
    <w:rsid w:val="7B2767B6"/>
    <w:rsid w:val="7B2B1D9A"/>
    <w:rsid w:val="7B2F3DB0"/>
    <w:rsid w:val="7B315D3A"/>
    <w:rsid w:val="7B32428B"/>
    <w:rsid w:val="7B340AAD"/>
    <w:rsid w:val="7B373273"/>
    <w:rsid w:val="7B3876D4"/>
    <w:rsid w:val="7B3907A2"/>
    <w:rsid w:val="7B3960C4"/>
    <w:rsid w:val="7B3A2568"/>
    <w:rsid w:val="7B3B1E3C"/>
    <w:rsid w:val="7B3E48AE"/>
    <w:rsid w:val="7B43102F"/>
    <w:rsid w:val="7B4319D2"/>
    <w:rsid w:val="7B446F42"/>
    <w:rsid w:val="7B462A9E"/>
    <w:rsid w:val="7B4729C1"/>
    <w:rsid w:val="7B485094"/>
    <w:rsid w:val="7B4C229B"/>
    <w:rsid w:val="7B4E4521"/>
    <w:rsid w:val="7B4E7DC1"/>
    <w:rsid w:val="7B4F4192"/>
    <w:rsid w:val="7B512CCA"/>
    <w:rsid w:val="7B5277BF"/>
    <w:rsid w:val="7B542DBF"/>
    <w:rsid w:val="7B566C99"/>
    <w:rsid w:val="7B5675F2"/>
    <w:rsid w:val="7B585BC0"/>
    <w:rsid w:val="7B5908A1"/>
    <w:rsid w:val="7B5A5D01"/>
    <w:rsid w:val="7B5B274E"/>
    <w:rsid w:val="7B615B89"/>
    <w:rsid w:val="7B626329"/>
    <w:rsid w:val="7B672C31"/>
    <w:rsid w:val="7B686D42"/>
    <w:rsid w:val="7B6A44CF"/>
    <w:rsid w:val="7B6B24B3"/>
    <w:rsid w:val="7B6C08C5"/>
    <w:rsid w:val="7B6E1FF1"/>
    <w:rsid w:val="7B6E5DD1"/>
    <w:rsid w:val="7B6F1AE6"/>
    <w:rsid w:val="7B71305D"/>
    <w:rsid w:val="7B7209AE"/>
    <w:rsid w:val="7B737E18"/>
    <w:rsid w:val="7B776EB0"/>
    <w:rsid w:val="7B7906B2"/>
    <w:rsid w:val="7B803CF3"/>
    <w:rsid w:val="7B841746"/>
    <w:rsid w:val="7B841A35"/>
    <w:rsid w:val="7B895106"/>
    <w:rsid w:val="7B8C08E9"/>
    <w:rsid w:val="7B8C61F4"/>
    <w:rsid w:val="7B936C71"/>
    <w:rsid w:val="7B9413FD"/>
    <w:rsid w:val="7B990096"/>
    <w:rsid w:val="7B990C8B"/>
    <w:rsid w:val="7B9B28DB"/>
    <w:rsid w:val="7B9B559A"/>
    <w:rsid w:val="7B9C0890"/>
    <w:rsid w:val="7B9C1851"/>
    <w:rsid w:val="7BA14395"/>
    <w:rsid w:val="7BA43E85"/>
    <w:rsid w:val="7BA5675C"/>
    <w:rsid w:val="7BA774D1"/>
    <w:rsid w:val="7BA95692"/>
    <w:rsid w:val="7BAA0F1F"/>
    <w:rsid w:val="7BAD1E0D"/>
    <w:rsid w:val="7BB13139"/>
    <w:rsid w:val="7BB5399C"/>
    <w:rsid w:val="7BB67714"/>
    <w:rsid w:val="7BB7505F"/>
    <w:rsid w:val="7BB77564"/>
    <w:rsid w:val="7BB8348D"/>
    <w:rsid w:val="7BB84443"/>
    <w:rsid w:val="7BB96115"/>
    <w:rsid w:val="7BBC3F0A"/>
    <w:rsid w:val="7BBD6A93"/>
    <w:rsid w:val="7BBE2454"/>
    <w:rsid w:val="7BC0094F"/>
    <w:rsid w:val="7BC249B6"/>
    <w:rsid w:val="7BC42AAA"/>
    <w:rsid w:val="7BC727FD"/>
    <w:rsid w:val="7BCA40F3"/>
    <w:rsid w:val="7BD06A28"/>
    <w:rsid w:val="7BD22B9E"/>
    <w:rsid w:val="7BD4685F"/>
    <w:rsid w:val="7BD51572"/>
    <w:rsid w:val="7BD535D9"/>
    <w:rsid w:val="7BD858DD"/>
    <w:rsid w:val="7BDA540C"/>
    <w:rsid w:val="7BDA78A7"/>
    <w:rsid w:val="7BDB59A5"/>
    <w:rsid w:val="7BDD1145"/>
    <w:rsid w:val="7BDD2EF3"/>
    <w:rsid w:val="7BE1607F"/>
    <w:rsid w:val="7BE20812"/>
    <w:rsid w:val="7BE40725"/>
    <w:rsid w:val="7BEB3A70"/>
    <w:rsid w:val="7BED25F2"/>
    <w:rsid w:val="7BEE3352"/>
    <w:rsid w:val="7BF344C5"/>
    <w:rsid w:val="7BF87D2D"/>
    <w:rsid w:val="7BF91A4F"/>
    <w:rsid w:val="7BFA2795"/>
    <w:rsid w:val="7BFB1681"/>
    <w:rsid w:val="7BFB7CB5"/>
    <w:rsid w:val="7C002710"/>
    <w:rsid w:val="7C0924C9"/>
    <w:rsid w:val="7C0A6065"/>
    <w:rsid w:val="7C0E5ED2"/>
    <w:rsid w:val="7C100FCE"/>
    <w:rsid w:val="7C12387D"/>
    <w:rsid w:val="7C130C12"/>
    <w:rsid w:val="7C1349A2"/>
    <w:rsid w:val="7C142DB9"/>
    <w:rsid w:val="7C17307E"/>
    <w:rsid w:val="7C181A1E"/>
    <w:rsid w:val="7C1B7C6D"/>
    <w:rsid w:val="7C232FFC"/>
    <w:rsid w:val="7C264FA8"/>
    <w:rsid w:val="7C2657AE"/>
    <w:rsid w:val="7C296E57"/>
    <w:rsid w:val="7C297725"/>
    <w:rsid w:val="7C322558"/>
    <w:rsid w:val="7C330B6A"/>
    <w:rsid w:val="7C3544AF"/>
    <w:rsid w:val="7C357264"/>
    <w:rsid w:val="7C365840"/>
    <w:rsid w:val="7C3A66AB"/>
    <w:rsid w:val="7C3B2C04"/>
    <w:rsid w:val="7C3B41B6"/>
    <w:rsid w:val="7C3E7E36"/>
    <w:rsid w:val="7C407D3A"/>
    <w:rsid w:val="7C490589"/>
    <w:rsid w:val="7C492337"/>
    <w:rsid w:val="7C4A4A2C"/>
    <w:rsid w:val="7C4A67DB"/>
    <w:rsid w:val="7C4C714D"/>
    <w:rsid w:val="7C4D2AD3"/>
    <w:rsid w:val="7C4E2B5A"/>
    <w:rsid w:val="7C501852"/>
    <w:rsid w:val="7C5036C5"/>
    <w:rsid w:val="7C5602E7"/>
    <w:rsid w:val="7C5A3149"/>
    <w:rsid w:val="7C5C4760"/>
    <w:rsid w:val="7C6516D2"/>
    <w:rsid w:val="7C653614"/>
    <w:rsid w:val="7C6C5AC7"/>
    <w:rsid w:val="7C6D3A35"/>
    <w:rsid w:val="7C6D4277"/>
    <w:rsid w:val="7C7750F6"/>
    <w:rsid w:val="7C7A6994"/>
    <w:rsid w:val="7C831EDA"/>
    <w:rsid w:val="7C8948CF"/>
    <w:rsid w:val="7C8A3A0D"/>
    <w:rsid w:val="7C943E93"/>
    <w:rsid w:val="7C943EFA"/>
    <w:rsid w:val="7C9457CA"/>
    <w:rsid w:val="7C993826"/>
    <w:rsid w:val="7C9C2FD3"/>
    <w:rsid w:val="7CA26617"/>
    <w:rsid w:val="7CA66B3C"/>
    <w:rsid w:val="7CA96C84"/>
    <w:rsid w:val="7CAA1027"/>
    <w:rsid w:val="7CAA23C8"/>
    <w:rsid w:val="7CAA5868"/>
    <w:rsid w:val="7CAC016F"/>
    <w:rsid w:val="7CAD1699"/>
    <w:rsid w:val="7CAD2C4C"/>
    <w:rsid w:val="7CAD4FBB"/>
    <w:rsid w:val="7CB348D5"/>
    <w:rsid w:val="7CB6062F"/>
    <w:rsid w:val="7CB65C1E"/>
    <w:rsid w:val="7CB77BE8"/>
    <w:rsid w:val="7CBA4FE2"/>
    <w:rsid w:val="7CBB5D4D"/>
    <w:rsid w:val="7CBB752B"/>
    <w:rsid w:val="7CBB76D8"/>
    <w:rsid w:val="7CBF19A2"/>
    <w:rsid w:val="7CBF4511"/>
    <w:rsid w:val="7CC0084B"/>
    <w:rsid w:val="7CC06914"/>
    <w:rsid w:val="7CC12815"/>
    <w:rsid w:val="7CC55395"/>
    <w:rsid w:val="7CC6544B"/>
    <w:rsid w:val="7CCC1AB7"/>
    <w:rsid w:val="7CCC4643"/>
    <w:rsid w:val="7CCF0A8E"/>
    <w:rsid w:val="7CCF22F5"/>
    <w:rsid w:val="7CD24DE6"/>
    <w:rsid w:val="7CD42548"/>
    <w:rsid w:val="7CD50D6E"/>
    <w:rsid w:val="7CD73DE6"/>
    <w:rsid w:val="7CD85044"/>
    <w:rsid w:val="7CD91058"/>
    <w:rsid w:val="7CDB38D7"/>
    <w:rsid w:val="7CDC4814"/>
    <w:rsid w:val="7CDE515F"/>
    <w:rsid w:val="7CE00EED"/>
    <w:rsid w:val="7CE04B7D"/>
    <w:rsid w:val="7CE107C1"/>
    <w:rsid w:val="7CE2402E"/>
    <w:rsid w:val="7CE3278B"/>
    <w:rsid w:val="7CE63C1D"/>
    <w:rsid w:val="7CEA39DE"/>
    <w:rsid w:val="7CEA5868"/>
    <w:rsid w:val="7CEA58C8"/>
    <w:rsid w:val="7CED0B37"/>
    <w:rsid w:val="7CF315E4"/>
    <w:rsid w:val="7CF3348A"/>
    <w:rsid w:val="7CF60710"/>
    <w:rsid w:val="7CF6371B"/>
    <w:rsid w:val="7CF77372"/>
    <w:rsid w:val="7CF9121A"/>
    <w:rsid w:val="7CFA6D32"/>
    <w:rsid w:val="7CFC5110"/>
    <w:rsid w:val="7D0239FF"/>
    <w:rsid w:val="7D061B9B"/>
    <w:rsid w:val="7D0835A9"/>
    <w:rsid w:val="7D096FD3"/>
    <w:rsid w:val="7D0A5F6A"/>
    <w:rsid w:val="7D100FEF"/>
    <w:rsid w:val="7D1259AB"/>
    <w:rsid w:val="7D1666BD"/>
    <w:rsid w:val="7D1828E9"/>
    <w:rsid w:val="7D182D45"/>
    <w:rsid w:val="7D1878E3"/>
    <w:rsid w:val="7D1B0177"/>
    <w:rsid w:val="7D1B0200"/>
    <w:rsid w:val="7D1B1F25"/>
    <w:rsid w:val="7D221505"/>
    <w:rsid w:val="7D2420E5"/>
    <w:rsid w:val="7D2B2258"/>
    <w:rsid w:val="7D2B51EF"/>
    <w:rsid w:val="7D2C4132"/>
    <w:rsid w:val="7D2C64CA"/>
    <w:rsid w:val="7D32101D"/>
    <w:rsid w:val="7D3B19C0"/>
    <w:rsid w:val="7D3C5597"/>
    <w:rsid w:val="7D3E79C1"/>
    <w:rsid w:val="7D494CE4"/>
    <w:rsid w:val="7D4C0330"/>
    <w:rsid w:val="7D4E5CEF"/>
    <w:rsid w:val="7D504735"/>
    <w:rsid w:val="7D52346D"/>
    <w:rsid w:val="7D545437"/>
    <w:rsid w:val="7D587BF6"/>
    <w:rsid w:val="7D590D93"/>
    <w:rsid w:val="7D595FE4"/>
    <w:rsid w:val="7D5D6439"/>
    <w:rsid w:val="7D5E40CD"/>
    <w:rsid w:val="7D5E50AB"/>
    <w:rsid w:val="7D5F1010"/>
    <w:rsid w:val="7D61696B"/>
    <w:rsid w:val="7D6257E2"/>
    <w:rsid w:val="7D6531A0"/>
    <w:rsid w:val="7D65772F"/>
    <w:rsid w:val="7D6745BE"/>
    <w:rsid w:val="7D6B2EAC"/>
    <w:rsid w:val="7D6D04F4"/>
    <w:rsid w:val="7D6D7626"/>
    <w:rsid w:val="7D6F2271"/>
    <w:rsid w:val="7D746F86"/>
    <w:rsid w:val="7D755AD9"/>
    <w:rsid w:val="7D77143C"/>
    <w:rsid w:val="7D7C1FF6"/>
    <w:rsid w:val="7D7F30B7"/>
    <w:rsid w:val="7D80447E"/>
    <w:rsid w:val="7D841250"/>
    <w:rsid w:val="7D8F08A2"/>
    <w:rsid w:val="7D903C7C"/>
    <w:rsid w:val="7D91786B"/>
    <w:rsid w:val="7D93318E"/>
    <w:rsid w:val="7D9A2A39"/>
    <w:rsid w:val="7D9D72AA"/>
    <w:rsid w:val="7DA27C62"/>
    <w:rsid w:val="7DA33C91"/>
    <w:rsid w:val="7DA56991"/>
    <w:rsid w:val="7DA71A0B"/>
    <w:rsid w:val="7DA77C5D"/>
    <w:rsid w:val="7DAB06E7"/>
    <w:rsid w:val="7DAB21CE"/>
    <w:rsid w:val="7DAC0DCF"/>
    <w:rsid w:val="7DB12889"/>
    <w:rsid w:val="7DB36601"/>
    <w:rsid w:val="7DB41FA4"/>
    <w:rsid w:val="7DB67E1F"/>
    <w:rsid w:val="7DBA61D5"/>
    <w:rsid w:val="7DC0487A"/>
    <w:rsid w:val="7DC12ACC"/>
    <w:rsid w:val="7DC67687"/>
    <w:rsid w:val="7DCC5D1B"/>
    <w:rsid w:val="7DCD56F2"/>
    <w:rsid w:val="7DCD7EA5"/>
    <w:rsid w:val="7DD679CC"/>
    <w:rsid w:val="7DD87E16"/>
    <w:rsid w:val="7DDD542C"/>
    <w:rsid w:val="7DDF2F52"/>
    <w:rsid w:val="7DE02708"/>
    <w:rsid w:val="7DE26755"/>
    <w:rsid w:val="7DE60785"/>
    <w:rsid w:val="7DE642E1"/>
    <w:rsid w:val="7DE771EF"/>
    <w:rsid w:val="7DE948D5"/>
    <w:rsid w:val="7DF46C2E"/>
    <w:rsid w:val="7DF97505"/>
    <w:rsid w:val="7DFC369A"/>
    <w:rsid w:val="7DFC3B04"/>
    <w:rsid w:val="7DFD7FD6"/>
    <w:rsid w:val="7DFF1847"/>
    <w:rsid w:val="7E01187E"/>
    <w:rsid w:val="7E0367F1"/>
    <w:rsid w:val="7E064983"/>
    <w:rsid w:val="7E0A2FE4"/>
    <w:rsid w:val="7E0C2283"/>
    <w:rsid w:val="7E0C709E"/>
    <w:rsid w:val="7E0E1A8A"/>
    <w:rsid w:val="7E123328"/>
    <w:rsid w:val="7E172377"/>
    <w:rsid w:val="7E176AFE"/>
    <w:rsid w:val="7E1C6947"/>
    <w:rsid w:val="7E1D083F"/>
    <w:rsid w:val="7E1E1356"/>
    <w:rsid w:val="7E1F0CFC"/>
    <w:rsid w:val="7E1F77F3"/>
    <w:rsid w:val="7E21356B"/>
    <w:rsid w:val="7E2358FE"/>
    <w:rsid w:val="7E257192"/>
    <w:rsid w:val="7E2737CE"/>
    <w:rsid w:val="7E2766A8"/>
    <w:rsid w:val="7E292420"/>
    <w:rsid w:val="7E296FC3"/>
    <w:rsid w:val="7E2A4E40"/>
    <w:rsid w:val="7E2B263C"/>
    <w:rsid w:val="7E2B6198"/>
    <w:rsid w:val="7E2F2708"/>
    <w:rsid w:val="7E326E72"/>
    <w:rsid w:val="7E332D7B"/>
    <w:rsid w:val="7E334594"/>
    <w:rsid w:val="7E370FE0"/>
    <w:rsid w:val="7E396A3A"/>
    <w:rsid w:val="7E3C65F7"/>
    <w:rsid w:val="7E3E236F"/>
    <w:rsid w:val="7E404800"/>
    <w:rsid w:val="7E4234E1"/>
    <w:rsid w:val="7E434229"/>
    <w:rsid w:val="7E4412E3"/>
    <w:rsid w:val="7E49472A"/>
    <w:rsid w:val="7E4A75E6"/>
    <w:rsid w:val="7E4B353D"/>
    <w:rsid w:val="7E4E04C2"/>
    <w:rsid w:val="7E521976"/>
    <w:rsid w:val="7E527BC8"/>
    <w:rsid w:val="7E527DC1"/>
    <w:rsid w:val="7E532EA4"/>
    <w:rsid w:val="7E555132"/>
    <w:rsid w:val="7E5746F7"/>
    <w:rsid w:val="7E5A4710"/>
    <w:rsid w:val="7E5D031B"/>
    <w:rsid w:val="7E5E45D4"/>
    <w:rsid w:val="7E5F4093"/>
    <w:rsid w:val="7E5F7A6E"/>
    <w:rsid w:val="7E617320"/>
    <w:rsid w:val="7E631DD5"/>
    <w:rsid w:val="7E68119A"/>
    <w:rsid w:val="7E6873EC"/>
    <w:rsid w:val="7E6950CA"/>
    <w:rsid w:val="7E6B526A"/>
    <w:rsid w:val="7E6D055E"/>
    <w:rsid w:val="7E6E2410"/>
    <w:rsid w:val="7E7004AB"/>
    <w:rsid w:val="7E722019"/>
    <w:rsid w:val="7E723183"/>
    <w:rsid w:val="7E75152C"/>
    <w:rsid w:val="7E7B0DF9"/>
    <w:rsid w:val="7E7B3028"/>
    <w:rsid w:val="7E7F2CEB"/>
    <w:rsid w:val="7E7F530E"/>
    <w:rsid w:val="7E826F03"/>
    <w:rsid w:val="7E861620"/>
    <w:rsid w:val="7E8835EA"/>
    <w:rsid w:val="7E8A3459"/>
    <w:rsid w:val="7E8B30DA"/>
    <w:rsid w:val="7E936253"/>
    <w:rsid w:val="7E9959A1"/>
    <w:rsid w:val="7E9975A5"/>
    <w:rsid w:val="7E9B25C0"/>
    <w:rsid w:val="7EA40F5F"/>
    <w:rsid w:val="7EA71BC7"/>
    <w:rsid w:val="7EAD3051"/>
    <w:rsid w:val="7EAE290A"/>
    <w:rsid w:val="7EAF501B"/>
    <w:rsid w:val="7EAF6DC9"/>
    <w:rsid w:val="7EB44ABC"/>
    <w:rsid w:val="7EB7008E"/>
    <w:rsid w:val="7EBD7AF1"/>
    <w:rsid w:val="7EBF4B32"/>
    <w:rsid w:val="7EC227C1"/>
    <w:rsid w:val="7EC94E22"/>
    <w:rsid w:val="7ECB2A7C"/>
    <w:rsid w:val="7ED00613"/>
    <w:rsid w:val="7ED13DBE"/>
    <w:rsid w:val="7ED20032"/>
    <w:rsid w:val="7ED22AB7"/>
    <w:rsid w:val="7ED33AA8"/>
    <w:rsid w:val="7ED91DFB"/>
    <w:rsid w:val="7ED95BF4"/>
    <w:rsid w:val="7EDC56E4"/>
    <w:rsid w:val="7EE024F2"/>
    <w:rsid w:val="7EE051D4"/>
    <w:rsid w:val="7EE10F4C"/>
    <w:rsid w:val="7EE12CFA"/>
    <w:rsid w:val="7EE44A90"/>
    <w:rsid w:val="7EE468F0"/>
    <w:rsid w:val="7EE50A3C"/>
    <w:rsid w:val="7EE703D7"/>
    <w:rsid w:val="7EE734D6"/>
    <w:rsid w:val="7EEB2BDF"/>
    <w:rsid w:val="7EEF3776"/>
    <w:rsid w:val="7EF17397"/>
    <w:rsid w:val="7EF44D64"/>
    <w:rsid w:val="7EF5607F"/>
    <w:rsid w:val="7EF6469C"/>
    <w:rsid w:val="7EF662D2"/>
    <w:rsid w:val="7EF72E63"/>
    <w:rsid w:val="7EFF1C16"/>
    <w:rsid w:val="7F0013D2"/>
    <w:rsid w:val="7F001CE7"/>
    <w:rsid w:val="7F007624"/>
    <w:rsid w:val="7F043C8F"/>
    <w:rsid w:val="7F045E40"/>
    <w:rsid w:val="7F07209B"/>
    <w:rsid w:val="7F084409"/>
    <w:rsid w:val="7F0864D9"/>
    <w:rsid w:val="7F0A2251"/>
    <w:rsid w:val="7F0B3ECA"/>
    <w:rsid w:val="7F0E6C9D"/>
    <w:rsid w:val="7F0F4416"/>
    <w:rsid w:val="7F1726D1"/>
    <w:rsid w:val="7F17496E"/>
    <w:rsid w:val="7F1A165B"/>
    <w:rsid w:val="7F1C3214"/>
    <w:rsid w:val="7F1E3F4E"/>
    <w:rsid w:val="7F1E5CFC"/>
    <w:rsid w:val="7F205BD1"/>
    <w:rsid w:val="7F214266"/>
    <w:rsid w:val="7F233313"/>
    <w:rsid w:val="7F234065"/>
    <w:rsid w:val="7F25708B"/>
    <w:rsid w:val="7F271055"/>
    <w:rsid w:val="7F2A6524"/>
    <w:rsid w:val="7F2D3598"/>
    <w:rsid w:val="7F2D4272"/>
    <w:rsid w:val="7F2E0047"/>
    <w:rsid w:val="7F2E54FD"/>
    <w:rsid w:val="7F2F1CB8"/>
    <w:rsid w:val="7F2F240C"/>
    <w:rsid w:val="7F2F3953"/>
    <w:rsid w:val="7F332188"/>
    <w:rsid w:val="7F361F5F"/>
    <w:rsid w:val="7F36425B"/>
    <w:rsid w:val="7F3961C1"/>
    <w:rsid w:val="7F3C4B6E"/>
    <w:rsid w:val="7F3E014D"/>
    <w:rsid w:val="7F3E1D8F"/>
    <w:rsid w:val="7F3E639F"/>
    <w:rsid w:val="7F442685"/>
    <w:rsid w:val="7F460DAF"/>
    <w:rsid w:val="7F473A58"/>
    <w:rsid w:val="7F4818EA"/>
    <w:rsid w:val="7F4D1310"/>
    <w:rsid w:val="7F4D213E"/>
    <w:rsid w:val="7F4D5910"/>
    <w:rsid w:val="7F4F78D8"/>
    <w:rsid w:val="7F54171E"/>
    <w:rsid w:val="7F590F0E"/>
    <w:rsid w:val="7F5931D8"/>
    <w:rsid w:val="7F5D7451"/>
    <w:rsid w:val="7F5E0E7E"/>
    <w:rsid w:val="7F5F6C24"/>
    <w:rsid w:val="7F601E71"/>
    <w:rsid w:val="7F606315"/>
    <w:rsid w:val="7F6077DB"/>
    <w:rsid w:val="7F63660C"/>
    <w:rsid w:val="7F6606F9"/>
    <w:rsid w:val="7F6C79DD"/>
    <w:rsid w:val="7F6D1DA4"/>
    <w:rsid w:val="7F6D27E0"/>
    <w:rsid w:val="7F6E48F8"/>
    <w:rsid w:val="7F710522"/>
    <w:rsid w:val="7F72113B"/>
    <w:rsid w:val="7F736048"/>
    <w:rsid w:val="7F764EB2"/>
    <w:rsid w:val="7F775703"/>
    <w:rsid w:val="7F7E2C0B"/>
    <w:rsid w:val="7F7E55CC"/>
    <w:rsid w:val="7F806259"/>
    <w:rsid w:val="7F814A6A"/>
    <w:rsid w:val="7F815AD9"/>
    <w:rsid w:val="7F826405"/>
    <w:rsid w:val="7F8518D8"/>
    <w:rsid w:val="7F853FCE"/>
    <w:rsid w:val="7F874CFF"/>
    <w:rsid w:val="7F875650"/>
    <w:rsid w:val="7F880337"/>
    <w:rsid w:val="7F882C27"/>
    <w:rsid w:val="7F896E1F"/>
    <w:rsid w:val="7F9560E2"/>
    <w:rsid w:val="7F981803"/>
    <w:rsid w:val="7F9B559F"/>
    <w:rsid w:val="7F9B734D"/>
    <w:rsid w:val="7F9D559A"/>
    <w:rsid w:val="7F9E2999"/>
    <w:rsid w:val="7F9E3089"/>
    <w:rsid w:val="7F9F3887"/>
    <w:rsid w:val="7FA07929"/>
    <w:rsid w:val="7FA16F1B"/>
    <w:rsid w:val="7FA205F5"/>
    <w:rsid w:val="7FA94808"/>
    <w:rsid w:val="7FAC155A"/>
    <w:rsid w:val="7FAC3308"/>
    <w:rsid w:val="7FAD3E96"/>
    <w:rsid w:val="7FAF0375"/>
    <w:rsid w:val="7FB011BC"/>
    <w:rsid w:val="7FB34697"/>
    <w:rsid w:val="7FB34701"/>
    <w:rsid w:val="7FB37C8D"/>
    <w:rsid w:val="7FB421BD"/>
    <w:rsid w:val="7FBD4AA3"/>
    <w:rsid w:val="7FBE4DEA"/>
    <w:rsid w:val="7FC00039"/>
    <w:rsid w:val="7FC1615D"/>
    <w:rsid w:val="7FC41881"/>
    <w:rsid w:val="7FC44CB1"/>
    <w:rsid w:val="7FC95C68"/>
    <w:rsid w:val="7FCB0746"/>
    <w:rsid w:val="7FD234F6"/>
    <w:rsid w:val="7FD3783C"/>
    <w:rsid w:val="7FD45839"/>
    <w:rsid w:val="7FD748FB"/>
    <w:rsid w:val="7FDA7E75"/>
    <w:rsid w:val="7FDC1E3F"/>
    <w:rsid w:val="7FDC738E"/>
    <w:rsid w:val="7FE42AA2"/>
    <w:rsid w:val="7FE47E50"/>
    <w:rsid w:val="7FE505C8"/>
    <w:rsid w:val="7FE74340"/>
    <w:rsid w:val="7FE845CF"/>
    <w:rsid w:val="7FEB04EF"/>
    <w:rsid w:val="7FEE3921"/>
    <w:rsid w:val="7FF01FCA"/>
    <w:rsid w:val="7FF227D0"/>
    <w:rsid w:val="7FF52E37"/>
    <w:rsid w:val="7FF802FC"/>
    <w:rsid w:val="7FF969CE"/>
    <w:rsid w:val="7FFA4074"/>
    <w:rsid w:val="7FFB7DEC"/>
    <w:rsid w:val="7FFC0E44"/>
    <w:rsid w:val="7FFD1DB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nhideWhenUsed="0" w:uiPriority="0" w:semiHidden="0" w:name="heading 2" w:locked="1"/>
    <w:lsdException w:qFormat="1" w:unhideWhenUsed="0" w:uiPriority="9" w:semiHidden="0" w:name="heading 3" w:locked="1"/>
    <w:lsdException w:qFormat="1" w:unhideWhenUsed="0" w:uiPriority="9" w:semiHidden="0" w:name="heading 4" w:locked="1"/>
    <w:lsdException w:qFormat="1" w:unhideWhenUsed="0" w:uiPriority="9"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iPriority="39" w:semiHidden="0" w:name="toc 1" w:locked="1"/>
    <w:lsdException w:qFormat="1" w:uiPriority="39" w:semiHidden="0" w:name="toc 2" w:locked="1"/>
    <w:lsdException w:qFormat="1"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qFormat="1"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11"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99" w:semiHidden="0" w:name="Body Text First Indent 2" w:locked="1"/>
    <w:lsdException w:qFormat="1" w:unhideWhenUsed="0" w:uiPriority="0" w:semiHidden="0" w:name="Note Heading" w:locked="1"/>
    <w:lsdException w:qFormat="1" w:unhideWhenUsed="0" w:uiPriority="0" w:semiHidden="0" w:name="Body Text 2" w:locked="1"/>
    <w:lsdException w:unhideWhenUsed="0" w:uiPriority="0" w:semiHidden="0" w:name="Body Text 3" w:locked="1"/>
    <w:lsdException w:qFormat="1" w:uiPriority="99" w:semiHidden="0" w:name="Body Text Indent 2" w:locked="1"/>
    <w:lsdException w:qFormat="1" w:uiPriority="99" w:semiHidden="0" w:name="Body Text Indent 3" w:locked="1"/>
    <w:lsdException w:unhideWhenUsed="0" w:uiPriority="0" w:semiHidden="0" w:name="Block Text" w:locked="1"/>
    <w:lsdException w:qFormat="1" w:unhideWhenUsed="0" w:uiPriority="99" w:semiHidden="0" w:name="Hyperlink" w:locked="1"/>
    <w:lsdException w:qFormat="1" w:uiPriority="99" w:semiHidden="0" w:name="FollowedHyperlink" w:locked="1"/>
    <w:lsdException w:qFormat="1" w:unhideWhenUsed="0" w:uiPriority="22" w:semiHidden="0" w:name="Strong" w:locked="1"/>
    <w:lsdException w:qFormat="1" w:unhideWhenUsed="0" w:uiPriority="20" w:semiHidden="0" w:name="Emphasis" w:locked="1"/>
    <w:lsdException w:qFormat="1" w:uiPriority="99"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qFormat="1" w:uiPriority="99" w:semiHidden="0" w:name="HTML Code" w:locked="1"/>
    <w:lsdException w:qFormat="1" w:uiPriority="99" w:semiHidden="0" w:name="HTML Definition" w:locked="1"/>
    <w:lsdException w:qFormat="1" w:uiPriority="99" w:semiHidden="0" w:name="HTML Keyboard" w:locked="1"/>
    <w:lsdException w:unhideWhenUsed="0" w:uiPriority="0" w:semiHidden="0" w:name="HTML Preformatted" w:locked="1"/>
    <w:lsdException w:qFormat="1" w:uiPriority="99"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99" w:semiHidden="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99" w:semiHidden="0" w:name="Balloon Text"/>
    <w:lsdException w:qFormat="1" w:unhideWhenUsed="0" w:uiPriority="99" w:semiHidden="0" w:name="Table Grid"/>
    <w:lsdException w:unhideWhenUsed="0" w:uiPriority="0" w:semiHidden="0" w:name="Table Theme" w:locked="1"/>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4"/>
    <w:qFormat/>
    <w:locked/>
    <w:uiPriority w:val="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48"/>
    <w:qFormat/>
    <w:locked/>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55"/>
    <w:qFormat/>
    <w:locked/>
    <w:uiPriority w:val="9"/>
    <w:pPr>
      <w:keepNext/>
      <w:keepLines/>
      <w:spacing w:before="260" w:after="260" w:line="416" w:lineRule="auto"/>
      <w:outlineLvl w:val="2"/>
    </w:pPr>
    <w:rPr>
      <w:b/>
      <w:bCs/>
      <w:sz w:val="32"/>
      <w:szCs w:val="32"/>
    </w:rPr>
  </w:style>
  <w:style w:type="paragraph" w:styleId="5">
    <w:name w:val="heading 4"/>
    <w:basedOn w:val="1"/>
    <w:next w:val="1"/>
    <w:link w:val="56"/>
    <w:qFormat/>
    <w:locked/>
    <w:uiPriority w:val="9"/>
    <w:pPr>
      <w:keepNext/>
      <w:keepLines/>
      <w:spacing w:before="280" w:after="290" w:line="376" w:lineRule="auto"/>
      <w:outlineLvl w:val="3"/>
    </w:pPr>
    <w:rPr>
      <w:rFonts w:ascii="Calibri Light" w:hAnsi="Calibri Light"/>
      <w:b/>
      <w:bCs/>
      <w:sz w:val="28"/>
      <w:szCs w:val="28"/>
    </w:rPr>
  </w:style>
  <w:style w:type="paragraph" w:styleId="6">
    <w:name w:val="heading 5"/>
    <w:basedOn w:val="1"/>
    <w:next w:val="1"/>
    <w:link w:val="57"/>
    <w:qFormat/>
    <w:locked/>
    <w:uiPriority w:val="9"/>
    <w:pPr>
      <w:keepNext/>
      <w:keepLines/>
      <w:spacing w:before="280" w:after="290" w:line="376" w:lineRule="auto"/>
      <w:outlineLvl w:val="4"/>
    </w:pPr>
    <w:rPr>
      <w:b/>
      <w:bCs/>
      <w:sz w:val="28"/>
      <w:szCs w:val="28"/>
    </w:rPr>
  </w:style>
  <w:style w:type="character" w:default="1" w:styleId="37">
    <w:name w:val="Default Paragraph Font"/>
    <w:semiHidden/>
    <w:qFormat/>
    <w:uiPriority w:val="0"/>
  </w:style>
  <w:style w:type="table" w:default="1" w:styleId="35">
    <w:name w:val="Normal Table"/>
    <w:semiHidden/>
    <w:qFormat/>
    <w:uiPriority w:val="0"/>
    <w:tblPr>
      <w:tblCellMar>
        <w:top w:w="0" w:type="dxa"/>
        <w:left w:w="108" w:type="dxa"/>
        <w:bottom w:w="0" w:type="dxa"/>
        <w:right w:w="108" w:type="dxa"/>
      </w:tblCellMar>
    </w:tblPr>
  </w:style>
  <w:style w:type="paragraph" w:styleId="7">
    <w:name w:val="List 3"/>
    <w:basedOn w:val="1"/>
    <w:next w:val="1"/>
    <w:qFormat/>
    <w:locked/>
    <w:uiPriority w:val="0"/>
    <w:pPr>
      <w:autoSpaceDE w:val="0"/>
      <w:autoSpaceDN w:val="0"/>
      <w:adjustRightInd w:val="0"/>
      <w:spacing w:line="288" w:lineRule="auto"/>
      <w:ind w:left="1260" w:hanging="420"/>
      <w:jc w:val="left"/>
      <w:textAlignment w:val="baseline"/>
    </w:pPr>
    <w:rPr>
      <w:kern w:val="0"/>
      <w:sz w:val="24"/>
      <w:szCs w:val="20"/>
    </w:rPr>
  </w:style>
  <w:style w:type="paragraph" w:styleId="8">
    <w:name w:val="Note Heading"/>
    <w:basedOn w:val="1"/>
    <w:next w:val="1"/>
    <w:link w:val="58"/>
    <w:qFormat/>
    <w:locked/>
    <w:uiPriority w:val="0"/>
    <w:pPr>
      <w:jc w:val="center"/>
    </w:pPr>
  </w:style>
  <w:style w:type="paragraph" w:styleId="9">
    <w:name w:val="Normal Indent"/>
    <w:basedOn w:val="1"/>
    <w:next w:val="1"/>
    <w:link w:val="59"/>
    <w:qFormat/>
    <w:locked/>
    <w:uiPriority w:val="0"/>
    <w:pPr>
      <w:tabs>
        <w:tab w:val="left" w:pos="540"/>
        <w:tab w:val="left" w:pos="1080"/>
        <w:tab w:val="left" w:pos="1800"/>
      </w:tabs>
      <w:adjustRightInd w:val="0"/>
      <w:snapToGrid w:val="0"/>
      <w:spacing w:line="360" w:lineRule="auto"/>
      <w:ind w:firstLine="480"/>
    </w:pPr>
    <w:rPr>
      <w:rFonts w:ascii="仿宋_GB2312" w:hAnsi="宋体"/>
      <w:sz w:val="24"/>
      <w:szCs w:val="21"/>
    </w:rPr>
  </w:style>
  <w:style w:type="paragraph" w:styleId="10">
    <w:name w:val="caption"/>
    <w:basedOn w:val="1"/>
    <w:next w:val="1"/>
    <w:qFormat/>
    <w:locked/>
    <w:uiPriority w:val="0"/>
    <w:rPr>
      <w:rFonts w:ascii="Arial" w:hAnsi="Arial" w:eastAsia="黑体" w:cs="Arial"/>
      <w:sz w:val="20"/>
      <w:szCs w:val="20"/>
    </w:rPr>
  </w:style>
  <w:style w:type="paragraph" w:styleId="11">
    <w:name w:val="Document Map"/>
    <w:basedOn w:val="1"/>
    <w:link w:val="60"/>
    <w:unhideWhenUsed/>
    <w:qFormat/>
    <w:locked/>
    <w:uiPriority w:val="99"/>
    <w:rPr>
      <w:rFonts w:ascii="宋体"/>
      <w:sz w:val="18"/>
      <w:szCs w:val="18"/>
    </w:rPr>
  </w:style>
  <w:style w:type="paragraph" w:styleId="12">
    <w:name w:val="toa heading"/>
    <w:basedOn w:val="1"/>
    <w:next w:val="1"/>
    <w:qFormat/>
    <w:locked/>
    <w:uiPriority w:val="0"/>
    <w:pPr>
      <w:spacing w:before="120"/>
    </w:pPr>
    <w:rPr>
      <w:rFonts w:ascii="Cambria" w:hAnsi="Cambria"/>
      <w:sz w:val="24"/>
    </w:rPr>
  </w:style>
  <w:style w:type="paragraph" w:styleId="13">
    <w:name w:val="annotation text"/>
    <w:basedOn w:val="1"/>
    <w:link w:val="61"/>
    <w:qFormat/>
    <w:uiPriority w:val="0"/>
    <w:pPr>
      <w:jc w:val="left"/>
    </w:pPr>
    <w:rPr>
      <w:kern w:val="0"/>
      <w:sz w:val="24"/>
      <w:szCs w:val="20"/>
    </w:rPr>
  </w:style>
  <w:style w:type="paragraph" w:styleId="14">
    <w:name w:val="Body Text"/>
    <w:basedOn w:val="1"/>
    <w:link w:val="52"/>
    <w:qFormat/>
    <w:uiPriority w:val="99"/>
    <w:pPr>
      <w:widowControl/>
      <w:snapToGrid w:val="0"/>
      <w:spacing w:before="60" w:after="160" w:line="259" w:lineRule="auto"/>
      <w:ind w:right="113"/>
    </w:pPr>
    <w:rPr>
      <w:kern w:val="0"/>
      <w:sz w:val="18"/>
      <w:szCs w:val="20"/>
    </w:rPr>
  </w:style>
  <w:style w:type="paragraph" w:styleId="15">
    <w:name w:val="Body Text Indent"/>
    <w:basedOn w:val="1"/>
    <w:link w:val="62"/>
    <w:qFormat/>
    <w:uiPriority w:val="0"/>
    <w:pPr>
      <w:spacing w:after="120"/>
      <w:ind w:left="420" w:leftChars="200"/>
    </w:pPr>
    <w:rPr>
      <w:kern w:val="0"/>
      <w:sz w:val="24"/>
      <w:szCs w:val="20"/>
    </w:rPr>
  </w:style>
  <w:style w:type="paragraph" w:styleId="16">
    <w:name w:val="toc 3"/>
    <w:basedOn w:val="1"/>
    <w:next w:val="1"/>
    <w:unhideWhenUsed/>
    <w:qFormat/>
    <w:locked/>
    <w:uiPriority w:val="39"/>
    <w:pPr>
      <w:widowControl/>
      <w:spacing w:after="100" w:line="259" w:lineRule="auto"/>
      <w:ind w:left="440"/>
      <w:jc w:val="left"/>
    </w:pPr>
    <w:rPr>
      <w:rFonts w:ascii="等线" w:hAnsi="等线" w:eastAsia="等线"/>
      <w:kern w:val="0"/>
      <w:sz w:val="22"/>
      <w:szCs w:val="22"/>
    </w:rPr>
  </w:style>
  <w:style w:type="paragraph" w:styleId="17">
    <w:name w:val="Plain Text"/>
    <w:basedOn w:val="1"/>
    <w:link w:val="63"/>
    <w:qFormat/>
    <w:locked/>
    <w:uiPriority w:val="0"/>
    <w:rPr>
      <w:rFonts w:ascii="宋体" w:hAnsi="Courier New"/>
      <w:szCs w:val="21"/>
    </w:rPr>
  </w:style>
  <w:style w:type="paragraph" w:styleId="18">
    <w:name w:val="List Bullet 5"/>
    <w:basedOn w:val="1"/>
    <w:qFormat/>
    <w:locked/>
    <w:uiPriority w:val="0"/>
    <w:pPr>
      <w:numPr>
        <w:ilvl w:val="0"/>
        <w:numId w:val="1"/>
      </w:numPr>
    </w:pPr>
  </w:style>
  <w:style w:type="paragraph" w:styleId="19">
    <w:name w:val="Date"/>
    <w:basedOn w:val="1"/>
    <w:next w:val="1"/>
    <w:link w:val="64"/>
    <w:qFormat/>
    <w:uiPriority w:val="0"/>
    <w:pPr>
      <w:ind w:left="100" w:leftChars="2500"/>
    </w:pPr>
    <w:rPr>
      <w:kern w:val="0"/>
      <w:sz w:val="24"/>
      <w:szCs w:val="20"/>
    </w:rPr>
  </w:style>
  <w:style w:type="paragraph" w:styleId="20">
    <w:name w:val="Body Text Indent 2"/>
    <w:basedOn w:val="1"/>
    <w:next w:val="1"/>
    <w:link w:val="65"/>
    <w:unhideWhenUsed/>
    <w:qFormat/>
    <w:locked/>
    <w:uiPriority w:val="99"/>
    <w:pPr>
      <w:spacing w:after="120" w:line="480" w:lineRule="auto"/>
      <w:ind w:left="420" w:leftChars="200"/>
    </w:pPr>
    <w:rPr>
      <w:szCs w:val="22"/>
    </w:rPr>
  </w:style>
  <w:style w:type="paragraph" w:styleId="21">
    <w:name w:val="Balloon Text"/>
    <w:basedOn w:val="1"/>
    <w:link w:val="66"/>
    <w:qFormat/>
    <w:uiPriority w:val="99"/>
    <w:rPr>
      <w:kern w:val="0"/>
      <w:sz w:val="18"/>
      <w:szCs w:val="20"/>
    </w:rPr>
  </w:style>
  <w:style w:type="paragraph" w:styleId="22">
    <w:name w:val="footer"/>
    <w:basedOn w:val="1"/>
    <w:link w:val="67"/>
    <w:qFormat/>
    <w:uiPriority w:val="99"/>
    <w:pPr>
      <w:tabs>
        <w:tab w:val="center" w:pos="4153"/>
        <w:tab w:val="right" w:pos="8306"/>
      </w:tabs>
      <w:snapToGrid w:val="0"/>
      <w:jc w:val="left"/>
    </w:pPr>
    <w:rPr>
      <w:kern w:val="0"/>
      <w:sz w:val="18"/>
      <w:szCs w:val="20"/>
    </w:rPr>
  </w:style>
  <w:style w:type="paragraph" w:styleId="23">
    <w:name w:val="header"/>
    <w:basedOn w:val="1"/>
    <w:link w:val="68"/>
    <w:qFormat/>
    <w:uiPriority w:val="0"/>
    <w:pPr>
      <w:pBdr>
        <w:bottom w:val="single" w:color="auto" w:sz="6" w:space="1"/>
      </w:pBdr>
      <w:tabs>
        <w:tab w:val="center" w:pos="4153"/>
        <w:tab w:val="right" w:pos="8306"/>
      </w:tabs>
      <w:snapToGrid w:val="0"/>
      <w:jc w:val="center"/>
    </w:pPr>
    <w:rPr>
      <w:kern w:val="0"/>
      <w:sz w:val="18"/>
      <w:szCs w:val="20"/>
    </w:rPr>
  </w:style>
  <w:style w:type="paragraph" w:styleId="24">
    <w:name w:val="toc 1"/>
    <w:basedOn w:val="1"/>
    <w:next w:val="1"/>
    <w:unhideWhenUsed/>
    <w:qFormat/>
    <w:locked/>
    <w:uiPriority w:val="39"/>
    <w:pPr>
      <w:widowControl/>
      <w:spacing w:after="100" w:line="259" w:lineRule="auto"/>
      <w:jc w:val="left"/>
    </w:pPr>
    <w:rPr>
      <w:rFonts w:ascii="等线" w:hAnsi="等线" w:eastAsia="等线"/>
      <w:kern w:val="0"/>
      <w:sz w:val="22"/>
      <w:szCs w:val="22"/>
    </w:rPr>
  </w:style>
  <w:style w:type="paragraph" w:styleId="25">
    <w:name w:val="index heading"/>
    <w:basedOn w:val="1"/>
    <w:next w:val="26"/>
    <w:semiHidden/>
    <w:qFormat/>
    <w:locked/>
    <w:uiPriority w:val="0"/>
    <w:rPr>
      <w:rFonts w:ascii="Arial" w:hAnsi="Arial" w:cs="Arial"/>
      <w:b/>
      <w:bCs/>
    </w:rPr>
  </w:style>
  <w:style w:type="paragraph" w:styleId="26">
    <w:name w:val="index 1"/>
    <w:basedOn w:val="1"/>
    <w:next w:val="1"/>
    <w:qFormat/>
    <w:locked/>
    <w:uiPriority w:val="0"/>
    <w:pPr>
      <w:tabs>
        <w:tab w:val="left" w:pos="5580"/>
      </w:tabs>
      <w:spacing w:line="280" w:lineRule="exact"/>
    </w:pPr>
    <w:rPr>
      <w:rFonts w:ascii="宋体" w:hAnsi="宋体"/>
      <w:spacing w:val="10"/>
    </w:rPr>
  </w:style>
  <w:style w:type="paragraph" w:styleId="27">
    <w:name w:val="Subtitle"/>
    <w:basedOn w:val="1"/>
    <w:next w:val="1"/>
    <w:link w:val="69"/>
    <w:qFormat/>
    <w:locked/>
    <w:uiPriority w:val="11"/>
    <w:pPr>
      <w:spacing w:before="240" w:after="60" w:line="312" w:lineRule="auto"/>
      <w:jc w:val="center"/>
      <w:outlineLvl w:val="1"/>
    </w:pPr>
    <w:rPr>
      <w:rFonts w:ascii="Calibri Light" w:hAnsi="Calibri Light"/>
      <w:b/>
      <w:bCs/>
      <w:kern w:val="28"/>
      <w:sz w:val="32"/>
      <w:szCs w:val="32"/>
    </w:rPr>
  </w:style>
  <w:style w:type="paragraph" w:styleId="28">
    <w:name w:val="Body Text Indent 3"/>
    <w:basedOn w:val="1"/>
    <w:link w:val="70"/>
    <w:unhideWhenUsed/>
    <w:qFormat/>
    <w:locked/>
    <w:uiPriority w:val="99"/>
    <w:pPr>
      <w:spacing w:line="560" w:lineRule="exact"/>
      <w:ind w:firstLine="560" w:firstLineChars="200"/>
    </w:pPr>
    <w:rPr>
      <w:sz w:val="28"/>
      <w:szCs w:val="22"/>
    </w:rPr>
  </w:style>
  <w:style w:type="paragraph" w:styleId="29">
    <w:name w:val="toc 2"/>
    <w:basedOn w:val="1"/>
    <w:next w:val="1"/>
    <w:unhideWhenUsed/>
    <w:qFormat/>
    <w:locked/>
    <w:uiPriority w:val="39"/>
    <w:pPr>
      <w:widowControl/>
      <w:spacing w:after="100" w:line="259" w:lineRule="auto"/>
      <w:ind w:left="220"/>
      <w:jc w:val="left"/>
    </w:pPr>
    <w:rPr>
      <w:rFonts w:ascii="等线" w:hAnsi="等线" w:eastAsia="等线"/>
      <w:kern w:val="0"/>
      <w:sz w:val="22"/>
      <w:szCs w:val="22"/>
    </w:rPr>
  </w:style>
  <w:style w:type="paragraph" w:styleId="30">
    <w:name w:val="Body Text 2"/>
    <w:basedOn w:val="1"/>
    <w:qFormat/>
    <w:locked/>
    <w:uiPriority w:val="0"/>
    <w:pPr>
      <w:spacing w:after="120" w:afterLines="0" w:line="480" w:lineRule="auto"/>
    </w:pPr>
    <w:rPr>
      <w:rFonts w:ascii="Times New Roman" w:hAnsi="Times New Roman" w:eastAsia="宋体" w:cs="Times New Roman"/>
    </w:rPr>
  </w:style>
  <w:style w:type="paragraph" w:styleId="31">
    <w:name w:val="Normal (Web)"/>
    <w:basedOn w:val="1"/>
    <w:link w:val="71"/>
    <w:qFormat/>
    <w:uiPriority w:val="0"/>
    <w:pPr>
      <w:widowControl/>
      <w:spacing w:before="100" w:beforeAutospacing="1" w:after="100" w:afterAutospacing="1"/>
      <w:jc w:val="left"/>
    </w:pPr>
    <w:rPr>
      <w:rFonts w:ascii="宋体" w:hAnsi="宋体"/>
      <w:kern w:val="0"/>
      <w:sz w:val="24"/>
      <w:szCs w:val="20"/>
    </w:rPr>
  </w:style>
  <w:style w:type="paragraph" w:styleId="32">
    <w:name w:val="annotation subject"/>
    <w:basedOn w:val="13"/>
    <w:next w:val="13"/>
    <w:link w:val="72"/>
    <w:qFormat/>
    <w:uiPriority w:val="99"/>
    <w:rPr>
      <w:b/>
      <w:kern w:val="2"/>
    </w:rPr>
  </w:style>
  <w:style w:type="paragraph" w:styleId="33">
    <w:name w:val="Body Text First Indent"/>
    <w:basedOn w:val="14"/>
    <w:qFormat/>
    <w:locked/>
    <w:uiPriority w:val="0"/>
    <w:pPr>
      <w:spacing w:after="120" w:line="240" w:lineRule="auto"/>
      <w:ind w:firstLine="420" w:firstLineChars="100"/>
      <w:jc w:val="both"/>
    </w:pPr>
    <w:rPr>
      <w:rFonts w:ascii="Times New Roman" w:hAnsi="Times New Roman"/>
      <w:sz w:val="21"/>
    </w:rPr>
  </w:style>
  <w:style w:type="paragraph" w:styleId="34">
    <w:name w:val="Body Text First Indent 2"/>
    <w:basedOn w:val="15"/>
    <w:next w:val="1"/>
    <w:link w:val="73"/>
    <w:unhideWhenUsed/>
    <w:qFormat/>
    <w:locked/>
    <w:uiPriority w:val="99"/>
    <w:pPr>
      <w:ind w:firstLine="420" w:firstLineChars="200"/>
    </w:pPr>
    <w:rPr>
      <w:rFonts w:ascii="宋体" w:hAnsi="宋体"/>
      <w:spacing w:val="10"/>
      <w:kern w:val="2"/>
      <w:sz w:val="21"/>
      <w:szCs w:val="22"/>
    </w:rPr>
  </w:style>
  <w:style w:type="table" w:styleId="36">
    <w:name w:val="Table Grid"/>
    <w:basedOn w:val="35"/>
    <w:qFormat/>
    <w:uiPriority w:val="99"/>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qFormat/>
    <w:locked/>
    <w:uiPriority w:val="22"/>
    <w:rPr>
      <w:b/>
    </w:rPr>
  </w:style>
  <w:style w:type="character" w:styleId="39">
    <w:name w:val="page number"/>
    <w:qFormat/>
    <w:locked/>
    <w:uiPriority w:val="0"/>
  </w:style>
  <w:style w:type="character" w:styleId="40">
    <w:name w:val="FollowedHyperlink"/>
    <w:unhideWhenUsed/>
    <w:qFormat/>
    <w:locked/>
    <w:uiPriority w:val="99"/>
    <w:rPr>
      <w:color w:val="FFFFFF"/>
      <w:u w:val="none"/>
    </w:rPr>
  </w:style>
  <w:style w:type="character" w:styleId="41">
    <w:name w:val="Emphasis"/>
    <w:qFormat/>
    <w:locked/>
    <w:uiPriority w:val="20"/>
  </w:style>
  <w:style w:type="character" w:styleId="42">
    <w:name w:val="HTML Definition"/>
    <w:unhideWhenUsed/>
    <w:qFormat/>
    <w:locked/>
    <w:uiPriority w:val="99"/>
    <w:rPr>
      <w:i/>
    </w:rPr>
  </w:style>
  <w:style w:type="character" w:styleId="43">
    <w:name w:val="Hyperlink"/>
    <w:qFormat/>
    <w:locked/>
    <w:uiPriority w:val="99"/>
    <w:rPr>
      <w:rFonts w:ascii="仿宋_GB2312" w:hAnsi="Tahoma" w:eastAsia="仿宋_GB2312"/>
      <w:color w:val="0562B6"/>
      <w:szCs w:val="21"/>
      <w:u w:val="none"/>
    </w:rPr>
  </w:style>
  <w:style w:type="character" w:styleId="44">
    <w:name w:val="HTML Code"/>
    <w:unhideWhenUsed/>
    <w:qFormat/>
    <w:locked/>
    <w:uiPriority w:val="99"/>
    <w:rPr>
      <w:rFonts w:ascii="monospace" w:hAnsi="monospace" w:eastAsia="monospace" w:cs="monospace"/>
      <w:sz w:val="21"/>
      <w:szCs w:val="21"/>
    </w:rPr>
  </w:style>
  <w:style w:type="character" w:styleId="45">
    <w:name w:val="annotation reference"/>
    <w:qFormat/>
    <w:uiPriority w:val="0"/>
    <w:rPr>
      <w:sz w:val="21"/>
    </w:rPr>
  </w:style>
  <w:style w:type="character" w:styleId="46">
    <w:name w:val="HTML Keyboard"/>
    <w:unhideWhenUsed/>
    <w:qFormat/>
    <w:locked/>
    <w:uiPriority w:val="99"/>
    <w:rPr>
      <w:rFonts w:hint="default" w:ascii="monospace" w:hAnsi="monospace" w:eastAsia="monospace" w:cs="monospace"/>
      <w:sz w:val="21"/>
      <w:szCs w:val="21"/>
    </w:rPr>
  </w:style>
  <w:style w:type="character" w:styleId="47">
    <w:name w:val="HTML Sample"/>
    <w:unhideWhenUsed/>
    <w:qFormat/>
    <w:locked/>
    <w:uiPriority w:val="99"/>
    <w:rPr>
      <w:rFonts w:hint="default" w:ascii="monospace" w:hAnsi="monospace" w:eastAsia="monospace" w:cs="monospace"/>
      <w:sz w:val="21"/>
      <w:szCs w:val="21"/>
    </w:rPr>
  </w:style>
  <w:style w:type="character" w:customStyle="1" w:styleId="48">
    <w:name w:val="标题 2 字符"/>
    <w:link w:val="3"/>
    <w:qFormat/>
    <w:uiPriority w:val="0"/>
    <w:rPr>
      <w:rFonts w:ascii="Arial" w:hAnsi="Arial" w:eastAsia="黑体"/>
      <w:b/>
      <w:bCs/>
      <w:kern w:val="2"/>
      <w:sz w:val="32"/>
      <w:szCs w:val="32"/>
    </w:rPr>
  </w:style>
  <w:style w:type="paragraph" w:customStyle="1" w:styleId="49">
    <w:name w:val="环评正文"/>
    <w:basedOn w:val="1"/>
    <w:qFormat/>
    <w:uiPriority w:val="0"/>
    <w:pPr>
      <w:spacing w:line="360" w:lineRule="auto"/>
      <w:ind w:firstLine="562" w:firstLineChars="200"/>
    </w:pPr>
    <w:rPr>
      <w:rFonts w:cs="宋体"/>
      <w:sz w:val="24"/>
      <w:szCs w:val="20"/>
    </w:rPr>
  </w:style>
  <w:style w:type="paragraph" w:customStyle="1" w:styleId="50">
    <w:name w:val="CCGL正文"/>
    <w:basedOn w:val="1"/>
    <w:link w:val="51"/>
    <w:qFormat/>
    <w:uiPriority w:val="0"/>
    <w:pPr>
      <w:autoSpaceDE w:val="0"/>
      <w:autoSpaceDN w:val="0"/>
      <w:adjustRightInd w:val="0"/>
      <w:spacing w:line="460" w:lineRule="exact"/>
      <w:ind w:firstLine="420" w:firstLineChars="200"/>
      <w:textAlignment w:val="baseline"/>
    </w:pPr>
    <w:rPr>
      <w:kern w:val="0"/>
      <w:sz w:val="26"/>
      <w:szCs w:val="22"/>
    </w:rPr>
  </w:style>
  <w:style w:type="character" w:customStyle="1" w:styleId="51">
    <w:name w:val="CCGL正文 Char"/>
    <w:link w:val="50"/>
    <w:qFormat/>
    <w:uiPriority w:val="0"/>
    <w:rPr>
      <w:sz w:val="26"/>
      <w:szCs w:val="22"/>
    </w:rPr>
  </w:style>
  <w:style w:type="character" w:customStyle="1" w:styleId="52">
    <w:name w:val="正文文本 字符"/>
    <w:link w:val="14"/>
    <w:qFormat/>
    <w:locked/>
    <w:uiPriority w:val="99"/>
    <w:rPr>
      <w:sz w:val="18"/>
    </w:rPr>
  </w:style>
  <w:style w:type="paragraph" w:customStyle="1" w:styleId="53">
    <w:name w:val="样式 正文缩进正文缩进2正文缩进 Char Char正文缩进 Char Char Char Char正文缩进 Char ..."/>
    <w:basedOn w:val="9"/>
    <w:qFormat/>
    <w:uiPriority w:val="0"/>
    <w:pPr>
      <w:tabs>
        <w:tab w:val="left" w:pos="105"/>
        <w:tab w:val="clear" w:pos="540"/>
        <w:tab w:val="clear" w:pos="1080"/>
        <w:tab w:val="clear" w:pos="1800"/>
      </w:tabs>
      <w:spacing w:line="360" w:lineRule="auto"/>
      <w:ind w:firstLine="200"/>
    </w:pPr>
    <w:rPr>
      <w:rFonts w:ascii="仿宋_GB2312" w:hAnsi="仿宋_GB2312" w:eastAsia="宋体" w:cs="宋体"/>
      <w:sz w:val="24"/>
    </w:rPr>
  </w:style>
  <w:style w:type="character" w:customStyle="1" w:styleId="54">
    <w:name w:val="标题 1 字符"/>
    <w:link w:val="2"/>
    <w:qFormat/>
    <w:uiPriority w:val="9"/>
    <w:rPr>
      <w:rFonts w:eastAsia="黑体"/>
      <w:b/>
      <w:bCs/>
      <w:color w:val="000000"/>
      <w:kern w:val="44"/>
      <w:sz w:val="30"/>
      <w:szCs w:val="30"/>
    </w:rPr>
  </w:style>
  <w:style w:type="character" w:customStyle="1" w:styleId="55">
    <w:name w:val="标题 3 字符"/>
    <w:link w:val="4"/>
    <w:qFormat/>
    <w:uiPriority w:val="9"/>
    <w:rPr>
      <w:b/>
      <w:bCs/>
      <w:kern w:val="2"/>
      <w:sz w:val="32"/>
      <w:szCs w:val="32"/>
    </w:rPr>
  </w:style>
  <w:style w:type="character" w:customStyle="1" w:styleId="56">
    <w:name w:val="标题 4 字符"/>
    <w:link w:val="5"/>
    <w:qFormat/>
    <w:uiPriority w:val="9"/>
    <w:rPr>
      <w:rFonts w:ascii="Calibri Light" w:hAnsi="Calibri Light"/>
      <w:b/>
      <w:bCs/>
      <w:kern w:val="2"/>
      <w:sz w:val="28"/>
      <w:szCs w:val="28"/>
    </w:rPr>
  </w:style>
  <w:style w:type="character" w:customStyle="1" w:styleId="57">
    <w:name w:val="标题 5 字符"/>
    <w:link w:val="6"/>
    <w:qFormat/>
    <w:uiPriority w:val="9"/>
    <w:rPr>
      <w:b/>
      <w:bCs/>
      <w:kern w:val="2"/>
      <w:sz w:val="28"/>
      <w:szCs w:val="28"/>
    </w:rPr>
  </w:style>
  <w:style w:type="character" w:customStyle="1" w:styleId="58">
    <w:name w:val="注释标题 字符"/>
    <w:link w:val="8"/>
    <w:qFormat/>
    <w:uiPriority w:val="0"/>
    <w:rPr>
      <w:kern w:val="2"/>
      <w:sz w:val="21"/>
      <w:szCs w:val="24"/>
    </w:rPr>
  </w:style>
  <w:style w:type="character" w:customStyle="1" w:styleId="59">
    <w:name w:val="正文缩进 字符"/>
    <w:link w:val="9"/>
    <w:qFormat/>
    <w:uiPriority w:val="0"/>
    <w:rPr>
      <w:rFonts w:ascii="仿宋_GB2312" w:hAnsi="宋体"/>
      <w:kern w:val="2"/>
      <w:sz w:val="24"/>
      <w:szCs w:val="21"/>
    </w:rPr>
  </w:style>
  <w:style w:type="character" w:customStyle="1" w:styleId="60">
    <w:name w:val="文档结构图 字符"/>
    <w:link w:val="11"/>
    <w:qFormat/>
    <w:uiPriority w:val="99"/>
    <w:rPr>
      <w:rFonts w:ascii="宋体"/>
      <w:kern w:val="2"/>
      <w:sz w:val="18"/>
      <w:szCs w:val="18"/>
    </w:rPr>
  </w:style>
  <w:style w:type="character" w:customStyle="1" w:styleId="61">
    <w:name w:val="批注文字 字符"/>
    <w:link w:val="13"/>
    <w:qFormat/>
    <w:locked/>
    <w:uiPriority w:val="0"/>
    <w:rPr>
      <w:rFonts w:ascii="Times New Roman" w:hAnsi="Times New Roman" w:eastAsia="宋体"/>
      <w:sz w:val="24"/>
    </w:rPr>
  </w:style>
  <w:style w:type="character" w:customStyle="1" w:styleId="62">
    <w:name w:val="正文文本缩进 字符"/>
    <w:link w:val="15"/>
    <w:qFormat/>
    <w:locked/>
    <w:uiPriority w:val="0"/>
    <w:rPr>
      <w:rFonts w:ascii="Times New Roman" w:hAnsi="Times New Roman" w:eastAsia="宋体"/>
      <w:sz w:val="24"/>
    </w:rPr>
  </w:style>
  <w:style w:type="character" w:customStyle="1" w:styleId="63">
    <w:name w:val="纯文本 字符"/>
    <w:link w:val="17"/>
    <w:qFormat/>
    <w:uiPriority w:val="0"/>
    <w:rPr>
      <w:rFonts w:ascii="宋体" w:hAnsi="Courier New"/>
      <w:kern w:val="2"/>
      <w:sz w:val="21"/>
      <w:szCs w:val="21"/>
    </w:rPr>
  </w:style>
  <w:style w:type="character" w:customStyle="1" w:styleId="64">
    <w:name w:val="日期 字符1"/>
    <w:link w:val="19"/>
    <w:qFormat/>
    <w:locked/>
    <w:uiPriority w:val="0"/>
    <w:rPr>
      <w:rFonts w:ascii="Times New Roman" w:hAnsi="Times New Roman" w:eastAsia="宋体"/>
      <w:sz w:val="24"/>
    </w:rPr>
  </w:style>
  <w:style w:type="character" w:customStyle="1" w:styleId="65">
    <w:name w:val="正文文本缩进 2 字符"/>
    <w:link w:val="20"/>
    <w:qFormat/>
    <w:uiPriority w:val="99"/>
    <w:rPr>
      <w:kern w:val="2"/>
      <w:sz w:val="21"/>
      <w:szCs w:val="22"/>
    </w:rPr>
  </w:style>
  <w:style w:type="character" w:customStyle="1" w:styleId="66">
    <w:name w:val="批注框文本 字符"/>
    <w:link w:val="21"/>
    <w:qFormat/>
    <w:locked/>
    <w:uiPriority w:val="99"/>
    <w:rPr>
      <w:rFonts w:ascii="Times New Roman" w:hAnsi="Times New Roman" w:eastAsia="宋体"/>
      <w:sz w:val="18"/>
    </w:rPr>
  </w:style>
  <w:style w:type="character" w:customStyle="1" w:styleId="67">
    <w:name w:val="页脚 字符1"/>
    <w:link w:val="22"/>
    <w:qFormat/>
    <w:locked/>
    <w:uiPriority w:val="99"/>
    <w:rPr>
      <w:sz w:val="18"/>
    </w:rPr>
  </w:style>
  <w:style w:type="character" w:customStyle="1" w:styleId="68">
    <w:name w:val="页眉 字符"/>
    <w:link w:val="23"/>
    <w:qFormat/>
    <w:locked/>
    <w:uiPriority w:val="0"/>
    <w:rPr>
      <w:sz w:val="18"/>
    </w:rPr>
  </w:style>
  <w:style w:type="character" w:customStyle="1" w:styleId="69">
    <w:name w:val="副标题 字符"/>
    <w:link w:val="27"/>
    <w:qFormat/>
    <w:uiPriority w:val="11"/>
    <w:rPr>
      <w:rFonts w:ascii="Calibri Light" w:hAnsi="Calibri Light"/>
      <w:b/>
      <w:bCs/>
      <w:kern w:val="28"/>
      <w:sz w:val="32"/>
      <w:szCs w:val="32"/>
    </w:rPr>
  </w:style>
  <w:style w:type="character" w:customStyle="1" w:styleId="70">
    <w:name w:val="正文文本缩进 3 字符"/>
    <w:link w:val="28"/>
    <w:qFormat/>
    <w:uiPriority w:val="99"/>
    <w:rPr>
      <w:kern w:val="2"/>
      <w:sz w:val="28"/>
      <w:szCs w:val="22"/>
    </w:rPr>
  </w:style>
  <w:style w:type="character" w:customStyle="1" w:styleId="71">
    <w:name w:val="普通(网站) 字符"/>
    <w:link w:val="31"/>
    <w:qFormat/>
    <w:locked/>
    <w:uiPriority w:val="0"/>
    <w:rPr>
      <w:rFonts w:ascii="宋体" w:hAnsi="宋体" w:eastAsia="宋体"/>
      <w:sz w:val="24"/>
    </w:rPr>
  </w:style>
  <w:style w:type="character" w:customStyle="1" w:styleId="72">
    <w:name w:val="批注主题 字符"/>
    <w:link w:val="32"/>
    <w:qFormat/>
    <w:locked/>
    <w:uiPriority w:val="99"/>
    <w:rPr>
      <w:rFonts w:ascii="Times New Roman" w:hAnsi="Times New Roman" w:eastAsia="宋体"/>
      <w:b/>
      <w:kern w:val="2"/>
      <w:sz w:val="24"/>
    </w:rPr>
  </w:style>
  <w:style w:type="character" w:customStyle="1" w:styleId="73">
    <w:name w:val="正文首行缩进 2 字符"/>
    <w:link w:val="34"/>
    <w:qFormat/>
    <w:uiPriority w:val="99"/>
    <w:rPr>
      <w:rFonts w:ascii="宋体" w:hAnsi="宋体"/>
      <w:spacing w:val="10"/>
      <w:kern w:val="2"/>
      <w:sz w:val="21"/>
      <w:szCs w:val="22"/>
    </w:rPr>
  </w:style>
  <w:style w:type="character" w:customStyle="1" w:styleId="74">
    <w:name w:val="页脚 字符"/>
    <w:qFormat/>
    <w:uiPriority w:val="99"/>
  </w:style>
  <w:style w:type="paragraph" w:customStyle="1" w:styleId="75">
    <w:name w:val="Default"/>
    <w:basedOn w:val="76"/>
    <w:next w:val="7"/>
    <w:qForma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76">
    <w:name w:val="纯文本1"/>
    <w:basedOn w:val="1"/>
    <w:qFormat/>
    <w:uiPriority w:val="99"/>
    <w:pPr>
      <w:autoSpaceDE w:val="0"/>
      <w:autoSpaceDN w:val="0"/>
      <w:adjustRightInd w:val="0"/>
      <w:textAlignment w:val="baseline"/>
    </w:pPr>
    <w:rPr>
      <w:rFonts w:ascii="宋体"/>
      <w:szCs w:val="20"/>
    </w:rPr>
  </w:style>
  <w:style w:type="paragraph" w:customStyle="1" w:styleId="77">
    <w:name w:val="标题2"/>
    <w:basedOn w:val="3"/>
    <w:qFormat/>
    <w:locked/>
    <w:uiPriority w:val="0"/>
    <w:pPr>
      <w:numPr>
        <w:ilvl w:val="1"/>
        <w:numId w:val="2"/>
      </w:numPr>
      <w:spacing w:before="0" w:after="0" w:line="440" w:lineRule="exact"/>
    </w:pPr>
    <w:rPr>
      <w:kern w:val="0"/>
      <w:sz w:val="28"/>
    </w:rPr>
  </w:style>
  <w:style w:type="character" w:customStyle="1" w:styleId="78">
    <w:name w:val="报告书正文 Char"/>
    <w:link w:val="79"/>
    <w:qFormat/>
    <w:uiPriority w:val="0"/>
    <w:rPr>
      <w:rFonts w:ascii="宋体" w:hAnsi="宋体" w:cs="Arial"/>
      <w:bCs/>
      <w:sz w:val="24"/>
      <w:szCs w:val="24"/>
    </w:rPr>
  </w:style>
  <w:style w:type="paragraph" w:customStyle="1" w:styleId="79">
    <w:name w:val="报告书正文"/>
    <w:basedOn w:val="20"/>
    <w:link w:val="78"/>
    <w:qFormat/>
    <w:uiPriority w:val="0"/>
    <w:pPr>
      <w:tabs>
        <w:tab w:val="left" w:pos="6300"/>
      </w:tabs>
      <w:adjustRightInd w:val="0"/>
      <w:snapToGrid w:val="0"/>
      <w:spacing w:after="0" w:line="480" w:lineRule="exact"/>
      <w:ind w:left="0" w:leftChars="0" w:firstLine="480" w:firstLineChars="200"/>
    </w:pPr>
    <w:rPr>
      <w:rFonts w:ascii="宋体" w:hAnsi="宋体"/>
      <w:bCs/>
      <w:kern w:val="0"/>
      <w:sz w:val="24"/>
      <w:szCs w:val="24"/>
    </w:rPr>
  </w:style>
  <w:style w:type="character" w:customStyle="1" w:styleId="80">
    <w:name w:val="box-bg"/>
    <w:qFormat/>
    <w:uiPriority w:val="0"/>
    <w:rPr>
      <w:shd w:val="clear" w:color="auto" w:fill="2C2C2C"/>
    </w:rPr>
  </w:style>
  <w:style w:type="character" w:customStyle="1" w:styleId="81">
    <w:name w:val="xiangq"/>
    <w:qFormat/>
    <w:uiPriority w:val="0"/>
    <w:rPr>
      <w:rFonts w:hint="eastAsia" w:ascii="微软雅黑 Regular" w:hAnsi="微软雅黑 Regular" w:eastAsia="微软雅黑 Regular" w:cs="微软雅黑 Regular"/>
      <w:color w:val="FFFFFF"/>
      <w:sz w:val="15"/>
      <w:szCs w:val="15"/>
      <w:shd w:val="clear" w:color="auto" w:fill="EB5857"/>
    </w:rPr>
  </w:style>
  <w:style w:type="character" w:customStyle="1" w:styleId="82">
    <w:name w:val="xinyong"/>
    <w:qFormat/>
    <w:uiPriority w:val="0"/>
    <w:rPr>
      <w:rFonts w:hint="eastAsia" w:ascii="微软雅黑 Bold" w:hAnsi="微软雅黑 Bold" w:eastAsia="微软雅黑 Bold" w:cs="微软雅黑 Bold"/>
      <w:b/>
      <w:color w:val="4E4E4E"/>
      <w:sz w:val="28"/>
      <w:szCs w:val="28"/>
    </w:rPr>
  </w:style>
  <w:style w:type="character" w:customStyle="1" w:styleId="83">
    <w:name w:val="文档结构图 字符1"/>
    <w:qFormat/>
    <w:uiPriority w:val="99"/>
    <w:rPr>
      <w:rFonts w:ascii="Microsoft YaHei UI" w:eastAsia="Microsoft YaHei UI"/>
      <w:kern w:val="2"/>
      <w:sz w:val="18"/>
      <w:szCs w:val="18"/>
    </w:rPr>
  </w:style>
  <w:style w:type="character" w:customStyle="1" w:styleId="84">
    <w:name w:val="registration-number"/>
    <w:qFormat/>
    <w:uiPriority w:val="0"/>
    <w:rPr>
      <w:rFonts w:hint="default" w:ascii="微软雅黑 Bold" w:hAnsi="微软雅黑 Bold" w:eastAsia="微软雅黑 Bold" w:cs="微软雅黑 Bold"/>
      <w:b/>
      <w:color w:val="545454"/>
      <w:sz w:val="16"/>
      <w:szCs w:val="16"/>
    </w:rPr>
  </w:style>
  <w:style w:type="character" w:customStyle="1" w:styleId="85">
    <w:name w:val="正文 首行缩进:  2 字符 Char Char"/>
    <w:link w:val="86"/>
    <w:qFormat/>
    <w:uiPriority w:val="0"/>
    <w:rPr>
      <w:rFonts w:hAnsi="仿宋_GB2312"/>
      <w:kern w:val="2"/>
      <w:sz w:val="21"/>
      <w:szCs w:val="22"/>
    </w:rPr>
  </w:style>
  <w:style w:type="paragraph" w:customStyle="1" w:styleId="86">
    <w:name w:val="正文 首行缩进:  2 字符"/>
    <w:basedOn w:val="1"/>
    <w:link w:val="85"/>
    <w:qFormat/>
    <w:uiPriority w:val="0"/>
    <w:pPr>
      <w:adjustRightInd w:val="0"/>
      <w:snapToGrid w:val="0"/>
      <w:spacing w:line="360" w:lineRule="auto"/>
      <w:ind w:firstLine="470" w:firstLineChars="196"/>
    </w:pPr>
    <w:rPr>
      <w:rFonts w:hAnsi="仿宋_GB2312"/>
      <w:szCs w:val="22"/>
    </w:rPr>
  </w:style>
  <w:style w:type="character" w:customStyle="1" w:styleId="87">
    <w:name w:val="表格文字 Char"/>
    <w:link w:val="88"/>
    <w:qFormat/>
    <w:uiPriority w:val="0"/>
    <w:rPr>
      <w:rFonts w:ascii="宋体" w:hAnsi="宋体"/>
      <w:spacing w:val="8"/>
      <w:kern w:val="2"/>
      <w:sz w:val="24"/>
      <w:szCs w:val="21"/>
    </w:rPr>
  </w:style>
  <w:style w:type="paragraph" w:customStyle="1" w:styleId="88">
    <w:name w:val="表格文字"/>
    <w:basedOn w:val="17"/>
    <w:link w:val="87"/>
    <w:qFormat/>
    <w:uiPriority w:val="0"/>
    <w:pPr>
      <w:tabs>
        <w:tab w:val="left" w:pos="540"/>
        <w:tab w:val="left" w:pos="1080"/>
        <w:tab w:val="left" w:pos="1800"/>
      </w:tabs>
      <w:adjustRightInd w:val="0"/>
      <w:snapToGrid w:val="0"/>
      <w:spacing w:line="360" w:lineRule="exact"/>
      <w:jc w:val="center"/>
    </w:pPr>
    <w:rPr>
      <w:rFonts w:ascii="宋体"/>
      <w:spacing w:val="8"/>
    </w:rPr>
  </w:style>
  <w:style w:type="character" w:customStyle="1" w:styleId="89">
    <w:name w:val="副标题 字符1"/>
    <w:qFormat/>
    <w:uiPriority w:val="11"/>
    <w:rPr>
      <w:rFonts w:ascii="等线 Light" w:hAnsi="等线 Light" w:cs="Times New Roman"/>
      <w:b/>
      <w:bCs/>
      <w:kern w:val="28"/>
      <w:sz w:val="32"/>
      <w:szCs w:val="32"/>
    </w:rPr>
  </w:style>
  <w:style w:type="character" w:customStyle="1" w:styleId="90">
    <w:name w:val="box-bg1"/>
    <w:qFormat/>
    <w:uiPriority w:val="0"/>
    <w:rPr>
      <w:shd w:val="clear" w:color="auto" w:fill="2C2C2C"/>
    </w:rPr>
  </w:style>
  <w:style w:type="character" w:customStyle="1" w:styleId="91">
    <w:name w:val="layui-layer-tabnow"/>
    <w:qFormat/>
    <w:uiPriority w:val="0"/>
    <w:rPr>
      <w:bdr w:val="single" w:color="CCCCCC" w:sz="4" w:space="0"/>
      <w:shd w:val="clear" w:color="auto" w:fill="FFFFFF"/>
    </w:rPr>
  </w:style>
  <w:style w:type="character" w:customStyle="1" w:styleId="92">
    <w:name w:val="表格 Char"/>
    <w:link w:val="93"/>
    <w:qFormat/>
    <w:locked/>
    <w:uiPriority w:val="0"/>
    <w:rPr>
      <w:rFonts w:ascii="宋体"/>
      <w:sz w:val="21"/>
    </w:rPr>
  </w:style>
  <w:style w:type="paragraph" w:customStyle="1" w:styleId="93">
    <w:name w:val="表格"/>
    <w:basedOn w:val="1"/>
    <w:next w:val="1"/>
    <w:link w:val="92"/>
    <w:qFormat/>
    <w:uiPriority w:val="0"/>
    <w:pPr>
      <w:adjustRightInd w:val="0"/>
      <w:snapToGrid w:val="0"/>
      <w:spacing w:beforeLines="10" w:afterLines="10" w:line="259" w:lineRule="auto"/>
      <w:jc w:val="center"/>
    </w:pPr>
    <w:rPr>
      <w:rFonts w:ascii="宋体"/>
      <w:kern w:val="0"/>
      <w:szCs w:val="20"/>
    </w:rPr>
  </w:style>
  <w:style w:type="character" w:customStyle="1" w:styleId="94">
    <w:name w:val="text"/>
    <w:qFormat/>
    <w:uiPriority w:val="0"/>
    <w:rPr>
      <w:rFonts w:ascii="微软雅黑" w:hAnsi="微软雅黑" w:eastAsia="微软雅黑" w:cs="微软雅黑"/>
      <w:color w:val="804000"/>
      <w:sz w:val="19"/>
      <w:szCs w:val="19"/>
    </w:rPr>
  </w:style>
  <w:style w:type="character" w:customStyle="1" w:styleId="95">
    <w:name w:val="正文文本 字符1"/>
    <w:semiHidden/>
    <w:qFormat/>
    <w:uiPriority w:val="99"/>
    <w:rPr>
      <w:rFonts w:ascii="Times New Roman" w:hAnsi="Times New Roman" w:eastAsia="宋体"/>
      <w:sz w:val="24"/>
    </w:rPr>
  </w:style>
  <w:style w:type="character" w:customStyle="1" w:styleId="96">
    <w:name w:val="纯文本 字符1"/>
    <w:qFormat/>
    <w:uiPriority w:val="0"/>
    <w:rPr>
      <w:rFonts w:ascii="宋体" w:hAnsi="Courier New" w:cs="Courier New"/>
      <w:kern w:val="2"/>
      <w:sz w:val="21"/>
      <w:szCs w:val="21"/>
    </w:rPr>
  </w:style>
  <w:style w:type="character" w:customStyle="1" w:styleId="97">
    <w:name w:val="bg5"/>
    <w:qFormat/>
    <w:uiPriority w:val="0"/>
    <w:rPr>
      <w:bdr w:val="single" w:color="C59433" w:sz="4" w:space="0"/>
      <w:shd w:val="clear" w:color="auto" w:fill="804000"/>
    </w:rPr>
  </w:style>
  <w:style w:type="character" w:customStyle="1" w:styleId="98">
    <w:name w:val="页脚 字符2"/>
    <w:qFormat/>
    <w:uiPriority w:val="0"/>
    <w:rPr>
      <w:kern w:val="2"/>
      <w:sz w:val="18"/>
      <w:szCs w:val="18"/>
    </w:rPr>
  </w:style>
  <w:style w:type="character" w:customStyle="1" w:styleId="99">
    <w:name w:val="ca-11"/>
    <w:qFormat/>
    <w:uiPriority w:val="0"/>
    <w:rPr>
      <w:rFonts w:hint="eastAsia" w:ascii="仿宋_GB2312" w:eastAsia="仿宋_GB2312"/>
      <w:sz w:val="30"/>
      <w:szCs w:val="30"/>
    </w:rPr>
  </w:style>
  <w:style w:type="character" w:styleId="100">
    <w:name w:val="Placeholder Text"/>
    <w:unhideWhenUsed/>
    <w:qFormat/>
    <w:uiPriority w:val="99"/>
    <w:rPr>
      <w:color w:val="808080"/>
    </w:rPr>
  </w:style>
  <w:style w:type="character" w:customStyle="1" w:styleId="101">
    <w:name w:val="aa院正文 Char Char"/>
    <w:link w:val="102"/>
    <w:qFormat/>
    <w:uiPriority w:val="0"/>
    <w:rPr>
      <w:rFonts w:hAnsi="宋体"/>
      <w:sz w:val="26"/>
      <w:szCs w:val="28"/>
    </w:rPr>
  </w:style>
  <w:style w:type="paragraph" w:customStyle="1" w:styleId="102">
    <w:name w:val="aa院正文"/>
    <w:basedOn w:val="1"/>
    <w:link w:val="101"/>
    <w:qFormat/>
    <w:uiPriority w:val="0"/>
    <w:pPr>
      <w:adjustRightInd w:val="0"/>
      <w:snapToGrid w:val="0"/>
      <w:spacing w:line="460" w:lineRule="exact"/>
      <w:ind w:firstLine="200" w:firstLineChars="200"/>
    </w:pPr>
    <w:rPr>
      <w:rFonts w:hAnsi="宋体"/>
      <w:kern w:val="0"/>
      <w:sz w:val="26"/>
      <w:szCs w:val="28"/>
    </w:rPr>
  </w:style>
  <w:style w:type="character" w:customStyle="1" w:styleId="103">
    <w:name w:val="页眉 字符1"/>
    <w:qFormat/>
    <w:uiPriority w:val="0"/>
    <w:rPr>
      <w:kern w:val="2"/>
      <w:sz w:val="18"/>
      <w:szCs w:val="18"/>
    </w:rPr>
  </w:style>
  <w:style w:type="character" w:customStyle="1" w:styleId="104">
    <w:name w:val="标准样式 Char"/>
    <w:link w:val="105"/>
    <w:qFormat/>
    <w:uiPriority w:val="0"/>
    <w:rPr>
      <w:sz w:val="28"/>
      <w:lang w:val="en-US" w:eastAsia="zh-CN" w:bidi="ar-SA"/>
    </w:rPr>
  </w:style>
  <w:style w:type="paragraph" w:customStyle="1" w:styleId="105">
    <w:name w:val="标准样式"/>
    <w:link w:val="104"/>
    <w:qFormat/>
    <w:uiPriority w:val="0"/>
    <w:pPr>
      <w:widowControl w:val="0"/>
      <w:spacing w:line="600" w:lineRule="exact"/>
      <w:ind w:firstLine="200" w:firstLineChars="200"/>
      <w:jc w:val="both"/>
    </w:pPr>
    <w:rPr>
      <w:rFonts w:ascii="Times New Roman" w:hAnsi="Times New Roman" w:eastAsia="宋体" w:cs="Times New Roman"/>
      <w:sz w:val="28"/>
      <w:lang w:val="en-US" w:eastAsia="zh-CN" w:bidi="ar-SA"/>
    </w:rPr>
  </w:style>
  <w:style w:type="character" w:customStyle="1" w:styleId="106">
    <w:name w:val="样式5 Char"/>
    <w:link w:val="107"/>
    <w:qFormat/>
    <w:uiPriority w:val="0"/>
    <w:rPr>
      <w:color w:val="000000"/>
      <w:kern w:val="2"/>
      <w:sz w:val="26"/>
      <w:szCs w:val="26"/>
    </w:rPr>
  </w:style>
  <w:style w:type="paragraph" w:customStyle="1" w:styleId="107">
    <w:name w:val="样式5"/>
    <w:basedOn w:val="1"/>
    <w:link w:val="106"/>
    <w:qFormat/>
    <w:uiPriority w:val="0"/>
    <w:pPr>
      <w:adjustRightInd w:val="0"/>
      <w:snapToGrid w:val="0"/>
      <w:spacing w:beforeLines="50" w:line="480" w:lineRule="atLeast"/>
      <w:jc w:val="center"/>
      <w:outlineLvl w:val="4"/>
    </w:pPr>
    <w:rPr>
      <w:color w:val="000000"/>
      <w:sz w:val="26"/>
      <w:szCs w:val="26"/>
    </w:rPr>
  </w:style>
  <w:style w:type="character" w:customStyle="1" w:styleId="108">
    <w:name w:val="text7"/>
    <w:qFormat/>
    <w:uiPriority w:val="0"/>
    <w:rPr>
      <w:rFonts w:hint="eastAsia" w:ascii="微软雅黑" w:hAnsi="微软雅黑" w:eastAsia="微软雅黑" w:cs="微软雅黑"/>
      <w:color w:val="804000"/>
      <w:sz w:val="19"/>
      <w:szCs w:val="19"/>
    </w:rPr>
  </w:style>
  <w:style w:type="character" w:customStyle="1" w:styleId="109">
    <w:name w:val="qowt-font1-timesnewroman"/>
    <w:qFormat/>
    <w:uiPriority w:val="0"/>
  </w:style>
  <w:style w:type="character" w:customStyle="1" w:styleId="110">
    <w:name w:val="正文文本缩进 字符1"/>
    <w:semiHidden/>
    <w:qFormat/>
    <w:uiPriority w:val="99"/>
    <w:rPr>
      <w:kern w:val="2"/>
      <w:sz w:val="21"/>
      <w:szCs w:val="22"/>
    </w:rPr>
  </w:style>
  <w:style w:type="character" w:customStyle="1" w:styleId="111">
    <w:name w:val="副标题 Char"/>
    <w:qFormat/>
    <w:uiPriority w:val="11"/>
    <w:rPr>
      <w:rFonts w:ascii="Calibri Light" w:hAnsi="Calibri Light" w:cs="Times New Roman"/>
      <w:b/>
      <w:bCs/>
      <w:kern w:val="28"/>
      <w:sz w:val="32"/>
      <w:szCs w:val="32"/>
    </w:rPr>
  </w:style>
  <w:style w:type="character" w:customStyle="1" w:styleId="112">
    <w:name w:val="表格样式 Char"/>
    <w:link w:val="113"/>
    <w:qFormat/>
    <w:uiPriority w:val="0"/>
    <w:rPr>
      <w:rFonts w:ascii="Times New Roman" w:hAnsi="Times New Roman" w:eastAsia="宋体"/>
      <w:kern w:val="2"/>
      <w:sz w:val="21"/>
      <w:szCs w:val="21"/>
    </w:rPr>
  </w:style>
  <w:style w:type="paragraph" w:customStyle="1" w:styleId="113">
    <w:name w:val="表格样式"/>
    <w:basedOn w:val="1"/>
    <w:link w:val="112"/>
    <w:qFormat/>
    <w:uiPriority w:val="0"/>
    <w:pPr>
      <w:spacing w:line="360" w:lineRule="exact"/>
      <w:contextualSpacing/>
      <w:jc w:val="center"/>
    </w:pPr>
    <w:rPr>
      <w:szCs w:val="21"/>
    </w:rPr>
  </w:style>
  <w:style w:type="character" w:customStyle="1" w:styleId="114">
    <w:name w:val="标题 2 Char"/>
    <w:semiHidden/>
    <w:qFormat/>
    <w:uiPriority w:val="9"/>
    <w:rPr>
      <w:rFonts w:ascii="Calibri Light" w:hAnsi="Calibri Light" w:eastAsia="宋体" w:cs="Times New Roman"/>
      <w:b/>
      <w:bCs/>
      <w:kern w:val="2"/>
      <w:sz w:val="32"/>
      <w:szCs w:val="32"/>
    </w:rPr>
  </w:style>
  <w:style w:type="character" w:customStyle="1" w:styleId="115">
    <w:name w:val="text8"/>
    <w:qFormat/>
    <w:uiPriority w:val="0"/>
    <w:rPr>
      <w:rFonts w:hint="eastAsia" w:ascii="微软雅黑" w:hAnsi="微软雅黑" w:eastAsia="微软雅黑" w:cs="微软雅黑"/>
      <w:color w:val="804000"/>
      <w:sz w:val="21"/>
      <w:szCs w:val="21"/>
      <w:u w:val="single"/>
    </w:rPr>
  </w:style>
  <w:style w:type="character" w:customStyle="1" w:styleId="116">
    <w:name w:val="fontstyle01"/>
    <w:qFormat/>
    <w:uiPriority w:val="0"/>
    <w:rPr>
      <w:rFonts w:hint="eastAsia" w:ascii="宋体" w:hAnsi="宋体" w:eastAsia="宋体"/>
      <w:color w:val="000000"/>
      <w:sz w:val="24"/>
      <w:szCs w:val="24"/>
    </w:rPr>
  </w:style>
  <w:style w:type="character" w:customStyle="1" w:styleId="117">
    <w:name w:val="content1"/>
    <w:qFormat/>
    <w:uiPriority w:val="0"/>
    <w:rPr>
      <w:color w:val="000000"/>
      <w:sz w:val="20"/>
      <w:szCs w:val="20"/>
    </w:rPr>
  </w:style>
  <w:style w:type="character" w:customStyle="1" w:styleId="118">
    <w:name w:val="text1"/>
    <w:qFormat/>
    <w:uiPriority w:val="0"/>
    <w:rPr>
      <w:rFonts w:hint="eastAsia" w:ascii="微软雅黑" w:hAnsi="微软雅黑" w:eastAsia="微软雅黑" w:cs="微软雅黑"/>
      <w:color w:val="804000"/>
      <w:sz w:val="19"/>
      <w:szCs w:val="19"/>
    </w:rPr>
  </w:style>
  <w:style w:type="character" w:customStyle="1" w:styleId="119">
    <w:name w:val="text4"/>
    <w:qFormat/>
    <w:uiPriority w:val="0"/>
    <w:rPr>
      <w:rFonts w:hint="eastAsia" w:ascii="微软雅黑" w:hAnsi="微软雅黑" w:eastAsia="微软雅黑" w:cs="微软雅黑"/>
      <w:color w:val="804000"/>
      <w:sz w:val="19"/>
      <w:szCs w:val="19"/>
    </w:rPr>
  </w:style>
  <w:style w:type="character" w:customStyle="1" w:styleId="120">
    <w:name w:val="bg4"/>
    <w:qFormat/>
    <w:uiPriority w:val="0"/>
    <w:rPr>
      <w:bdr w:val="single" w:color="C59433" w:sz="4" w:space="0"/>
      <w:shd w:val="clear" w:color="auto" w:fill="804000"/>
    </w:rPr>
  </w:style>
  <w:style w:type="character" w:customStyle="1" w:styleId="121">
    <w:name w:val="use-help"/>
    <w:qFormat/>
    <w:uiPriority w:val="0"/>
  </w:style>
  <w:style w:type="character" w:customStyle="1" w:styleId="122">
    <w:name w:val="bg8"/>
    <w:qFormat/>
    <w:uiPriority w:val="0"/>
    <w:rPr>
      <w:bdr w:val="single" w:color="C59433" w:sz="4" w:space="0"/>
      <w:shd w:val="clear" w:color="auto" w:fill="804000"/>
    </w:rPr>
  </w:style>
  <w:style w:type="character" w:customStyle="1" w:styleId="123">
    <w:name w:val="页脚 Char"/>
    <w:qFormat/>
    <w:uiPriority w:val="99"/>
    <w:rPr>
      <w:sz w:val="18"/>
      <w:szCs w:val="18"/>
    </w:rPr>
  </w:style>
  <w:style w:type="character" w:customStyle="1" w:styleId="124">
    <w:name w:val="bg7"/>
    <w:qFormat/>
    <w:uiPriority w:val="0"/>
    <w:rPr>
      <w:bdr w:val="single" w:color="C59433" w:sz="4" w:space="0"/>
      <w:shd w:val="clear" w:color="auto" w:fill="804000"/>
    </w:rPr>
  </w:style>
  <w:style w:type="character" w:customStyle="1" w:styleId="125">
    <w:name w:val="bg"/>
    <w:qFormat/>
    <w:uiPriority w:val="0"/>
    <w:rPr>
      <w:bdr w:val="single" w:color="C59433" w:sz="4" w:space="0"/>
      <w:shd w:val="clear" w:color="auto" w:fill="804000"/>
    </w:rPr>
  </w:style>
  <w:style w:type="character" w:customStyle="1" w:styleId="126">
    <w:name w:val="无间隔 字符"/>
    <w:link w:val="127"/>
    <w:qFormat/>
    <w:uiPriority w:val="1"/>
    <w:rPr>
      <w:sz w:val="22"/>
      <w:szCs w:val="22"/>
      <w:lang w:val="en-US" w:eastAsia="zh-CN" w:bidi="ar-SA"/>
    </w:rPr>
  </w:style>
  <w:style w:type="paragraph" w:styleId="127">
    <w:name w:val="No Spacing"/>
    <w:link w:val="126"/>
    <w:qFormat/>
    <w:uiPriority w:val="1"/>
    <w:rPr>
      <w:rFonts w:ascii="Times New Roman" w:hAnsi="Times New Roman" w:eastAsia="宋体" w:cs="Times New Roman"/>
      <w:sz w:val="22"/>
      <w:szCs w:val="22"/>
      <w:lang w:val="en-US" w:eastAsia="zh-CN" w:bidi="ar-SA"/>
    </w:rPr>
  </w:style>
  <w:style w:type="character" w:customStyle="1" w:styleId="128">
    <w:name w:val="正文首行缩进 2 Char1"/>
    <w:semiHidden/>
    <w:qFormat/>
    <w:uiPriority w:val="99"/>
    <w:rPr>
      <w:rFonts w:ascii="宋体" w:hAnsi="宋体"/>
      <w:spacing w:val="10"/>
      <w:kern w:val="2"/>
      <w:sz w:val="21"/>
      <w:szCs w:val="22"/>
    </w:rPr>
  </w:style>
  <w:style w:type="character" w:customStyle="1" w:styleId="129">
    <w:name w:val="bg3"/>
    <w:qFormat/>
    <w:uiPriority w:val="0"/>
    <w:rPr>
      <w:bdr w:val="single" w:color="C59433" w:sz="4" w:space="0"/>
      <w:shd w:val="clear" w:color="auto" w:fill="804000"/>
    </w:rPr>
  </w:style>
  <w:style w:type="character" w:customStyle="1" w:styleId="130">
    <w:name w:val="表格样式1 Char"/>
    <w:link w:val="131"/>
    <w:qFormat/>
    <w:uiPriority w:val="0"/>
    <w:rPr>
      <w:bCs/>
      <w:kern w:val="2"/>
      <w:sz w:val="21"/>
      <w:szCs w:val="22"/>
    </w:rPr>
  </w:style>
  <w:style w:type="paragraph" w:customStyle="1" w:styleId="131">
    <w:name w:val="表格样式1"/>
    <w:basedOn w:val="1"/>
    <w:link w:val="130"/>
    <w:qFormat/>
    <w:uiPriority w:val="0"/>
    <w:pPr>
      <w:spacing w:line="320" w:lineRule="exact"/>
      <w:jc w:val="center"/>
    </w:pPr>
    <w:rPr>
      <w:bCs/>
      <w:szCs w:val="22"/>
    </w:rPr>
  </w:style>
  <w:style w:type="character" w:customStyle="1" w:styleId="132">
    <w:name w:val="text2"/>
    <w:qFormat/>
    <w:uiPriority w:val="0"/>
    <w:rPr>
      <w:rFonts w:hint="eastAsia" w:ascii="微软雅黑" w:hAnsi="微软雅黑" w:eastAsia="微软雅黑" w:cs="微软雅黑"/>
      <w:color w:val="804000"/>
      <w:sz w:val="19"/>
      <w:szCs w:val="19"/>
    </w:rPr>
  </w:style>
  <w:style w:type="character" w:customStyle="1" w:styleId="133">
    <w:name w:val="报告表正文 Char Char"/>
    <w:link w:val="134"/>
    <w:qFormat/>
    <w:uiPriority w:val="0"/>
    <w:rPr>
      <w:sz w:val="24"/>
    </w:rPr>
  </w:style>
  <w:style w:type="paragraph" w:customStyle="1" w:styleId="134">
    <w:name w:val="报告表正文"/>
    <w:basedOn w:val="1"/>
    <w:link w:val="133"/>
    <w:qFormat/>
    <w:uiPriority w:val="0"/>
    <w:pPr>
      <w:adjustRightInd w:val="0"/>
      <w:spacing w:line="312" w:lineRule="auto"/>
      <w:ind w:left="113" w:right="113" w:firstLine="482"/>
      <w:jc w:val="left"/>
    </w:pPr>
    <w:rPr>
      <w:kern w:val="0"/>
      <w:sz w:val="24"/>
      <w:szCs w:val="20"/>
    </w:rPr>
  </w:style>
  <w:style w:type="character" w:customStyle="1" w:styleId="135">
    <w:name w:val="bg2"/>
    <w:qFormat/>
    <w:uiPriority w:val="0"/>
    <w:rPr>
      <w:bdr w:val="single" w:color="C59433" w:sz="4" w:space="0"/>
      <w:shd w:val="clear" w:color="auto" w:fill="804000"/>
    </w:rPr>
  </w:style>
  <w:style w:type="character" w:customStyle="1" w:styleId="136">
    <w:name w:val="表 Char"/>
    <w:link w:val="137"/>
    <w:qFormat/>
    <w:uiPriority w:val="0"/>
    <w:rPr>
      <w:rFonts w:ascii="宋体" w:hAnsi="Courier New" w:eastAsia="Courier New" w:cs="Courier New"/>
      <w:color w:val="000000"/>
      <w:sz w:val="24"/>
      <w:szCs w:val="24"/>
      <w:lang w:val="zh-TW" w:eastAsia="zh-TW"/>
    </w:rPr>
  </w:style>
  <w:style w:type="paragraph" w:customStyle="1" w:styleId="137">
    <w:name w:val="表"/>
    <w:basedOn w:val="1"/>
    <w:link w:val="136"/>
    <w:qFormat/>
    <w:uiPriority w:val="0"/>
    <w:pPr>
      <w:adjustRightInd w:val="0"/>
      <w:spacing w:line="400" w:lineRule="exact"/>
      <w:jc w:val="center"/>
    </w:pPr>
    <w:rPr>
      <w:rFonts w:ascii="宋体" w:hAnsi="Courier New" w:eastAsia="Courier New"/>
      <w:color w:val="000000"/>
      <w:kern w:val="0"/>
      <w:sz w:val="24"/>
      <w:lang w:val="zh-TW" w:eastAsia="zh-TW"/>
    </w:rPr>
  </w:style>
  <w:style w:type="character" w:customStyle="1" w:styleId="138">
    <w:name w:val="number"/>
    <w:qFormat/>
    <w:uiPriority w:val="0"/>
    <w:rPr>
      <w:rFonts w:hint="default" w:ascii="微软雅黑 Regular" w:hAnsi="微软雅黑 Regular" w:eastAsia="微软雅黑 Regular" w:cs="微软雅黑 Regular"/>
      <w:color w:val="FFFFFF"/>
      <w:sz w:val="15"/>
      <w:szCs w:val="15"/>
      <w:shd w:val="clear" w:color="auto" w:fill="4695E2"/>
    </w:rPr>
  </w:style>
  <w:style w:type="character" w:customStyle="1" w:styleId="139">
    <w:name w:val="日期 字符"/>
    <w:qFormat/>
    <w:uiPriority w:val="0"/>
    <w:rPr>
      <w:rFonts w:ascii="Times New Roman" w:hAnsi="Times New Roman" w:eastAsia="宋体"/>
      <w:sz w:val="24"/>
    </w:rPr>
  </w:style>
  <w:style w:type="character" w:customStyle="1" w:styleId="140">
    <w:name w:val="正文文本缩进 2 字符1"/>
    <w:qFormat/>
    <w:uiPriority w:val="99"/>
    <w:rPr>
      <w:kern w:val="2"/>
      <w:sz w:val="21"/>
      <w:szCs w:val="24"/>
    </w:rPr>
  </w:style>
  <w:style w:type="character" w:customStyle="1" w:styleId="141">
    <w:name w:val="批注文字 字符1"/>
    <w:semiHidden/>
    <w:qFormat/>
    <w:uiPriority w:val="99"/>
    <w:rPr>
      <w:rFonts w:ascii="Times New Roman" w:hAnsi="Times New Roman" w:eastAsia="宋体"/>
      <w:sz w:val="24"/>
    </w:rPr>
  </w:style>
  <w:style w:type="character" w:customStyle="1" w:styleId="142">
    <w:name w:val="text5"/>
    <w:qFormat/>
    <w:uiPriority w:val="0"/>
    <w:rPr>
      <w:rFonts w:hint="eastAsia" w:ascii="微软雅黑" w:hAnsi="微软雅黑" w:eastAsia="微软雅黑" w:cs="微软雅黑"/>
      <w:color w:val="804000"/>
      <w:sz w:val="19"/>
      <w:szCs w:val="19"/>
    </w:rPr>
  </w:style>
  <w:style w:type="character" w:customStyle="1" w:styleId="143">
    <w:name w:val="表中文字 Char"/>
    <w:link w:val="144"/>
    <w:qFormat/>
    <w:uiPriority w:val="0"/>
    <w:rPr>
      <w:rFonts w:ascii="仿宋_GB2312" w:hAnsi="Tahoma"/>
      <w:kern w:val="2"/>
      <w:sz w:val="21"/>
      <w:szCs w:val="24"/>
    </w:rPr>
  </w:style>
  <w:style w:type="paragraph" w:customStyle="1" w:styleId="144">
    <w:name w:val="表中文字"/>
    <w:basedOn w:val="1"/>
    <w:link w:val="143"/>
    <w:qFormat/>
    <w:uiPriority w:val="0"/>
    <w:pPr>
      <w:adjustRightInd w:val="0"/>
      <w:snapToGrid w:val="0"/>
      <w:spacing w:line="400" w:lineRule="exact"/>
      <w:jc w:val="center"/>
    </w:pPr>
    <w:rPr>
      <w:rFonts w:ascii="仿宋_GB2312" w:hAnsi="Tahoma"/>
    </w:rPr>
  </w:style>
  <w:style w:type="character" w:customStyle="1" w:styleId="145">
    <w:name w:val="number2"/>
    <w:qFormat/>
    <w:uiPriority w:val="0"/>
    <w:rPr>
      <w:rFonts w:hint="default" w:ascii="微软雅黑 Regular" w:hAnsi="微软雅黑 Regular" w:eastAsia="微软雅黑 Regular" w:cs="微软雅黑 Regular"/>
      <w:sz w:val="16"/>
      <w:szCs w:val="16"/>
    </w:rPr>
  </w:style>
  <w:style w:type="character" w:customStyle="1" w:styleId="146">
    <w:name w:val="正文01 Char"/>
    <w:link w:val="147"/>
    <w:qFormat/>
    <w:uiPriority w:val="0"/>
    <w:rPr>
      <w:bCs/>
      <w:kern w:val="2"/>
      <w:sz w:val="24"/>
    </w:rPr>
  </w:style>
  <w:style w:type="paragraph" w:customStyle="1" w:styleId="147">
    <w:name w:val="正文01"/>
    <w:basedOn w:val="1"/>
    <w:link w:val="146"/>
    <w:qFormat/>
    <w:uiPriority w:val="0"/>
    <w:pPr>
      <w:spacing w:before="60" w:line="460" w:lineRule="exact"/>
      <w:ind w:firstLine="200" w:firstLineChars="200"/>
    </w:pPr>
    <w:rPr>
      <w:bCs/>
      <w:sz w:val="24"/>
      <w:szCs w:val="20"/>
    </w:rPr>
  </w:style>
  <w:style w:type="character" w:customStyle="1" w:styleId="148">
    <w:name w:val="注释标题 字符1"/>
    <w:qFormat/>
    <w:uiPriority w:val="99"/>
    <w:rPr>
      <w:kern w:val="2"/>
      <w:sz w:val="21"/>
      <w:szCs w:val="24"/>
    </w:rPr>
  </w:style>
  <w:style w:type="character" w:customStyle="1" w:styleId="149">
    <w:name w:val="样式1 Char Char"/>
    <w:link w:val="150"/>
    <w:qFormat/>
    <w:uiPriority w:val="0"/>
    <w:rPr>
      <w:rFonts w:ascii="宋体" w:hAnsi="宋体" w:cs="Dutch801 Rm BT"/>
      <w:kern w:val="2"/>
      <w:sz w:val="26"/>
      <w:szCs w:val="26"/>
    </w:rPr>
  </w:style>
  <w:style w:type="paragraph" w:customStyle="1" w:styleId="150">
    <w:name w:val="样式1"/>
    <w:basedOn w:val="25"/>
    <w:next w:val="1"/>
    <w:link w:val="149"/>
    <w:qFormat/>
    <w:uiPriority w:val="0"/>
    <w:pPr>
      <w:spacing w:line="480" w:lineRule="exact"/>
      <w:ind w:firstLine="200" w:firstLineChars="200"/>
    </w:pPr>
    <w:rPr>
      <w:rFonts w:ascii="宋体" w:hAnsi="宋体" w:cs="Times New Roman"/>
      <w:b w:val="0"/>
      <w:bCs w:val="0"/>
      <w:sz w:val="26"/>
      <w:szCs w:val="26"/>
    </w:rPr>
  </w:style>
  <w:style w:type="character" w:customStyle="1" w:styleId="151">
    <w:name w:val="use-help1"/>
    <w:qFormat/>
    <w:uiPriority w:val="0"/>
  </w:style>
  <w:style w:type="character" w:customStyle="1" w:styleId="152">
    <w:name w:val="bg1"/>
    <w:qFormat/>
    <w:uiPriority w:val="0"/>
    <w:rPr>
      <w:bdr w:val="single" w:color="C59433" w:sz="4" w:space="0"/>
      <w:shd w:val="clear" w:color="auto" w:fill="804000"/>
    </w:rPr>
  </w:style>
  <w:style w:type="character" w:customStyle="1" w:styleId="153">
    <w:name w:val="text3"/>
    <w:qFormat/>
    <w:uiPriority w:val="0"/>
    <w:rPr>
      <w:rFonts w:hint="eastAsia" w:ascii="微软雅黑" w:hAnsi="微软雅黑" w:eastAsia="微软雅黑" w:cs="微软雅黑"/>
      <w:color w:val="804000"/>
      <w:sz w:val="19"/>
      <w:szCs w:val="19"/>
    </w:rPr>
  </w:style>
  <w:style w:type="character" w:customStyle="1" w:styleId="154">
    <w:name w:val="text6"/>
    <w:qFormat/>
    <w:uiPriority w:val="0"/>
    <w:rPr>
      <w:rFonts w:hint="eastAsia" w:ascii="微软雅黑" w:hAnsi="微软雅黑" w:eastAsia="微软雅黑" w:cs="微软雅黑"/>
      <w:color w:val="804000"/>
      <w:sz w:val="19"/>
      <w:szCs w:val="19"/>
    </w:rPr>
  </w:style>
  <w:style w:type="character" w:customStyle="1" w:styleId="155">
    <w:name w:val="龚正文 Char"/>
    <w:link w:val="156"/>
    <w:qFormat/>
    <w:uiPriority w:val="0"/>
    <w:rPr>
      <w:rFonts w:hAnsi="宋体"/>
      <w:kern w:val="2"/>
      <w:sz w:val="24"/>
      <w:szCs w:val="24"/>
    </w:rPr>
  </w:style>
  <w:style w:type="paragraph" w:customStyle="1" w:styleId="156">
    <w:name w:val="龚正文"/>
    <w:basedOn w:val="1"/>
    <w:link w:val="155"/>
    <w:qFormat/>
    <w:uiPriority w:val="0"/>
    <w:pPr>
      <w:spacing w:line="360" w:lineRule="auto"/>
      <w:ind w:firstLine="480" w:firstLineChars="200"/>
    </w:pPr>
    <w:rPr>
      <w:rFonts w:hAnsi="宋体"/>
      <w:sz w:val="24"/>
    </w:rPr>
  </w:style>
  <w:style w:type="character" w:customStyle="1" w:styleId="157">
    <w:name w:val="报告书正文 Char Char"/>
    <w:qFormat/>
    <w:uiPriority w:val="0"/>
    <w:rPr>
      <w:rFonts w:eastAsia="宋体"/>
      <w:color w:val="000000"/>
      <w:kern w:val="2"/>
      <w:sz w:val="21"/>
      <w:szCs w:val="21"/>
      <w:lang w:val="en-US" w:eastAsia="zh-CN" w:bidi="ar-SA"/>
    </w:rPr>
  </w:style>
  <w:style w:type="character" w:customStyle="1" w:styleId="158">
    <w:name w:val="批注文字 Char"/>
    <w:qFormat/>
    <w:uiPriority w:val="0"/>
    <w:rPr>
      <w:kern w:val="2"/>
      <w:sz w:val="21"/>
      <w:szCs w:val="22"/>
    </w:rPr>
  </w:style>
  <w:style w:type="character" w:customStyle="1" w:styleId="159">
    <w:name w:val="font11"/>
    <w:qFormat/>
    <w:uiPriority w:val="0"/>
    <w:rPr>
      <w:rFonts w:hint="eastAsia" w:ascii="宋体" w:hAnsi="宋体" w:eastAsia="宋体" w:cs="宋体"/>
      <w:color w:val="000000"/>
      <w:sz w:val="22"/>
      <w:szCs w:val="22"/>
      <w:u w:val="none"/>
    </w:rPr>
  </w:style>
  <w:style w:type="character" w:customStyle="1" w:styleId="160">
    <w:name w:val="龚艺表名 Char Char"/>
    <w:link w:val="161"/>
    <w:qFormat/>
    <w:uiPriority w:val="0"/>
    <w:rPr>
      <w:b/>
    </w:rPr>
  </w:style>
  <w:style w:type="paragraph" w:customStyle="1" w:styleId="161">
    <w:name w:val="龚艺表名"/>
    <w:basedOn w:val="1"/>
    <w:link w:val="160"/>
    <w:qFormat/>
    <w:uiPriority w:val="0"/>
    <w:pPr>
      <w:spacing w:beforeLines="50"/>
      <w:jc w:val="center"/>
    </w:pPr>
    <w:rPr>
      <w:b/>
      <w:kern w:val="0"/>
      <w:sz w:val="20"/>
      <w:szCs w:val="20"/>
    </w:rPr>
  </w:style>
  <w:style w:type="character" w:customStyle="1" w:styleId="162">
    <w:name w:val="【正文】 Char"/>
    <w:link w:val="163"/>
    <w:qFormat/>
    <w:uiPriority w:val="0"/>
    <w:rPr>
      <w:kern w:val="2"/>
      <w:sz w:val="24"/>
    </w:rPr>
  </w:style>
  <w:style w:type="paragraph" w:customStyle="1" w:styleId="163">
    <w:name w:val="【正文】"/>
    <w:basedOn w:val="1"/>
    <w:link w:val="162"/>
    <w:qFormat/>
    <w:uiPriority w:val="0"/>
    <w:pPr>
      <w:spacing w:beforeLines="10" w:afterLines="10" w:line="440" w:lineRule="exact"/>
      <w:ind w:firstLine="544" w:firstLineChars="200"/>
    </w:pPr>
    <w:rPr>
      <w:sz w:val="24"/>
      <w:szCs w:val="20"/>
    </w:rPr>
  </w:style>
  <w:style w:type="character" w:customStyle="1" w:styleId="164">
    <w:name w:val="表头 Char"/>
    <w:link w:val="165"/>
    <w:qFormat/>
    <w:uiPriority w:val="0"/>
    <w:rPr>
      <w:rFonts w:ascii="仿宋_GB2312" w:hAnsi="Tahoma"/>
      <w:kern w:val="2"/>
      <w:sz w:val="24"/>
      <w:szCs w:val="24"/>
    </w:rPr>
  </w:style>
  <w:style w:type="paragraph" w:customStyle="1" w:styleId="165">
    <w:name w:val="表头"/>
    <w:basedOn w:val="1"/>
    <w:link w:val="164"/>
    <w:qFormat/>
    <w:uiPriority w:val="0"/>
    <w:pPr>
      <w:tabs>
        <w:tab w:val="left" w:pos="2895"/>
      </w:tabs>
      <w:adjustRightInd w:val="0"/>
      <w:jc w:val="center"/>
    </w:pPr>
    <w:rPr>
      <w:rFonts w:ascii="仿宋_GB2312" w:hAnsi="Tahoma"/>
      <w:sz w:val="24"/>
    </w:rPr>
  </w:style>
  <w:style w:type="character" w:customStyle="1" w:styleId="166">
    <w:name w:val="正文首行缩进 2 字符1"/>
    <w:qFormat/>
    <w:uiPriority w:val="99"/>
    <w:rPr>
      <w:rFonts w:ascii="Times New Roman" w:hAnsi="Times New Roman" w:eastAsia="宋体"/>
      <w:kern w:val="2"/>
      <w:sz w:val="21"/>
      <w:szCs w:val="24"/>
    </w:rPr>
  </w:style>
  <w:style w:type="character" w:customStyle="1" w:styleId="167">
    <w:name w:val="aa院表格内容格式 Char"/>
    <w:link w:val="168"/>
    <w:qFormat/>
    <w:uiPriority w:val="0"/>
    <w:rPr>
      <w:kern w:val="2"/>
      <w:sz w:val="21"/>
      <w:szCs w:val="24"/>
    </w:rPr>
  </w:style>
  <w:style w:type="paragraph" w:customStyle="1" w:styleId="168">
    <w:name w:val="aa院表格内容格式"/>
    <w:basedOn w:val="1"/>
    <w:link w:val="167"/>
    <w:qFormat/>
    <w:uiPriority w:val="0"/>
    <w:pPr>
      <w:jc w:val="center"/>
    </w:pPr>
  </w:style>
  <w:style w:type="character" w:customStyle="1" w:styleId="169">
    <w:name w:val="批注主题 字符1"/>
    <w:semiHidden/>
    <w:qFormat/>
    <w:uiPriority w:val="99"/>
    <w:rPr>
      <w:rFonts w:ascii="Times New Roman" w:hAnsi="Times New Roman" w:eastAsia="宋体"/>
      <w:b/>
      <w:bCs/>
      <w:kern w:val="2"/>
      <w:sz w:val="21"/>
      <w:szCs w:val="22"/>
    </w:rPr>
  </w:style>
  <w:style w:type="character" w:customStyle="1" w:styleId="170">
    <w:name w:val="apple-converted-space"/>
    <w:qFormat/>
    <w:uiPriority w:val="0"/>
  </w:style>
  <w:style w:type="character" w:customStyle="1" w:styleId="171">
    <w:name w:val="表内字 Char Char"/>
    <w:link w:val="172"/>
    <w:qFormat/>
    <w:locked/>
    <w:uiPriority w:val="0"/>
    <w:rPr>
      <w:rFonts w:ascii="Tahoma" w:hAnsi="Tahoma"/>
      <w:kern w:val="2"/>
      <w:sz w:val="21"/>
      <w:szCs w:val="21"/>
      <w:lang w:val="en-US" w:eastAsia="zh-CN" w:bidi="ar-SA"/>
    </w:rPr>
  </w:style>
  <w:style w:type="paragraph" w:customStyle="1" w:styleId="172">
    <w:name w:val="表内字"/>
    <w:basedOn w:val="93"/>
    <w:link w:val="171"/>
    <w:qFormat/>
    <w:uiPriority w:val="0"/>
    <w:pPr>
      <w:widowControl w:val="0"/>
      <w:autoSpaceDE w:val="0"/>
      <w:autoSpaceDN w:val="0"/>
      <w:adjustRightInd w:val="0"/>
      <w:snapToGrid w:val="0"/>
      <w:jc w:val="center"/>
    </w:pPr>
    <w:rPr>
      <w:rFonts w:ascii="Tahoma" w:hAnsi="Tahoma"/>
      <w:kern w:val="2"/>
      <w:szCs w:val="21"/>
      <w:lang w:val="en-US" w:eastAsia="zh-CN"/>
    </w:rPr>
  </w:style>
  <w:style w:type="character" w:customStyle="1" w:styleId="173">
    <w:name w:val="zhu-number"/>
    <w:qFormat/>
    <w:uiPriority w:val="0"/>
    <w:rPr>
      <w:color w:val="333333"/>
    </w:rPr>
  </w:style>
  <w:style w:type="character" w:customStyle="1" w:styleId="174">
    <w:name w:val="box-bg11"/>
    <w:qFormat/>
    <w:uiPriority w:val="0"/>
    <w:rPr>
      <w:shd w:val="clear" w:color="auto" w:fill="2C2C2C"/>
    </w:rPr>
  </w:style>
  <w:style w:type="character" w:customStyle="1" w:styleId="175">
    <w:name w:val="first-child"/>
    <w:qFormat/>
    <w:uiPriority w:val="0"/>
  </w:style>
  <w:style w:type="character" w:customStyle="1" w:styleId="176">
    <w:name w:val="xinyong2"/>
    <w:qFormat/>
    <w:uiPriority w:val="0"/>
    <w:rPr>
      <w:rFonts w:hint="default" w:ascii="微软雅黑 Bold" w:hAnsi="微软雅黑 Bold" w:eastAsia="微软雅黑 Bold" w:cs="微软雅黑 Bold"/>
      <w:b/>
      <w:color w:val="545454"/>
    </w:rPr>
  </w:style>
  <w:style w:type="character" w:customStyle="1" w:styleId="177">
    <w:name w:val="number1"/>
    <w:qFormat/>
    <w:uiPriority w:val="0"/>
    <w:rPr>
      <w:rFonts w:hint="default" w:ascii="微软雅黑 Regular" w:hAnsi="微软雅黑 Regular" w:eastAsia="微软雅黑 Regular" w:cs="微软雅黑 Regular"/>
      <w:sz w:val="16"/>
      <w:szCs w:val="16"/>
    </w:rPr>
  </w:style>
  <w:style w:type="character" w:customStyle="1" w:styleId="178">
    <w:name w:val="xinyong1"/>
    <w:qFormat/>
    <w:uiPriority w:val="0"/>
    <w:rPr>
      <w:rFonts w:hint="eastAsia" w:ascii="微软雅黑" w:hAnsi="微软雅黑" w:eastAsia="微软雅黑" w:cs="微软雅黑"/>
      <w:b/>
      <w:color w:val="545454"/>
      <w:sz w:val="16"/>
      <w:szCs w:val="16"/>
    </w:rPr>
  </w:style>
  <w:style w:type="character" w:customStyle="1" w:styleId="179">
    <w:name w:val="纯文本 Char"/>
    <w:qFormat/>
    <w:uiPriority w:val="0"/>
    <w:rPr>
      <w:rFonts w:ascii="宋体" w:hAnsi="Courier New" w:cs="Courier New"/>
      <w:kern w:val="2"/>
      <w:sz w:val="21"/>
      <w:szCs w:val="21"/>
    </w:rPr>
  </w:style>
  <w:style w:type="character" w:customStyle="1" w:styleId="180">
    <w:name w:val="bg6"/>
    <w:qFormat/>
    <w:uiPriority w:val="0"/>
    <w:rPr>
      <w:bdr w:val="single" w:color="C59433" w:sz="4" w:space="0"/>
      <w:shd w:val="clear" w:color="auto" w:fill="804000"/>
    </w:rPr>
  </w:style>
  <w:style w:type="character" w:customStyle="1" w:styleId="181">
    <w:name w:val="表格文字 Char Char"/>
    <w:qFormat/>
    <w:uiPriority w:val="0"/>
    <w:rPr>
      <w:kern w:val="2"/>
      <w:sz w:val="21"/>
    </w:rPr>
  </w:style>
  <w:style w:type="character" w:customStyle="1" w:styleId="182">
    <w:name w:val="批注框文本 字符1"/>
    <w:semiHidden/>
    <w:qFormat/>
    <w:uiPriority w:val="99"/>
    <w:rPr>
      <w:kern w:val="2"/>
      <w:sz w:val="18"/>
      <w:szCs w:val="18"/>
    </w:rPr>
  </w:style>
  <w:style w:type="paragraph" w:customStyle="1" w:styleId="183">
    <w:name w:val="正文2"/>
    <w:basedOn w:val="1"/>
    <w:qFormat/>
    <w:uiPriority w:val="0"/>
    <w:pPr>
      <w:adjustRightInd w:val="0"/>
      <w:snapToGrid w:val="0"/>
      <w:spacing w:line="440" w:lineRule="atLeast"/>
      <w:ind w:firstLine="510"/>
    </w:pPr>
    <w:rPr>
      <w:szCs w:val="20"/>
    </w:rPr>
  </w:style>
  <w:style w:type="paragraph" w:customStyle="1" w:styleId="184">
    <w:name w:val="xl31"/>
    <w:basedOn w:val="1"/>
    <w:qFormat/>
    <w:uiPriority w:val="0"/>
    <w:pPr>
      <w:widowControl/>
      <w:spacing w:before="100" w:beforeAutospacing="1" w:after="100" w:afterAutospacing="1"/>
      <w:jc w:val="center"/>
    </w:pPr>
    <w:rPr>
      <w:kern w:val="0"/>
      <w:sz w:val="24"/>
    </w:rPr>
  </w:style>
  <w:style w:type="paragraph" w:customStyle="1" w:styleId="185">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6">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87">
    <w:name w:val="魏秀珍报告正文"/>
    <w:basedOn w:val="1"/>
    <w:qFormat/>
    <w:uiPriority w:val="0"/>
    <w:pPr>
      <w:adjustRightInd w:val="0"/>
      <w:snapToGrid w:val="0"/>
      <w:spacing w:line="360" w:lineRule="auto"/>
      <w:ind w:firstLine="480" w:firstLineChars="200"/>
    </w:pPr>
    <w:rPr>
      <w:rFonts w:ascii="仿宋_GB2312" w:hAnsi="宋体"/>
      <w:color w:val="000000"/>
      <w:szCs w:val="20"/>
      <w:lang w:val="zh-Hans"/>
    </w:rPr>
  </w:style>
  <w:style w:type="paragraph" w:customStyle="1" w:styleId="188">
    <w:name w:val="表内容"/>
    <w:basedOn w:val="1"/>
    <w:qFormat/>
    <w:uiPriority w:val="0"/>
    <w:pPr>
      <w:widowControl/>
      <w:adjustRightInd w:val="0"/>
      <w:snapToGrid w:val="0"/>
      <w:jc w:val="center"/>
    </w:pPr>
    <w:rPr>
      <w:szCs w:val="22"/>
    </w:rPr>
  </w:style>
  <w:style w:type="paragraph" w:customStyle="1" w:styleId="189">
    <w:name w:val="_Style 188"/>
    <w:unhideWhenUsed/>
    <w:qFormat/>
    <w:uiPriority w:val="99"/>
    <w:rPr>
      <w:rFonts w:ascii="Times New Roman" w:hAnsi="Times New Roman" w:eastAsia="宋体" w:cs="Times New Roman"/>
      <w:kern w:val="2"/>
      <w:sz w:val="21"/>
      <w:szCs w:val="22"/>
      <w:lang w:val="en-US" w:eastAsia="zh-CN" w:bidi="ar-SA"/>
    </w:rPr>
  </w:style>
  <w:style w:type="paragraph" w:customStyle="1" w:styleId="190">
    <w:name w:val="_Style 189"/>
    <w:basedOn w:val="2"/>
    <w:next w:val="1"/>
    <w:qFormat/>
    <w:uiPriority w:val="39"/>
    <w:pPr>
      <w:keepLines/>
      <w:widowControl/>
      <w:overflowPunct/>
      <w:snapToGrid/>
      <w:spacing w:before="240" w:after="0"/>
      <w:ind w:left="0" w:firstLine="0"/>
      <w:jc w:val="left"/>
      <w:outlineLvl w:val="9"/>
    </w:pPr>
    <w:rPr>
      <w:rFonts w:ascii="等线 Light" w:hAnsi="等线 Light" w:eastAsia="等线 Light" w:cs="Times New Roman"/>
      <w:b w:val="0"/>
      <w:bCs w:val="0"/>
      <w:color w:val="2F5496"/>
      <w:kern w:val="0"/>
      <w:sz w:val="32"/>
      <w:szCs w:val="32"/>
    </w:rPr>
  </w:style>
  <w:style w:type="paragraph" w:customStyle="1" w:styleId="191">
    <w:name w:val="正文   1"/>
    <w:basedOn w:val="1"/>
    <w:qFormat/>
    <w:uiPriority w:val="0"/>
    <w:pPr>
      <w:autoSpaceDE w:val="0"/>
      <w:autoSpaceDN w:val="0"/>
      <w:adjustRightInd w:val="0"/>
      <w:snapToGrid w:val="0"/>
      <w:spacing w:line="460" w:lineRule="atLeast"/>
      <w:ind w:firstLine="520" w:firstLineChars="200"/>
      <w:textAlignment w:val="baseline"/>
    </w:pPr>
    <w:rPr>
      <w:bCs/>
      <w:kern w:val="0"/>
      <w:sz w:val="26"/>
      <w:szCs w:val="20"/>
    </w:rPr>
  </w:style>
  <w:style w:type="paragraph" w:customStyle="1" w:styleId="192">
    <w:name w:val="表格内容谢谢"/>
    <w:basedOn w:val="1"/>
    <w:qFormat/>
    <w:uiPriority w:val="0"/>
    <w:pPr>
      <w:widowControl/>
      <w:spacing w:line="240" w:lineRule="atLeast"/>
      <w:jc w:val="center"/>
    </w:pPr>
    <w:rPr>
      <w:rFonts w:hAnsi="等线" w:eastAsia="等线"/>
      <w:color w:val="000000"/>
      <w:kern w:val="0"/>
      <w:szCs w:val="21"/>
    </w:rPr>
  </w:style>
  <w:style w:type="paragraph" w:customStyle="1" w:styleId="193">
    <w:name w:val="样式 报告书正文 + 首行缩进:  2 字符"/>
    <w:basedOn w:val="1"/>
    <w:qFormat/>
    <w:uiPriority w:val="0"/>
    <w:pPr>
      <w:tabs>
        <w:tab w:val="left" w:pos="6300"/>
      </w:tabs>
      <w:spacing w:line="360" w:lineRule="auto"/>
      <w:ind w:firstLine="480" w:firstLineChars="200"/>
      <w:jc w:val="left"/>
    </w:pPr>
    <w:rPr>
      <w:rFonts w:ascii="宋体" w:hAnsi="宋体"/>
      <w:sz w:val="24"/>
    </w:rPr>
  </w:style>
  <w:style w:type="paragraph" w:customStyle="1" w:styleId="194">
    <w:name w:val="ReMinD正文"/>
    <w:qFormat/>
    <w:uiPriority w:val="0"/>
    <w:pPr>
      <w:spacing w:line="500" w:lineRule="exact"/>
      <w:ind w:firstLine="480" w:firstLineChars="200"/>
    </w:pPr>
    <w:rPr>
      <w:rFonts w:ascii="Times New Roman" w:hAnsi="Times New Roman" w:eastAsia="宋体" w:cs="Times New Roman"/>
      <w:kern w:val="2"/>
      <w:sz w:val="24"/>
      <w:szCs w:val="24"/>
      <w:lang w:val="en-US" w:eastAsia="zh-CN" w:bidi="ar-SA"/>
    </w:rPr>
  </w:style>
  <w:style w:type="paragraph" w:customStyle="1" w:styleId="195">
    <w:name w:val="样式 首行缩进:  2 字符"/>
    <w:basedOn w:val="1"/>
    <w:qFormat/>
    <w:uiPriority w:val="0"/>
    <w:pPr>
      <w:spacing w:line="360" w:lineRule="auto"/>
      <w:ind w:firstLine="200" w:firstLineChars="200"/>
    </w:pPr>
    <w:rPr>
      <w:rFonts w:cs="宋体"/>
      <w:b/>
      <w:bCs/>
      <w:sz w:val="24"/>
      <w:szCs w:val="20"/>
    </w:rPr>
  </w:style>
  <w:style w:type="paragraph" w:customStyle="1" w:styleId="196">
    <w:name w:val="题注1"/>
    <w:basedOn w:val="1"/>
    <w:qFormat/>
    <w:uiPriority w:val="0"/>
    <w:pPr>
      <w:jc w:val="left"/>
    </w:pPr>
    <w:rPr>
      <w:rFonts w:ascii="宋体" w:hAnsi="宋体"/>
      <w:b/>
      <w:szCs w:val="22"/>
    </w:rPr>
  </w:style>
  <w:style w:type="paragraph" w:customStyle="1" w:styleId="197">
    <w:name w:val="样式 小四 行距: 固定值 16 磅"/>
    <w:basedOn w:val="1"/>
    <w:qFormat/>
    <w:uiPriority w:val="0"/>
    <w:pPr>
      <w:snapToGrid w:val="0"/>
      <w:spacing w:line="400" w:lineRule="exact"/>
      <w:ind w:firstLine="480" w:firstLineChars="200"/>
    </w:pPr>
    <w:rPr>
      <w:rFonts w:cs="Dutch801 Rm BT"/>
      <w:sz w:val="24"/>
      <w:szCs w:val="20"/>
    </w:rPr>
  </w:style>
  <w:style w:type="paragraph" w:customStyle="1" w:styleId="198">
    <w:name w:val="WPS Plain"/>
    <w:qFormat/>
    <w:uiPriority w:val="0"/>
    <w:rPr>
      <w:rFonts w:ascii="Times New Roman" w:hAnsi="Times New Roman" w:eastAsia="宋体" w:cs="Times New Roman"/>
      <w:sz w:val="24"/>
      <w:szCs w:val="24"/>
      <w:lang w:val="en-US" w:eastAsia="zh-CN" w:bidi="ar-SA"/>
    </w:rPr>
  </w:style>
  <w:style w:type="paragraph" w:customStyle="1" w:styleId="19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200">
    <w:name w:val="正文 A"/>
    <w:basedOn w:val="1"/>
    <w:qFormat/>
    <w:uiPriority w:val="0"/>
    <w:rPr>
      <w:rFonts w:eastAsia="Arial Unicode MS" w:cs="Arial Unicode MS"/>
      <w:color w:val="000000"/>
      <w:szCs w:val="21"/>
    </w:rPr>
  </w:style>
  <w:style w:type="paragraph" w:customStyle="1" w:styleId="201">
    <w:name w:val="图表文字"/>
    <w:qFormat/>
    <w:uiPriority w:val="0"/>
    <w:pPr>
      <w:adjustRightInd w:val="0"/>
      <w:snapToGrid w:val="0"/>
      <w:spacing w:line="380" w:lineRule="exact"/>
      <w:jc w:val="center"/>
    </w:pPr>
    <w:rPr>
      <w:rFonts w:ascii="宋体" w:hAnsi="Times New Roman" w:eastAsia="宋体" w:cs="Times New Roman"/>
      <w:sz w:val="21"/>
      <w:lang w:val="en-US" w:eastAsia="zh-CN" w:bidi="ar-SA"/>
    </w:rPr>
  </w:style>
  <w:style w:type="paragraph" w:customStyle="1" w:styleId="202">
    <w:name w:val="表格中"/>
    <w:basedOn w:val="1"/>
    <w:semiHidden/>
    <w:qFormat/>
    <w:uiPriority w:val="0"/>
    <w:pPr>
      <w:adjustRightInd w:val="0"/>
      <w:snapToGrid w:val="0"/>
      <w:spacing w:line="360" w:lineRule="exact"/>
      <w:ind w:left="315" w:hanging="315" w:hangingChars="150"/>
    </w:pPr>
    <w:rPr>
      <w:rFonts w:ascii="宋体"/>
      <w:szCs w:val="21"/>
    </w:rPr>
  </w:style>
  <w:style w:type="paragraph" w:customStyle="1" w:styleId="20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04">
    <w:name w:val="样式 首行缩进:  2 字符1"/>
    <w:basedOn w:val="1"/>
    <w:qFormat/>
    <w:uiPriority w:val="0"/>
    <w:pPr>
      <w:spacing w:line="500" w:lineRule="exact"/>
      <w:ind w:firstLine="480" w:firstLineChars="200"/>
    </w:pPr>
    <w:rPr>
      <w:bCs/>
      <w:sz w:val="24"/>
      <w:szCs w:val="22"/>
    </w:rPr>
  </w:style>
  <w:style w:type="paragraph" w:customStyle="1" w:styleId="205">
    <w:name w:val="L正文"/>
    <w:basedOn w:val="1"/>
    <w:qFormat/>
    <w:uiPriority w:val="0"/>
    <w:pPr>
      <w:adjustRightInd w:val="0"/>
      <w:snapToGrid w:val="0"/>
      <w:spacing w:line="360" w:lineRule="auto"/>
      <w:ind w:firstLine="200" w:firstLineChars="200"/>
      <w:jc w:val="left"/>
    </w:pPr>
    <w:rPr>
      <w:sz w:val="24"/>
    </w:rPr>
  </w:style>
  <w:style w:type="paragraph" w:customStyle="1" w:styleId="206">
    <w:name w:val="Table Paragraph"/>
    <w:basedOn w:val="1"/>
    <w:qFormat/>
    <w:uiPriority w:val="0"/>
    <w:pPr>
      <w:autoSpaceDE w:val="0"/>
      <w:autoSpaceDN w:val="0"/>
      <w:adjustRightInd w:val="0"/>
      <w:jc w:val="left"/>
    </w:pPr>
    <w:rPr>
      <w:kern w:val="0"/>
      <w:sz w:val="24"/>
    </w:rPr>
  </w:style>
  <w:style w:type="paragraph" w:customStyle="1" w:styleId="207">
    <w:name w:val="表格内居中文字"/>
    <w:basedOn w:val="1"/>
    <w:qFormat/>
    <w:uiPriority w:val="0"/>
    <w:pPr>
      <w:jc w:val="center"/>
    </w:pPr>
    <w:rPr>
      <w:rFonts w:ascii="Dutch801 Rm BT" w:hAnsi="Dutch801 Rm BT" w:cs="Dutch801 Rm BT"/>
      <w:lang w:val="zh-CN"/>
    </w:rPr>
  </w:style>
  <w:style w:type="paragraph" w:customStyle="1" w:styleId="208">
    <w:name w:val="表头[BT]"/>
    <w:basedOn w:val="1"/>
    <w:qFormat/>
    <w:uiPriority w:val="0"/>
    <w:pPr>
      <w:adjustRightInd w:val="0"/>
      <w:spacing w:before="120" w:after="120"/>
      <w:jc w:val="center"/>
      <w:textAlignment w:val="baseline"/>
    </w:pPr>
    <w:rPr>
      <w:rFonts w:ascii="楷体_GB2312" w:eastAsia="楷体_GB2312"/>
      <w:kern w:val="0"/>
      <w:szCs w:val="20"/>
    </w:rPr>
  </w:style>
  <w:style w:type="paragraph" w:styleId="209">
    <w:name w:val="List Paragraph"/>
    <w:basedOn w:val="1"/>
    <w:qFormat/>
    <w:uiPriority w:val="99"/>
    <w:pPr>
      <w:autoSpaceDE w:val="0"/>
      <w:autoSpaceDN w:val="0"/>
      <w:adjustRightInd w:val="0"/>
      <w:jc w:val="left"/>
    </w:pPr>
    <w:rPr>
      <w:kern w:val="0"/>
      <w:sz w:val="24"/>
    </w:rPr>
  </w:style>
  <w:style w:type="paragraph" w:customStyle="1" w:styleId="210">
    <w:name w:val="简单回函地址"/>
    <w:basedOn w:val="1"/>
    <w:qFormat/>
    <w:uiPriority w:val="0"/>
  </w:style>
  <w:style w:type="paragraph" w:customStyle="1" w:styleId="211">
    <w:name w:val="正文-欣欣"/>
    <w:basedOn w:val="1"/>
    <w:next w:val="1"/>
    <w:qFormat/>
    <w:uiPriority w:val="0"/>
    <w:pPr>
      <w:spacing w:line="360" w:lineRule="auto"/>
      <w:ind w:firstLine="480" w:firstLineChars="200"/>
    </w:pPr>
    <w:rPr>
      <w:bCs/>
      <w:sz w:val="24"/>
    </w:rPr>
  </w:style>
  <w:style w:type="paragraph" w:customStyle="1" w:styleId="212">
    <w:name w:val="表格2"/>
    <w:basedOn w:val="1"/>
    <w:qFormat/>
    <w:uiPriority w:val="0"/>
    <w:pPr>
      <w:jc w:val="center"/>
    </w:pPr>
    <w:rPr>
      <w:szCs w:val="22"/>
    </w:rPr>
  </w:style>
  <w:style w:type="paragraph" w:customStyle="1" w:styleId="213">
    <w:name w:val="xl52"/>
    <w:basedOn w:val="1"/>
    <w:qFormat/>
    <w:uiPriority w:val="0"/>
    <w:pPr>
      <w:widowControl/>
      <w:pBdr>
        <w:lef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24"/>
      <w:szCs w:val="22"/>
    </w:rPr>
  </w:style>
  <w:style w:type="paragraph" w:customStyle="1" w:styleId="214">
    <w:name w:val="正文3"/>
    <w:basedOn w:val="1"/>
    <w:qFormat/>
    <w:uiPriority w:val="0"/>
    <w:rPr>
      <w:szCs w:val="22"/>
    </w:rPr>
  </w:style>
  <w:style w:type="paragraph" w:customStyle="1" w:styleId="215">
    <w:name w:val="表头2"/>
    <w:basedOn w:val="212"/>
    <w:qFormat/>
    <w:uiPriority w:val="0"/>
    <w:pPr>
      <w:spacing w:beforeLines="100"/>
    </w:pPr>
    <w:rPr>
      <w:b/>
      <w:sz w:val="24"/>
    </w:rPr>
  </w:style>
  <w:style w:type="paragraph" w:customStyle="1" w:styleId="216">
    <w:name w:val="1文章"/>
    <w:basedOn w:val="1"/>
    <w:qFormat/>
    <w:uiPriority w:val="0"/>
    <w:pPr>
      <w:adjustRightInd/>
      <w:snapToGrid w:val="0"/>
      <w:spacing w:line="420" w:lineRule="auto"/>
      <w:ind w:firstLine="454"/>
      <w:outlineLvl w:val="4"/>
    </w:pPr>
    <w:rPr>
      <w:rFonts w:ascii="Times New Roman" w:hAnsi="Times New Roman" w:eastAsia="宋体" w:cs="Times New Roman"/>
      <w:spacing w:val="4"/>
    </w:rPr>
  </w:style>
  <w:style w:type="paragraph" w:customStyle="1" w:styleId="217">
    <w:name w:val="W正文"/>
    <w:basedOn w:val="1"/>
    <w:qFormat/>
    <w:uiPriority w:val="0"/>
    <w:pPr>
      <w:adjustRightInd w:val="0"/>
      <w:snapToGrid w:val="0"/>
      <w:spacing w:line="500" w:lineRule="exact"/>
      <w:ind w:firstLine="600" w:firstLineChars="200"/>
    </w:pPr>
    <w:rPr>
      <w:kern w:val="0"/>
      <w:sz w:val="20"/>
      <w:szCs w:val="22"/>
    </w:rPr>
  </w:style>
  <w:style w:type="paragraph" w:customStyle="1" w:styleId="218">
    <w:name w:val="Char Char Char Char"/>
    <w:basedOn w:val="1"/>
    <w:qFormat/>
    <w:uiPriority w:val="0"/>
    <w:pPr>
      <w:spacing w:line="360" w:lineRule="auto"/>
      <w:ind w:firstLine="200" w:firstLineChars="200"/>
    </w:pPr>
    <w:rPr>
      <w:rFonts w:ascii="宋体" w:hAnsi="宋体" w:cs="宋体"/>
      <w:sz w:val="24"/>
    </w:rPr>
  </w:style>
  <w:style w:type="paragraph" w:customStyle="1" w:styleId="219">
    <w:name w:val="表格1"/>
    <w:basedOn w:val="1"/>
    <w:qFormat/>
    <w:uiPriority w:val="0"/>
    <w:pPr>
      <w:tabs>
        <w:tab w:val="left" w:leader="middleDot" w:pos="7710"/>
      </w:tabs>
      <w:spacing w:line="360" w:lineRule="auto"/>
      <w:jc w:val="center"/>
    </w:pPr>
    <w:rPr>
      <w:color w:val="000000"/>
      <w:sz w:val="18"/>
      <w:szCs w:val="20"/>
    </w:rPr>
  </w:style>
  <w:style w:type="paragraph" w:customStyle="1" w:styleId="220">
    <w:name w:val="表格11"/>
    <w:basedOn w:val="1"/>
    <w:next w:val="219"/>
    <w:qFormat/>
    <w:uiPriority w:val="0"/>
    <w:pPr>
      <w:adjustRightInd w:val="0"/>
      <w:snapToGrid w:val="0"/>
      <w:jc w:val="center"/>
      <w:textAlignment w:val="baseline"/>
    </w:pPr>
    <w:rPr>
      <w:b/>
      <w:bCs/>
      <w:color w:val="000000"/>
      <w:szCs w:val="21"/>
      <w:lang w:val="zh-CN"/>
    </w:rPr>
  </w:style>
  <w:style w:type="paragraph" w:customStyle="1" w:styleId="221">
    <w:name w:val="Body Text 22"/>
    <w:basedOn w:val="1"/>
    <w:qFormat/>
    <w:uiPriority w:val="0"/>
    <w:pPr>
      <w:adjustRightInd w:val="0"/>
      <w:spacing w:line="440" w:lineRule="atLeast"/>
      <w:ind w:firstLine="480"/>
      <w:textAlignment w:val="baseline"/>
    </w:pPr>
    <w:rPr>
      <w:rFonts w:eastAsia="仿宋_GB2312"/>
      <w:sz w:val="24"/>
      <w:szCs w:val="20"/>
    </w:rPr>
  </w:style>
  <w:style w:type="paragraph" w:customStyle="1" w:styleId="222">
    <w:name w:val="新格式表"/>
    <w:basedOn w:val="1"/>
    <w:qFormat/>
    <w:uiPriority w:val="0"/>
    <w:pPr>
      <w:spacing w:line="260" w:lineRule="exact"/>
      <w:jc w:val="center"/>
    </w:pPr>
    <w:rPr>
      <w:rFonts w:ascii="Dutch801 Rm BT" w:hAnsi="Dutch801 Rm BT" w:cs="Dutch801 Rm BT"/>
      <w:snapToGrid w:val="0"/>
      <w:szCs w:val="21"/>
    </w:rPr>
  </w:style>
  <w:style w:type="paragraph" w:customStyle="1" w:styleId="223">
    <w:name w:val="列出段落2"/>
    <w:basedOn w:val="1"/>
    <w:qFormat/>
    <w:uiPriority w:val="0"/>
    <w:pPr>
      <w:snapToGrid w:val="0"/>
      <w:spacing w:before="10"/>
      <w:ind w:firstLine="420" w:firstLineChars="200"/>
    </w:pPr>
    <w:rPr>
      <w:rFonts w:ascii="Calibri" w:hAnsi="Calibri" w:cs="Calibri"/>
      <w:szCs w:val="21"/>
    </w:rPr>
  </w:style>
  <w:style w:type="paragraph" w:customStyle="1" w:styleId="224">
    <w:name w:val="1"/>
    <w:basedOn w:val="1"/>
    <w:next w:val="209"/>
    <w:qFormat/>
    <w:uiPriority w:val="34"/>
    <w:pPr>
      <w:autoSpaceDE w:val="0"/>
      <w:autoSpaceDN w:val="0"/>
      <w:adjustRightInd w:val="0"/>
      <w:jc w:val="left"/>
    </w:pPr>
    <w:rPr>
      <w:kern w:val="0"/>
      <w:sz w:val="24"/>
    </w:rPr>
  </w:style>
  <w:style w:type="paragraph" w:customStyle="1" w:styleId="225">
    <w:name w:val="图标"/>
    <w:basedOn w:val="1"/>
    <w:next w:val="1"/>
    <w:qFormat/>
    <w:uiPriority w:val="0"/>
    <w:pPr>
      <w:jc w:val="center"/>
    </w:pPr>
    <w:rPr>
      <w:b/>
      <w:sz w:val="24"/>
      <w:szCs w:val="20"/>
    </w:rPr>
  </w:style>
  <w:style w:type="paragraph" w:customStyle="1" w:styleId="226">
    <w:name w:val="表内字1"/>
    <w:basedOn w:val="1"/>
    <w:qFormat/>
    <w:uiPriority w:val="0"/>
    <w:pPr>
      <w:adjustRightInd w:val="0"/>
      <w:snapToGrid w:val="0"/>
      <w:spacing w:line="300" w:lineRule="exact"/>
      <w:jc w:val="center"/>
    </w:pPr>
    <w:rPr>
      <w:color w:val="000000"/>
      <w:sz w:val="22"/>
      <w:szCs w:val="21"/>
    </w:rPr>
  </w:style>
  <w:style w:type="paragraph" w:customStyle="1" w:styleId="227">
    <w:name w:val="IDC A-Head (2nd Line)"/>
    <w:basedOn w:val="1"/>
    <w:next w:val="1"/>
    <w:qFormat/>
    <w:uiPriority w:val="0"/>
    <w:pPr>
      <w:widowControl/>
      <w:jc w:val="center"/>
    </w:pPr>
    <w:rPr>
      <w:caps/>
      <w:kern w:val="0"/>
      <w:sz w:val="24"/>
      <w:szCs w:val="20"/>
    </w:rPr>
  </w:style>
  <w:style w:type="paragraph" w:customStyle="1" w:styleId="228">
    <w:name w:val="XF-正文"/>
    <w:basedOn w:val="1"/>
    <w:qFormat/>
    <w:uiPriority w:val="0"/>
    <w:pPr>
      <w:autoSpaceDE/>
      <w:autoSpaceDN/>
      <w:adjustRightInd/>
      <w:spacing w:line="520" w:lineRule="exact"/>
      <w:ind w:firstLine="880" w:firstLineChars="200"/>
      <w:textAlignment w:val="auto"/>
    </w:pPr>
    <w:rPr>
      <w:kern w:val="2"/>
      <w:szCs w:val="22"/>
    </w:rPr>
  </w:style>
  <w:style w:type="paragraph" w:customStyle="1" w:styleId="229">
    <w:name w:val="CCTEG 文本"/>
    <w:basedOn w:val="1"/>
    <w:qFormat/>
    <w:uiPriority w:val="0"/>
    <w:pPr>
      <w:spacing w:line="460" w:lineRule="exact"/>
      <w:ind w:firstLine="880" w:firstLineChars="200"/>
    </w:pPr>
    <w:rPr>
      <w:kern w:val="0"/>
      <w:sz w:val="26"/>
      <w:szCs w:val="26"/>
    </w:rPr>
  </w:style>
  <w:style w:type="paragraph" w:customStyle="1" w:styleId="230">
    <w:name w:val="表（CCTEG）"/>
    <w:basedOn w:val="1"/>
    <w:qFormat/>
    <w:uiPriority w:val="0"/>
    <w:pPr>
      <w:jc w:val="center"/>
    </w:pPr>
    <w:rPr>
      <w:kern w:val="0"/>
      <w:sz w:val="22"/>
      <w:szCs w:val="20"/>
    </w:rPr>
  </w:style>
  <w:style w:type="paragraph" w:customStyle="1" w:styleId="231">
    <w:name w:val="样式20"/>
    <w:basedOn w:val="1"/>
    <w:qFormat/>
    <w:uiPriority w:val="0"/>
    <w:pPr>
      <w:adjustRightInd w:val="0"/>
      <w:snapToGrid w:val="0"/>
      <w:spacing w:line="320" w:lineRule="exact"/>
      <w:jc w:val="center"/>
    </w:pPr>
    <w:rPr>
      <w:rFonts w:ascii="宋体" w:hAnsi="宋体"/>
      <w:sz w:val="22"/>
      <w:szCs w:val="22"/>
    </w:rPr>
  </w:style>
  <w:style w:type="paragraph" w:customStyle="1" w:styleId="232">
    <w:name w:val="样式 标题 2标题 2 Char Char + 小三"/>
    <w:basedOn w:val="3"/>
    <w:qFormat/>
    <w:uiPriority w:val="0"/>
    <w:pPr>
      <w:spacing w:before="0" w:beforeLines="0" w:after="0" w:afterLines="0" w:line="288" w:lineRule="auto"/>
    </w:pPr>
    <w:rPr>
      <w:rFonts w:eastAsia="宋体"/>
      <w:kern w:val="2"/>
      <w:sz w:val="30"/>
      <w:lang w:val="en-US" w:eastAsia="zh-CN" w:bidi="ar-SA"/>
    </w:rPr>
  </w:style>
  <w:style w:type="paragraph" w:customStyle="1" w:styleId="233">
    <w:name w:val="引言"/>
    <w:basedOn w:val="1"/>
    <w:next w:val="1"/>
    <w:qFormat/>
    <w:uiPriority w:val="99"/>
    <w:pPr>
      <w:adjustRightInd w:val="0"/>
      <w:snapToGrid w:val="0"/>
      <w:jc w:val="center"/>
    </w:pPr>
    <w:rPr>
      <w:rFonts w:ascii="宋体" w:hAnsi="宋体"/>
      <w:bCs/>
      <w:szCs w:val="21"/>
    </w:rPr>
  </w:style>
  <w:style w:type="paragraph" w:customStyle="1" w:styleId="234">
    <w:name w:val="1刘姣表内容"/>
    <w:basedOn w:val="1"/>
    <w:qFormat/>
    <w:uiPriority w:val="0"/>
    <w:pPr>
      <w:spacing w:line="320" w:lineRule="exact"/>
      <w:jc w:val="center"/>
    </w:pPr>
    <w:rPr>
      <w:sz w:val="21"/>
    </w:rPr>
  </w:style>
  <w:style w:type="paragraph" w:customStyle="1" w:styleId="235">
    <w:name w:val="正文(首行缩进)"/>
    <w:basedOn w:val="1"/>
    <w:qFormat/>
    <w:uiPriority w:val="0"/>
    <w:pPr>
      <w:snapToGrid w:val="0"/>
      <w:spacing w:line="360" w:lineRule="auto"/>
      <w:ind w:firstLine="510"/>
    </w:pPr>
    <w:rPr>
      <w:rFonts w:ascii="宋体" w:hAnsi="宋体" w:cs="serif"/>
      <w:kern w:val="0"/>
      <w:sz w:val="24"/>
      <w:szCs w:val="20"/>
    </w:rPr>
  </w:style>
  <w:style w:type="paragraph" w:customStyle="1" w:styleId="236">
    <w:name w:val="文本11"/>
    <w:basedOn w:val="1"/>
    <w:qFormat/>
    <w:uiPriority w:val="0"/>
    <w:pPr>
      <w:spacing w:line="360" w:lineRule="auto"/>
      <w:ind w:firstLine="200" w:firstLineChars="200"/>
    </w:pPr>
    <w:rPr>
      <w:color w:val="000000"/>
      <w:sz w:val="24"/>
    </w:rPr>
  </w:style>
  <w:style w:type="paragraph" w:customStyle="1" w:styleId="237">
    <w:name w:val="WPSOffice手动目录 1"/>
    <w:qFormat/>
    <w:uiPriority w:val="0"/>
    <w:rPr>
      <w:rFonts w:ascii="Times New Roman" w:hAnsi="Times New Roman" w:eastAsia="宋体" w:cs="Times New Roman"/>
      <w:lang w:val="en-US" w:eastAsia="zh-CN" w:bidi="ar-SA"/>
    </w:rPr>
  </w:style>
  <w:style w:type="table" w:customStyle="1" w:styleId="238">
    <w:name w:val="网格型7"/>
    <w:basedOn w:val="3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39">
    <w:name w:val="表格内容格式"/>
    <w:basedOn w:val="1"/>
    <w:next w:val="1"/>
    <w:qFormat/>
    <w:uiPriority w:val="1"/>
    <w:pPr>
      <w:jc w:val="center"/>
    </w:pPr>
    <w:rPr>
      <w:kern w:val="0"/>
      <w:sz w:val="22"/>
      <w:szCs w:val="22"/>
      <w:lang w:eastAsia="en-US"/>
    </w:rPr>
  </w:style>
  <w:style w:type="paragraph" w:customStyle="1" w:styleId="240">
    <w:name w:val="表格体"/>
    <w:basedOn w:val="127"/>
    <w:qFormat/>
    <w:uiPriority w:val="0"/>
    <w:pPr>
      <w:ind w:firstLine="0" w:firstLineChars="0"/>
      <w:jc w:val="center"/>
    </w:pPr>
    <w:rPr>
      <w:sz w:val="21"/>
    </w:rPr>
  </w:style>
  <w:style w:type="paragraph" w:customStyle="1" w:styleId="241">
    <w:name w:val="L表格"/>
    <w:basedOn w:val="205"/>
    <w:qFormat/>
    <w:uiPriority w:val="0"/>
    <w:pPr>
      <w:spacing w:line="320" w:lineRule="exact"/>
      <w:ind w:firstLine="0" w:firstLineChars="0"/>
      <w:jc w:val="center"/>
    </w:pPr>
    <w:rPr>
      <w:rFonts w:eastAsia="Times New Roman"/>
      <w:sz w:val="21"/>
    </w:rPr>
  </w:style>
  <w:style w:type="paragraph" w:customStyle="1" w:styleId="242">
    <w:name w:val="0表格标题"/>
    <w:basedOn w:val="1"/>
    <w:qFormat/>
    <w:uiPriority w:val="0"/>
    <w:pPr>
      <w:contextualSpacing/>
      <w:jc w:val="center"/>
    </w:pPr>
    <w:rPr>
      <w:rFonts w:ascii="Calibri" w:hAnsi="Calibri" w:eastAsia="黑体" w:cs="Times New Roman"/>
      <w:szCs w:val="21"/>
    </w:rPr>
  </w:style>
  <w:style w:type="paragraph" w:customStyle="1" w:styleId="243">
    <w:name w:val="p0"/>
    <w:basedOn w:val="1"/>
    <w:qFormat/>
    <w:uiPriority w:val="0"/>
    <w:rPr>
      <w:sz w:val="20"/>
      <w:szCs w:val="20"/>
    </w:rPr>
  </w:style>
  <w:style w:type="character" w:customStyle="1" w:styleId="244">
    <w:name w:val="font61"/>
    <w:qFormat/>
    <w:uiPriority w:val="0"/>
    <w:rPr>
      <w:rFonts w:hint="eastAsia" w:ascii="宋体" w:hAnsi="宋体" w:eastAsia="宋体" w:cs="宋体"/>
      <w:color w:val="000000"/>
      <w:sz w:val="24"/>
      <w:szCs w:val="24"/>
      <w:u w:val="none"/>
      <w:vertAlign w:val="subscript"/>
    </w:rPr>
  </w:style>
  <w:style w:type="paragraph" w:customStyle="1" w:styleId="245">
    <w:name w:val="Default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46">
    <w:name w:val="正文四号"/>
    <w:basedOn w:val="1"/>
    <w:qFormat/>
    <w:uiPriority w:val="0"/>
    <w:rPr>
      <w:sz w:val="28"/>
      <w:szCs w:val="28"/>
    </w:rPr>
  </w:style>
  <w:style w:type="paragraph" w:customStyle="1" w:styleId="247">
    <w:name w:val="正文1"/>
    <w:basedOn w:val="1"/>
    <w:qFormat/>
    <w:uiPriority w:val="0"/>
    <w:pPr>
      <w:spacing w:line="360" w:lineRule="auto"/>
    </w:pPr>
    <w:rPr>
      <w:rFonts w:ascii="仿宋_GB2312" w:eastAsia="仿宋_GB2312"/>
      <w:sz w:val="24"/>
      <w:szCs w:val="20"/>
    </w:rPr>
  </w:style>
  <w:style w:type="character" w:customStyle="1" w:styleId="248">
    <w:name w:val="text_csco8"/>
    <w:qFormat/>
    <w:uiPriority w:val="0"/>
  </w:style>
  <w:style w:type="character" w:customStyle="1" w:styleId="249">
    <w:name w:val="NormalCharacter"/>
    <w:semiHidden/>
    <w:qFormat/>
    <w:uiPriority w:val="0"/>
  </w:style>
  <w:style w:type="character" w:customStyle="1" w:styleId="250">
    <w:name w:val="font31"/>
    <w:qFormat/>
    <w:uiPriority w:val="0"/>
    <w:rPr>
      <w:rFonts w:hint="default" w:ascii="Times New Roman" w:hAnsi="Times New Roman" w:cs="Times New Roman"/>
      <w:color w:val="000000"/>
      <w:sz w:val="21"/>
      <w:szCs w:val="21"/>
      <w:u w:val="none"/>
      <w:vertAlign w:val="subscript"/>
    </w:rPr>
  </w:style>
  <w:style w:type="character" w:customStyle="1" w:styleId="251">
    <w:name w:val="font21"/>
    <w:qFormat/>
    <w:uiPriority w:val="0"/>
    <w:rPr>
      <w:rFonts w:hint="eastAsia" w:ascii="宋体" w:hAnsi="宋体" w:eastAsia="宋体" w:cs="宋体"/>
      <w:color w:val="000000"/>
      <w:sz w:val="21"/>
      <w:szCs w:val="21"/>
      <w:u w:val="none"/>
    </w:rPr>
  </w:style>
  <w:style w:type="paragraph" w:customStyle="1" w:styleId="252">
    <w:name w:val="表内文字"/>
    <w:basedOn w:val="1"/>
    <w:qFormat/>
    <w:uiPriority w:val="0"/>
    <w:pPr>
      <w:overflowPunct w:val="0"/>
      <w:autoSpaceDE w:val="0"/>
      <w:autoSpaceDN w:val="0"/>
      <w:adjustRightInd w:val="0"/>
      <w:snapToGrid w:val="0"/>
      <w:spacing w:line="320" w:lineRule="atLeast"/>
      <w:jc w:val="center"/>
      <w:textAlignment w:val="baseline"/>
    </w:pPr>
    <w:rPr>
      <w:rFonts w:hint="default"/>
      <w:kern w:val="0"/>
    </w:rPr>
  </w:style>
  <w:style w:type="paragraph" w:customStyle="1" w:styleId="253">
    <w:name w:val="环评表格文字"/>
    <w:basedOn w:val="1"/>
    <w:next w:val="1"/>
    <w:qFormat/>
    <w:uiPriority w:val="0"/>
  </w:style>
  <w:style w:type="paragraph" w:customStyle="1" w:styleId="254">
    <w:name w:val="正文_41"/>
    <w:qFormat/>
    <w:uiPriority w:val="0"/>
    <w:pPr>
      <w:widowControl w:val="0"/>
      <w:jc w:val="both"/>
    </w:pPr>
    <w:rPr>
      <w:rFonts w:ascii="Calibri" w:hAnsi="Calibri" w:eastAsia="宋体" w:cs="Times New Roman"/>
      <w:kern w:val="2"/>
      <w:sz w:val="21"/>
      <w:lang w:val="en-US" w:eastAsia="zh-CN" w:bidi="ar-SA"/>
    </w:rPr>
  </w:style>
  <w:style w:type="paragraph" w:customStyle="1" w:styleId="255">
    <w:name w:val="抬头"/>
    <w:qFormat/>
    <w:uiPriority w:val="0"/>
    <w:pPr>
      <w:jc w:val="center"/>
    </w:pPr>
    <w:rPr>
      <w:rFonts w:ascii="Times New Roman" w:hAnsi="Times New Roman" w:eastAsia="黑体" w:cs="Times New Roman"/>
      <w:kern w:val="2"/>
      <w:sz w:val="32"/>
      <w:szCs w:val="21"/>
      <w:lang w:val="en-US" w:eastAsia="zh-CN" w:bidi="ar-SA"/>
    </w:rPr>
  </w:style>
  <w:style w:type="paragraph" w:customStyle="1" w:styleId="256">
    <w:name w:val="表头图头"/>
    <w:basedOn w:val="257"/>
    <w:qFormat/>
    <w:uiPriority w:val="0"/>
    <w:pPr>
      <w:adjustRightInd w:val="0"/>
      <w:snapToGrid w:val="0"/>
      <w:spacing w:line="480" w:lineRule="exact"/>
    </w:pPr>
    <w:rPr>
      <w:rFonts w:ascii="Times New Roman" w:hAnsi="Times New Roman" w:eastAsia="宋体"/>
      <w:b/>
      <w:w w:val="100"/>
      <w:kern w:val="2"/>
      <w:szCs w:val="22"/>
    </w:rPr>
  </w:style>
  <w:style w:type="paragraph" w:customStyle="1" w:styleId="257">
    <w:name w:val="Biao00"/>
    <w:qFormat/>
    <w:uiPriority w:val="0"/>
    <w:pPr>
      <w:widowControl w:val="0"/>
      <w:spacing w:line="0" w:lineRule="atLeast"/>
      <w:jc w:val="center"/>
    </w:pPr>
    <w:rPr>
      <w:rFonts w:ascii="Arial" w:hAnsi="Arial" w:eastAsia="仿宋_GB2312" w:cs="Times New Roman"/>
      <w:bCs/>
      <w:w w:val="90"/>
      <w:kern w:val="18"/>
      <w:sz w:val="24"/>
      <w:szCs w:val="24"/>
      <w:lang w:val="en-US" w:eastAsia="zh-CN" w:bidi="ar-SA"/>
    </w:rPr>
  </w:style>
  <w:style w:type="paragraph" w:customStyle="1" w:styleId="258">
    <w:name w:val="Table Text"/>
    <w:basedOn w:val="1"/>
    <w:semiHidden/>
    <w:qFormat/>
    <w:uiPriority w:val="0"/>
    <w:rPr>
      <w:rFonts w:ascii="宋体" w:hAnsi="宋体" w:eastAsia="宋体" w:cs="宋体"/>
      <w:sz w:val="22"/>
      <w:szCs w:val="22"/>
      <w:lang w:val="en-US" w:eastAsia="en-US" w:bidi="ar-SA"/>
    </w:rPr>
  </w:style>
  <w:style w:type="table" w:customStyle="1" w:styleId="259">
    <w:name w:val="Table Normal"/>
    <w:unhideWhenUsed/>
    <w:qFormat/>
    <w:uiPriority w:val="0"/>
    <w:rPr>
      <w:lang w:val="en-US" w:eastAsia="zh-CN" w:bidi="ar-SA"/>
    </w:rPr>
    <w:tblPr>
      <w:tblCellMar>
        <w:top w:w="0" w:type="dxa"/>
        <w:left w:w="0" w:type="dxa"/>
        <w:bottom w:w="0" w:type="dxa"/>
        <w:right w:w="0" w:type="dxa"/>
      </w:tblCellMar>
    </w:tblPr>
  </w:style>
  <w:style w:type="character" w:customStyle="1" w:styleId="260">
    <w:name w:val="font01"/>
    <w:qFormat/>
    <w:uiPriority w:val="0"/>
    <w:rPr>
      <w:rFonts w:hint="eastAsia" w:ascii="宋体" w:hAnsi="宋体" w:eastAsia="宋体" w:cs="宋体"/>
      <w:color w:val="000000"/>
      <w:sz w:val="24"/>
      <w:szCs w:val="24"/>
      <w:u w:val="none"/>
    </w:rPr>
  </w:style>
  <w:style w:type="character" w:customStyle="1" w:styleId="261">
    <w:name w:val="font71"/>
    <w:qFormat/>
    <w:uiPriority w:val="0"/>
    <w:rPr>
      <w:rFonts w:hint="eastAsia" w:ascii="宋体" w:hAnsi="宋体" w:eastAsia="宋体" w:cs="宋体"/>
      <w:b/>
      <w:bCs/>
      <w:color w:val="000000"/>
      <w:sz w:val="24"/>
      <w:szCs w:val="24"/>
      <w:u w:val="none"/>
    </w:rPr>
  </w:style>
  <w:style w:type="character" w:customStyle="1" w:styleId="262">
    <w:name w:val="font41"/>
    <w:basedOn w:val="37"/>
    <w:qFormat/>
    <w:uiPriority w:val="0"/>
    <w:rPr>
      <w:rFonts w:hint="eastAsia" w:ascii="宋体" w:hAnsi="宋体" w:eastAsia="宋体" w:cs="宋体"/>
      <w:color w:val="000000"/>
      <w:sz w:val="21"/>
      <w:szCs w:val="21"/>
      <w:u w:val="none"/>
    </w:rPr>
  </w:style>
  <w:style w:type="character" w:customStyle="1" w:styleId="263">
    <w:name w:val="font81"/>
    <w:qFormat/>
    <w:uiPriority w:val="0"/>
    <w:rPr>
      <w:rFonts w:hint="default" w:ascii="Times New Roman" w:hAnsi="Times New Roman" w:cs="Times New Roman"/>
      <w:color w:val="000000"/>
      <w:sz w:val="21"/>
      <w:szCs w:val="21"/>
      <w:u w:val="none"/>
      <w:vertAlign w:val="superscript"/>
    </w:rPr>
  </w:style>
  <w:style w:type="character" w:customStyle="1" w:styleId="264">
    <w:name w:val="font91"/>
    <w:qFormat/>
    <w:uiPriority w:val="0"/>
    <w:rPr>
      <w:rFonts w:hint="eastAsia" w:ascii="宋体" w:hAnsi="宋体" w:eastAsia="宋体" w:cs="宋体"/>
      <w:color w:val="FF0000"/>
      <w:sz w:val="21"/>
      <w:szCs w:val="21"/>
      <w:u w:val="none"/>
    </w:rPr>
  </w:style>
  <w:style w:type="paragraph" w:customStyle="1" w:styleId="265">
    <w:name w:val="L表内容"/>
    <w:basedOn w:val="266"/>
    <w:qFormat/>
    <w:uiPriority w:val="0"/>
    <w:pPr>
      <w:outlineLvl w:val="9"/>
    </w:pPr>
    <w:rPr>
      <w:rFonts w:eastAsia="宋体"/>
      <w:b w:val="0"/>
      <w:sz w:val="21"/>
    </w:rPr>
  </w:style>
  <w:style w:type="paragraph" w:customStyle="1" w:styleId="266">
    <w:name w:val="L图名"/>
    <w:basedOn w:val="267"/>
    <w:next w:val="1"/>
    <w:qFormat/>
    <w:uiPriority w:val="0"/>
    <w:pPr>
      <w:spacing w:beforeLines="0" w:line="0" w:lineRule="atLeast"/>
    </w:pPr>
    <w:rPr>
      <w:kern w:val="44"/>
    </w:rPr>
  </w:style>
  <w:style w:type="paragraph" w:customStyle="1" w:styleId="267">
    <w:name w:val="L表名"/>
    <w:basedOn w:val="1"/>
    <w:next w:val="1"/>
    <w:qFormat/>
    <w:uiPriority w:val="0"/>
    <w:pPr>
      <w:spacing w:beforeLines="20"/>
      <w:ind w:firstLine="0" w:firstLineChars="0"/>
      <w:jc w:val="center"/>
      <w:outlineLvl w:val="5"/>
    </w:pPr>
    <w:rPr>
      <w:rFonts w:eastAsia="黑体"/>
      <w:b/>
      <w:sz w:val="22"/>
    </w:rPr>
  </w:style>
  <w:style w:type="character" w:customStyle="1" w:styleId="268">
    <w:name w:val="font51"/>
    <w:basedOn w:val="37"/>
    <w:qFormat/>
    <w:uiPriority w:val="0"/>
    <w:rPr>
      <w:rFonts w:hint="default" w:ascii="Times New Roman" w:hAnsi="Times New Roman" w:cs="Times New Roman"/>
      <w:color w:val="000000"/>
      <w:sz w:val="21"/>
      <w:szCs w:val="21"/>
      <w:u w:val="none"/>
      <w:vertAlign w:val="superscript"/>
    </w:rPr>
  </w:style>
  <w:style w:type="paragraph" w:customStyle="1" w:styleId="269">
    <w:name w:val="我的"/>
    <w:basedOn w:val="1"/>
    <w:qFormat/>
    <w:uiPriority w:val="0"/>
    <w:pPr>
      <w:spacing w:line="360" w:lineRule="auto"/>
    </w:pPr>
    <w:rPr>
      <w:rFonts w:eastAsia="仿宋" w:cs="serif"/>
      <w:sz w:val="24"/>
      <w:szCs w:val="20"/>
    </w:rPr>
  </w:style>
  <w:style w:type="paragraph" w:customStyle="1" w:styleId="270">
    <w:name w:val="样式 五号 居中 行距: 单倍行距"/>
    <w:basedOn w:val="1"/>
    <w:qFormat/>
    <w:uiPriority w:val="0"/>
    <w:pPr>
      <w:jc w:val="center"/>
    </w:pPr>
    <w:rPr>
      <w:rFonts w:cs="宋体"/>
      <w:szCs w:val="20"/>
    </w:rPr>
  </w:style>
  <w:style w:type="paragraph" w:customStyle="1" w:styleId="271">
    <w:name w:val="4小表"/>
    <w:basedOn w:val="1"/>
    <w:qFormat/>
    <w:uiPriority w:val="0"/>
    <w:pPr>
      <w:adjustRightInd w:val="0"/>
      <w:snapToGrid w:val="0"/>
      <w:jc w:val="center"/>
    </w:pPr>
    <w:rPr>
      <w:kern w:val="0"/>
    </w:rPr>
  </w:style>
  <w:style w:type="paragraph" w:customStyle="1" w:styleId="272">
    <w:name w:val="表内容-L"/>
    <w:basedOn w:val="1"/>
    <w:qFormat/>
    <w:uiPriority w:val="0"/>
    <w:pPr>
      <w:snapToGrid w:val="0"/>
      <w:jc w:val="center"/>
    </w:pPr>
    <w:rPr>
      <w:szCs w:val="20"/>
    </w:rPr>
  </w:style>
  <w:style w:type="paragraph" w:customStyle="1" w:styleId="273">
    <w:name w:val="样式3"/>
    <w:basedOn w:val="88"/>
    <w:qFormat/>
    <w:uiPriority w:val="0"/>
    <w:pPr>
      <w:spacing w:line="240" w:lineRule="auto"/>
      <w:ind w:firstLine="0" w:firstLineChars="0"/>
      <w:jc w:val="both"/>
    </w:pPr>
  </w:style>
  <w:style w:type="paragraph" w:customStyle="1" w:styleId="274">
    <w:name w:val="1、表内字"/>
    <w:basedOn w:val="1"/>
    <w:qFormat/>
    <w:uiPriority w:val="0"/>
    <w:pPr>
      <w:widowControl/>
      <w:spacing w:line="240" w:lineRule="exact"/>
      <w:jc w:val="center"/>
    </w:pPr>
    <w:rPr>
      <w:kern w:val="0"/>
      <w:szCs w:val="21"/>
    </w:rPr>
  </w:style>
  <w:style w:type="paragraph" w:customStyle="1" w:styleId="275">
    <w:name w:val="表格内容居中"/>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paragraph" w:customStyle="1" w:styleId="276">
    <w:name w:val="样式9"/>
    <w:basedOn w:val="1"/>
    <w:qFormat/>
    <w:uiPriority w:val="0"/>
    <w:pPr>
      <w:adjustRightInd w:val="0"/>
      <w:snapToGrid w:val="0"/>
      <w:spacing w:line="360" w:lineRule="exact"/>
      <w:jc w:val="center"/>
    </w:pPr>
    <w:rPr>
      <w:rFonts w:hAnsi="宋体"/>
      <w:kern w:val="0"/>
      <w:szCs w:val="21"/>
    </w:rPr>
  </w:style>
  <w:style w:type="paragraph" w:customStyle="1" w:styleId="277">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bidi="ar-SA"/>
    </w:rPr>
  </w:style>
  <w:style w:type="table" w:customStyle="1" w:styleId="278">
    <w:name w:val="Table Grid_0"/>
    <w:basedOn w:val="35"/>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79">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280">
    <w:name w:val="A正文"/>
    <w:basedOn w:val="1"/>
    <w:qFormat/>
    <w:uiPriority w:val="0"/>
    <w:pPr>
      <w:autoSpaceDE w:val="0"/>
      <w:autoSpaceDN w:val="0"/>
      <w:adjustRightInd w:val="0"/>
      <w:spacing w:line="360" w:lineRule="auto"/>
      <w:ind w:firstLine="200" w:firstLineChars="200"/>
    </w:pPr>
    <w:rPr>
      <w:sz w:val="24"/>
    </w:rPr>
  </w:style>
  <w:style w:type="paragraph" w:customStyle="1" w:styleId="281">
    <w:name w:val="正文111111111"/>
    <w:basedOn w:val="1"/>
    <w:qFormat/>
    <w:uiPriority w:val="0"/>
    <w:pPr>
      <w:spacing w:line="360" w:lineRule="auto"/>
      <w:ind w:firstLine="480" w:firstLineChars="200"/>
    </w:pPr>
    <w:rPr>
      <w:sz w:val="24"/>
      <w:szCs w:val="20"/>
    </w:rPr>
  </w:style>
  <w:style w:type="character" w:customStyle="1" w:styleId="282">
    <w:name w:val="font101"/>
    <w:basedOn w:val="37"/>
    <w:qFormat/>
    <w:uiPriority w:val="0"/>
    <w:rPr>
      <w:rFonts w:hint="default" w:ascii="Times New Roman" w:hAnsi="Times New Roman" w:cs="Times New Roman"/>
      <w:color w:val="000000"/>
      <w:sz w:val="21"/>
      <w:szCs w:val="21"/>
      <w:u w:val="none"/>
      <w:vertAlign w:val="superscript"/>
    </w:rPr>
  </w:style>
  <w:style w:type="character" w:customStyle="1" w:styleId="283">
    <w:name w:val="font112"/>
    <w:basedOn w:val="37"/>
    <w:qFormat/>
    <w:uiPriority w:val="0"/>
    <w:rPr>
      <w:rFonts w:ascii="Courier New" w:hAnsi="Courier New" w:cs="Courier New"/>
      <w:color w:val="000000"/>
      <w:sz w:val="21"/>
      <w:szCs w:val="21"/>
      <w:u w:val="none"/>
    </w:rPr>
  </w:style>
  <w:style w:type="paragraph" w:customStyle="1" w:styleId="284">
    <w:name w:val="表格中的文字"/>
    <w:basedOn w:val="1"/>
    <w:qFormat/>
    <w:uiPriority w:val="0"/>
    <w:pPr>
      <w:snapToGrid w:val="0"/>
      <w:jc w:val="center"/>
    </w:pPr>
    <w:rPr>
      <w:rFonts w:eastAsia="Times New Roman"/>
      <w:szCs w:val="22"/>
    </w:rPr>
  </w:style>
  <w:style w:type="character" w:customStyle="1" w:styleId="285">
    <w:name w:val="font121"/>
    <w:basedOn w:val="37"/>
    <w:qFormat/>
    <w:uiPriority w:val="0"/>
    <w:rPr>
      <w:rFonts w:hint="eastAsia" w:ascii="宋体" w:hAnsi="宋体" w:eastAsia="宋体" w:cs="宋体"/>
      <w:color w:val="5500FF"/>
      <w:sz w:val="21"/>
      <w:szCs w:val="21"/>
      <w:u w:val="none"/>
    </w:rPr>
  </w:style>
  <w:style w:type="character" w:customStyle="1" w:styleId="286">
    <w:name w:val="font111"/>
    <w:basedOn w:val="37"/>
    <w:qFormat/>
    <w:uiPriority w:val="0"/>
    <w:rPr>
      <w:rFonts w:hint="default" w:ascii="Times New Roman" w:hAnsi="Times New Roman" w:cs="Times New Roman"/>
      <w:color w:val="00B050"/>
      <w:sz w:val="21"/>
      <w:szCs w:val="21"/>
      <w:u w:val="none"/>
      <w:vertAlign w:val="superscript"/>
    </w:rPr>
  </w:style>
  <w:style w:type="character" w:customStyle="1" w:styleId="287">
    <w:name w:val="font122"/>
    <w:basedOn w:val="37"/>
    <w:qFormat/>
    <w:uiPriority w:val="0"/>
    <w:rPr>
      <w:rFonts w:hint="default" w:ascii="Times New Roman" w:hAnsi="Times New Roman" w:cs="Times New Roman"/>
      <w:color w:val="000000"/>
      <w:sz w:val="21"/>
      <w:szCs w:val="21"/>
      <w:u w:val="none"/>
      <w:vertAlign w:val="superscript"/>
    </w:rPr>
  </w:style>
  <w:style w:type="character" w:customStyle="1" w:styleId="288">
    <w:name w:val="font131"/>
    <w:basedOn w:val="37"/>
    <w:qFormat/>
    <w:uiPriority w:val="0"/>
    <w:rPr>
      <w:rFonts w:hint="eastAsia" w:ascii="宋体" w:hAnsi="宋体" w:eastAsia="宋体" w:cs="宋体"/>
      <w:color w:val="000000"/>
      <w:sz w:val="21"/>
      <w:szCs w:val="21"/>
      <w:u w:val="none"/>
    </w:rPr>
  </w:style>
  <w:style w:type="character" w:customStyle="1" w:styleId="289">
    <w:name w:val="font141"/>
    <w:basedOn w:val="37"/>
    <w:qFormat/>
    <w:uiPriority w:val="0"/>
    <w:rPr>
      <w:rFonts w:hint="eastAsia" w:ascii="宋体" w:hAnsi="宋体" w:eastAsia="宋体" w:cs="宋体"/>
      <w:color w:val="000000"/>
      <w:sz w:val="21"/>
      <w:szCs w:val="21"/>
      <w:u w:val="none"/>
    </w:rPr>
  </w:style>
  <w:style w:type="character" w:customStyle="1" w:styleId="290">
    <w:name w:val="font151"/>
    <w:basedOn w:val="37"/>
    <w:qFormat/>
    <w:uiPriority w:val="0"/>
    <w:rPr>
      <w:rFonts w:hint="eastAsia" w:ascii="宋体" w:hAnsi="宋体" w:eastAsia="宋体" w:cs="宋体"/>
      <w:color w:val="FF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5.wmf"/><Relationship Id="rId3" Type="http://schemas.openxmlformats.org/officeDocument/2006/relationships/footer" Target="footer1.xml"/><Relationship Id="rId29" Type="http://schemas.openxmlformats.org/officeDocument/2006/relationships/image" Target="media/image14.png"/><Relationship Id="rId28" Type="http://schemas.openxmlformats.org/officeDocument/2006/relationships/image" Target="media/image13.wmf"/><Relationship Id="rId27" Type="http://schemas.openxmlformats.org/officeDocument/2006/relationships/oleObject" Target="embeddings/oleObject7.bin"/><Relationship Id="rId26" Type="http://schemas.openxmlformats.org/officeDocument/2006/relationships/image" Target="media/image12.wmf"/><Relationship Id="rId25" Type="http://schemas.openxmlformats.org/officeDocument/2006/relationships/oleObject" Target="embeddings/oleObject6.bin"/><Relationship Id="rId24" Type="http://schemas.openxmlformats.org/officeDocument/2006/relationships/image" Target="media/image11.wmf"/><Relationship Id="rId23" Type="http://schemas.openxmlformats.org/officeDocument/2006/relationships/oleObject" Target="embeddings/oleObject5.bin"/><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4.bin"/><Relationship Id="rId17" Type="http://schemas.openxmlformats.org/officeDocument/2006/relationships/image" Target="media/image6.emf"/><Relationship Id="rId16" Type="http://schemas.openxmlformats.org/officeDocument/2006/relationships/oleObject" Target="embeddings/oleObject3.bin"/><Relationship Id="rId15" Type="http://schemas.openxmlformats.org/officeDocument/2006/relationships/image" Target="media/image5.emf"/><Relationship Id="rId14" Type="http://schemas.openxmlformats.org/officeDocument/2006/relationships/oleObject" Target="embeddings/oleObject2.bin"/><Relationship Id="rId13" Type="http://schemas.openxmlformats.org/officeDocument/2006/relationships/image" Target="media/image4.emf"/><Relationship Id="rId12" Type="http://schemas.openxmlformats.org/officeDocument/2006/relationships/oleObject" Target="embeddings/oleObject1.bin"/><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100</Pages>
  <Words>1506</Words>
  <Characters>1663</Characters>
  <Lines>538</Lines>
  <Paragraphs>151</Paragraphs>
  <TotalTime>4</TotalTime>
  <ScaleCrop>false</ScaleCrop>
  <LinksUpToDate>false</LinksUpToDate>
  <CharactersWithSpaces>1707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2025-01-08T07:54:00Z</dcterms:created>
  <dc:creator>lhj</dc:creator>
  <cp:lastModifiedBy>工作号</cp:lastModifiedBy>
  <cp:lastPrinted>2020-12-29T02:43:00Z</cp:lastPrinted>
  <dcterms:modified xsi:type="dcterms:W3CDTF">2025-07-09T04:57:27Z</dcterms:modified>
  <dc:title>附件2</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0E800EF3AC484AAB8307109925A6A6BB_13</vt:lpwstr>
  </property>
  <property fmtid="{D5CDD505-2E9C-101B-9397-08002B2CF9AE}" pid="4" name="KSOTemplateDocerSaveRecord">
    <vt:lpwstr>eyJoZGlkIjoiYjcyYzY3NTRkYzk4MmM2OTQyOThlNzFkYmU3OGM0NzUiLCJ1c2VySWQiOiI2OTMzNTkwNDMifQ==</vt:lpwstr>
  </property>
</Properties>
</file>