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8FF1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附件：</w:t>
      </w:r>
    </w:p>
    <w:p w14:paraId="6C4250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jc w:val="center"/>
        <w:textAlignment w:val="auto"/>
        <w:rPr>
          <w:rFonts w:hint="default" w:ascii="Times New Roman" w:hAnsi="Times New Roman" w:eastAsia="方正小标宋简体" w:cs="Times New Roman"/>
          <w:spacing w:val="-12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pacing w:val="-12"/>
          <w:sz w:val="44"/>
          <w:szCs w:val="44"/>
        </w:rPr>
        <w:t>大竹县</w:t>
      </w:r>
      <w:r>
        <w:rPr>
          <w:rFonts w:hint="default" w:ascii="Times New Roman" w:hAnsi="Times New Roman" w:eastAsia="方正小标宋简体" w:cs="Times New Roman"/>
          <w:spacing w:val="-12"/>
          <w:sz w:val="44"/>
          <w:szCs w:val="44"/>
          <w:lang w:val="en-US" w:eastAsia="zh-CN"/>
        </w:rPr>
        <w:t>科学技术局</w:t>
      </w:r>
    </w:p>
    <w:p w14:paraId="641F90B6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关于</w:t>
      </w:r>
      <w:r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  <w:t>解决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4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年度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高新技术企业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认定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等</w:t>
      </w:r>
    </w:p>
    <w:p w14:paraId="5C38A362">
      <w:pPr>
        <w:spacing w:line="578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奖补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资金的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建议方案</w:t>
      </w:r>
    </w:p>
    <w:p w14:paraId="0735B8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756A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为充分发挥政府扶持资金的宏观导向和激励作用，加快实施创新驱动发展战略，促进县域经济持续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发展，县科技局根据《中共大竹县委大竹县人民政府关于促进民营经济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发展的实施意见》（竹委发〔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号）、《大竹县人民政府关于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深入推动大众创业万众创新再上新台阶的若干措施的通知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》（竹府发〔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号）等文件精神，相关民营企业申报了2024年度高新技术企业认定等奖补资金补助，县科技局会同县财政局进行了原件审查和现场核查，应奖励补助项目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类、资金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960.77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万元。具体如下：</w:t>
      </w:r>
    </w:p>
    <w:p w14:paraId="059BF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认定高新技术企业奖励</w:t>
      </w:r>
    </w:p>
    <w:p w14:paraId="3092D8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政策依据：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《中共大竹县委大竹县人民政府关于促进民营经济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发展的实施意见》（竹委发〔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号）文件第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2点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：对首次获得高新技术企业认定的民营企业，给予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50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万元奖励；重新认定的民营高新技术企业，给予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万元奖励。</w:t>
      </w:r>
    </w:p>
    <w:p w14:paraId="677929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奖励资金：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万元。（其中：首次认定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户、资金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60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万，重新认定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户、资金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120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万。）分别是：</w:t>
      </w:r>
    </w:p>
    <w:tbl>
      <w:tblPr>
        <w:tblStyle w:val="5"/>
        <w:tblW w:w="9225" w:type="dxa"/>
        <w:tblInd w:w="-6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5"/>
        <w:gridCol w:w="4140"/>
        <w:gridCol w:w="1725"/>
        <w:gridCol w:w="1695"/>
        <w:gridCol w:w="1050"/>
      </w:tblGrid>
      <w:tr w14:paraId="5E031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615" w:type="dxa"/>
            <w:noWrap/>
            <w:vAlign w:val="center"/>
          </w:tcPr>
          <w:p w14:paraId="13E6920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</w:rPr>
              <w:t>序号</w:t>
            </w:r>
          </w:p>
        </w:tc>
        <w:tc>
          <w:tcPr>
            <w:tcW w:w="4140" w:type="dxa"/>
            <w:noWrap/>
            <w:vAlign w:val="center"/>
          </w:tcPr>
          <w:p w14:paraId="68E423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</w:rPr>
              <w:t>企业名称</w:t>
            </w:r>
          </w:p>
        </w:tc>
        <w:tc>
          <w:tcPr>
            <w:tcW w:w="1725" w:type="dxa"/>
            <w:noWrap/>
            <w:vAlign w:val="center"/>
          </w:tcPr>
          <w:p w14:paraId="05673A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</w:rPr>
              <w:t>首次认定时间</w:t>
            </w:r>
          </w:p>
        </w:tc>
        <w:tc>
          <w:tcPr>
            <w:tcW w:w="1695" w:type="dxa"/>
            <w:noWrap/>
            <w:vAlign w:val="center"/>
          </w:tcPr>
          <w:p w14:paraId="27C2281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z w:val="24"/>
              </w:rPr>
              <w:t>重新认定时间</w:t>
            </w:r>
          </w:p>
        </w:tc>
        <w:tc>
          <w:tcPr>
            <w:tcW w:w="1050" w:type="dxa"/>
            <w:noWrap/>
            <w:vAlign w:val="center"/>
          </w:tcPr>
          <w:p w14:paraId="6D2101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 w:val="0"/>
                <w:spacing w:val="-20"/>
                <w:sz w:val="24"/>
              </w:rPr>
              <w:t>奖励金额（万元）</w:t>
            </w:r>
          </w:p>
        </w:tc>
      </w:tr>
      <w:tr w14:paraId="23D6CA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0F757A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1</w:t>
            </w:r>
          </w:p>
        </w:tc>
        <w:tc>
          <w:tcPr>
            <w:tcW w:w="4140" w:type="dxa"/>
            <w:noWrap/>
            <w:vAlign w:val="center"/>
          </w:tcPr>
          <w:p w14:paraId="3EA49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达州利森水泥有限公司</w:t>
            </w:r>
          </w:p>
        </w:tc>
        <w:tc>
          <w:tcPr>
            <w:tcW w:w="1725" w:type="dxa"/>
            <w:noWrap/>
            <w:vAlign w:val="center"/>
          </w:tcPr>
          <w:p w14:paraId="09727D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2024年12月</w:t>
            </w:r>
          </w:p>
        </w:tc>
        <w:tc>
          <w:tcPr>
            <w:tcW w:w="1695" w:type="dxa"/>
            <w:noWrap/>
            <w:vAlign w:val="center"/>
          </w:tcPr>
          <w:p w14:paraId="50A6FE9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50" w:type="dxa"/>
            <w:noWrap/>
            <w:vAlign w:val="center"/>
          </w:tcPr>
          <w:p w14:paraId="030180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668CE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548B037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4140" w:type="dxa"/>
            <w:noWrap/>
            <w:vAlign w:val="center"/>
          </w:tcPr>
          <w:p w14:paraId="769A2B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pacing w:val="-2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四川竹海玉叶生态农业开发有限公司</w:t>
            </w:r>
          </w:p>
        </w:tc>
        <w:tc>
          <w:tcPr>
            <w:tcW w:w="1725" w:type="dxa"/>
            <w:noWrap/>
            <w:vAlign w:val="center"/>
          </w:tcPr>
          <w:p w14:paraId="5E2961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2024年11月</w:t>
            </w:r>
          </w:p>
        </w:tc>
        <w:tc>
          <w:tcPr>
            <w:tcW w:w="1695" w:type="dxa"/>
            <w:noWrap/>
            <w:vAlign w:val="center"/>
          </w:tcPr>
          <w:p w14:paraId="3BFA96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50" w:type="dxa"/>
            <w:noWrap/>
            <w:vAlign w:val="center"/>
          </w:tcPr>
          <w:p w14:paraId="235716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39EE3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71F70B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3</w:t>
            </w:r>
          </w:p>
        </w:tc>
        <w:tc>
          <w:tcPr>
            <w:tcW w:w="4140" w:type="dxa"/>
            <w:noWrap/>
            <w:vAlign w:val="center"/>
          </w:tcPr>
          <w:p w14:paraId="79F8C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大竹明阳门业有限公司</w:t>
            </w:r>
          </w:p>
        </w:tc>
        <w:tc>
          <w:tcPr>
            <w:tcW w:w="1725" w:type="dxa"/>
            <w:noWrap/>
            <w:vAlign w:val="center"/>
          </w:tcPr>
          <w:p w14:paraId="0DD9E25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2024年11月</w:t>
            </w:r>
          </w:p>
        </w:tc>
        <w:tc>
          <w:tcPr>
            <w:tcW w:w="1695" w:type="dxa"/>
            <w:noWrap/>
            <w:vAlign w:val="center"/>
          </w:tcPr>
          <w:p w14:paraId="64F9F55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50" w:type="dxa"/>
            <w:noWrap/>
            <w:vAlign w:val="center"/>
          </w:tcPr>
          <w:p w14:paraId="3061E2D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7776E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459A92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4</w:t>
            </w:r>
          </w:p>
        </w:tc>
        <w:tc>
          <w:tcPr>
            <w:tcW w:w="4140" w:type="dxa"/>
            <w:noWrap/>
            <w:vAlign w:val="center"/>
          </w:tcPr>
          <w:p w14:paraId="081859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四川琨奇尔文化创意有限公司</w:t>
            </w:r>
          </w:p>
        </w:tc>
        <w:tc>
          <w:tcPr>
            <w:tcW w:w="1725" w:type="dxa"/>
            <w:noWrap/>
            <w:vAlign w:val="center"/>
          </w:tcPr>
          <w:p w14:paraId="19AE58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2024年12月</w:t>
            </w:r>
          </w:p>
        </w:tc>
        <w:tc>
          <w:tcPr>
            <w:tcW w:w="1695" w:type="dxa"/>
            <w:noWrap/>
            <w:vAlign w:val="center"/>
          </w:tcPr>
          <w:p w14:paraId="2D6073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50" w:type="dxa"/>
            <w:noWrap/>
            <w:vAlign w:val="center"/>
          </w:tcPr>
          <w:p w14:paraId="593EAAB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25F44E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0010A1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4140" w:type="dxa"/>
            <w:noWrap/>
            <w:vAlign w:val="center"/>
          </w:tcPr>
          <w:p w14:paraId="124222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四川新宏景农业科技开发有限公司</w:t>
            </w:r>
          </w:p>
        </w:tc>
        <w:tc>
          <w:tcPr>
            <w:tcW w:w="1725" w:type="dxa"/>
            <w:noWrap/>
            <w:vAlign w:val="center"/>
          </w:tcPr>
          <w:p w14:paraId="2088209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2024年12月</w:t>
            </w:r>
          </w:p>
        </w:tc>
        <w:tc>
          <w:tcPr>
            <w:tcW w:w="1695" w:type="dxa"/>
            <w:noWrap/>
            <w:vAlign w:val="center"/>
          </w:tcPr>
          <w:p w14:paraId="018B5EF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50" w:type="dxa"/>
            <w:noWrap/>
            <w:vAlign w:val="center"/>
          </w:tcPr>
          <w:p w14:paraId="0B9821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2F293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389DE5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6</w:t>
            </w:r>
          </w:p>
        </w:tc>
        <w:tc>
          <w:tcPr>
            <w:tcW w:w="4140" w:type="dxa"/>
            <w:noWrap/>
            <w:vAlign w:val="center"/>
          </w:tcPr>
          <w:p w14:paraId="5FA37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四川安鑫普电子有限公司</w:t>
            </w:r>
          </w:p>
        </w:tc>
        <w:tc>
          <w:tcPr>
            <w:tcW w:w="1725" w:type="dxa"/>
            <w:noWrap/>
            <w:vAlign w:val="center"/>
          </w:tcPr>
          <w:p w14:paraId="2A67872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2024年12月</w:t>
            </w:r>
          </w:p>
        </w:tc>
        <w:tc>
          <w:tcPr>
            <w:tcW w:w="1695" w:type="dxa"/>
            <w:noWrap/>
            <w:vAlign w:val="center"/>
          </w:tcPr>
          <w:p w14:paraId="733989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</w:p>
        </w:tc>
        <w:tc>
          <w:tcPr>
            <w:tcW w:w="1050" w:type="dxa"/>
            <w:noWrap/>
            <w:vAlign w:val="center"/>
          </w:tcPr>
          <w:p w14:paraId="7861EB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5C816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0641A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7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6EE47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达州市屹立钢化玻璃有限公司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5C3CA0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2024年11月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01893BE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0B639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56CA3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45B930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2B59C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四川余音电声科技有限公司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0D7F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2024年11月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73E71C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DF4C0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0DBFA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5B300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27AE0A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四川拓讯科技有限公司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501520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2024年12月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537B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7909A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6098F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4329A2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6DACD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四川川彩包装制品有限公司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0B116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2024年12月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43806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7BA00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38AB0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46AA54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5768D1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达州文川药业有限公司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3D095F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2024年12月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82C50C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7F6B9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71AFB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noWrap/>
            <w:vAlign w:val="center"/>
          </w:tcPr>
          <w:p w14:paraId="63E969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12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294C41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四川新胜隆电子科技有限公司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3DD040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2024年11月</w:t>
            </w: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29C0EB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4370B5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50</w:t>
            </w:r>
          </w:p>
        </w:tc>
      </w:tr>
      <w:tr w14:paraId="3C6B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noWrap/>
            <w:vAlign w:val="center"/>
          </w:tcPr>
          <w:p w14:paraId="63E1936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23389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四川明鑫电器电瓷有限公司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6B7BE6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287528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2024年11月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6130C1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20</w:t>
            </w:r>
          </w:p>
        </w:tc>
      </w:tr>
      <w:tr w14:paraId="600A2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shd w:val="clear" w:color="auto" w:fill="auto"/>
            <w:noWrap/>
            <w:vAlign w:val="center"/>
          </w:tcPr>
          <w:p w14:paraId="2AE19C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0DF10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达州市天宝锦湖电子有限公司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31B425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0F4874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2024年11月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458C21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20</w:t>
            </w:r>
          </w:p>
        </w:tc>
      </w:tr>
      <w:tr w14:paraId="3DF23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158032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0346E3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四川福翔科技有限公司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50CE639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64D4AA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pacing w:val="-2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2024年11月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0D8A96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20</w:t>
            </w:r>
          </w:p>
        </w:tc>
      </w:tr>
      <w:tr w14:paraId="6621E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6CC4D3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11B05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四川越洋电子科技有限责任公司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2146BD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79E8403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2024年11月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88B05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20</w:t>
            </w:r>
          </w:p>
        </w:tc>
      </w:tr>
      <w:tr w14:paraId="217D5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07C781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137571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四川川东电缆有限责任公司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6599FA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32C103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2024年12月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3C730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20</w:t>
            </w:r>
          </w:p>
        </w:tc>
      </w:tr>
      <w:tr w14:paraId="49665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15" w:type="dxa"/>
            <w:noWrap/>
            <w:vAlign w:val="center"/>
          </w:tcPr>
          <w:p w14:paraId="0F87D51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18</w:t>
            </w:r>
          </w:p>
        </w:tc>
        <w:tc>
          <w:tcPr>
            <w:tcW w:w="4140" w:type="dxa"/>
            <w:shd w:val="clear" w:color="auto" w:fill="auto"/>
            <w:noWrap/>
            <w:vAlign w:val="center"/>
          </w:tcPr>
          <w:p w14:paraId="39DD1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四川新象瓷业有限责任公司</w:t>
            </w:r>
          </w:p>
        </w:tc>
        <w:tc>
          <w:tcPr>
            <w:tcW w:w="1725" w:type="dxa"/>
            <w:shd w:val="clear" w:color="auto" w:fill="auto"/>
            <w:noWrap/>
            <w:vAlign w:val="center"/>
          </w:tcPr>
          <w:p w14:paraId="3464C8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5" w:type="dxa"/>
            <w:shd w:val="clear" w:color="auto" w:fill="auto"/>
            <w:noWrap/>
            <w:vAlign w:val="center"/>
          </w:tcPr>
          <w:p w14:paraId="452B32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Cs/>
                <w:sz w:val="24"/>
                <w:lang w:val="en-US" w:eastAsia="zh-CN"/>
              </w:rPr>
              <w:t>2024年11月</w:t>
            </w:r>
          </w:p>
        </w:tc>
        <w:tc>
          <w:tcPr>
            <w:tcW w:w="1050" w:type="dxa"/>
            <w:shd w:val="clear" w:color="auto" w:fill="auto"/>
            <w:noWrap/>
            <w:vAlign w:val="center"/>
          </w:tcPr>
          <w:p w14:paraId="5B384A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20</w:t>
            </w:r>
          </w:p>
        </w:tc>
      </w:tr>
      <w:tr w14:paraId="55D43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75" w:type="dxa"/>
            <w:gridSpan w:val="4"/>
            <w:noWrap/>
            <w:vAlign w:val="center"/>
          </w:tcPr>
          <w:p w14:paraId="4E5C44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3373" w:firstLineChars="1400"/>
              <w:jc w:val="center"/>
              <w:textAlignment w:val="auto"/>
              <w:rPr>
                <w:rFonts w:hint="default" w:ascii="Times New Roman" w:hAnsi="Times New Roman" w:eastAsia="仿宋_GB2312" w:cs="Times New Roman"/>
                <w:bCs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 xml:space="preserve">合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  <w:lang w:val="en-US" w:eastAsia="zh-CN"/>
              </w:rPr>
              <w:t xml:space="preserve">            </w:t>
            </w:r>
            <w:r>
              <w:rPr>
                <w:rFonts w:hint="default" w:ascii="Times New Roman" w:hAnsi="Times New Roman" w:eastAsia="仿宋_GB2312" w:cs="Times New Roman"/>
                <w:b/>
                <w:bCs w:val="0"/>
                <w:sz w:val="24"/>
              </w:rPr>
              <w:t xml:space="preserve">  计</w:t>
            </w:r>
          </w:p>
        </w:tc>
        <w:tc>
          <w:tcPr>
            <w:tcW w:w="1050" w:type="dxa"/>
            <w:noWrap/>
            <w:vAlign w:val="center"/>
          </w:tcPr>
          <w:p w14:paraId="3D32A5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7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2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0</w:t>
            </w:r>
          </w:p>
        </w:tc>
      </w:tr>
    </w:tbl>
    <w:p w14:paraId="273E70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二、</w:t>
      </w:r>
      <w:r>
        <w:rPr>
          <w:rFonts w:hint="default" w:ascii="Times New Roman" w:hAnsi="Times New Roman" w:eastAsia="黑体" w:cs="Times New Roman"/>
          <w:sz w:val="32"/>
          <w:szCs w:val="32"/>
        </w:rPr>
        <w:t>科研平台运行补助</w:t>
      </w:r>
    </w:p>
    <w:p w14:paraId="2FED37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政策依据：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《中共大竹县委大竹县人民政府关于促进民营经济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发展的实施意见》（竹委发〔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文件第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17</w:t>
      </w:r>
      <w:r>
        <w:rPr>
          <w:rFonts w:hint="default" w:ascii="Times New Roman" w:hAnsi="Times New Roman" w:eastAsia="仿宋_GB2312" w:cs="Times New Roman"/>
          <w:bCs/>
          <w:sz w:val="32"/>
          <w:szCs w:val="32"/>
        </w:rPr>
        <w:t>页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3点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：对国家、省、市级工程技术研究中心或重点实验室，每年经考评合格后分别给予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万元、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15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万元、</w:t>
      </w:r>
      <w:r>
        <w:rPr>
          <w:rFonts w:ascii="Times New Roman" w:hAnsi="Times New Roman" w:eastAsia="仿宋_GB2312" w:cs="Times New Roman"/>
          <w:bCs/>
          <w:color w:val="000000"/>
          <w:sz w:val="32"/>
          <w:szCs w:val="32"/>
        </w:rPr>
        <w:t>10</w:t>
      </w: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万元运行补助。</w:t>
      </w:r>
    </w:p>
    <w:p w14:paraId="75CBD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补助资金：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bCs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万元。（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其中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家省级创新平台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补助资金合计30万元，3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家市级创新平台运行补助资金</w:t>
      </w:r>
      <w:r>
        <w:rPr>
          <w:rFonts w:hint="eastAsia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共3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Cs/>
          <w:color w:val="000000"/>
          <w:kern w:val="0"/>
          <w:sz w:val="32"/>
          <w:szCs w:val="32"/>
        </w:rPr>
        <w:t>万）分别是：</w:t>
      </w:r>
    </w:p>
    <w:tbl>
      <w:tblPr>
        <w:tblStyle w:val="5"/>
        <w:tblW w:w="93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3"/>
        <w:gridCol w:w="1860"/>
        <w:gridCol w:w="585"/>
        <w:gridCol w:w="2404"/>
        <w:gridCol w:w="2535"/>
        <w:gridCol w:w="1440"/>
      </w:tblGrid>
      <w:tr w14:paraId="49FB2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exact"/>
          <w:jc w:val="center"/>
        </w:trPr>
        <w:tc>
          <w:tcPr>
            <w:tcW w:w="523" w:type="dxa"/>
            <w:noWrap/>
            <w:vAlign w:val="center"/>
          </w:tcPr>
          <w:p w14:paraId="769EBF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序号</w:t>
            </w:r>
          </w:p>
        </w:tc>
        <w:tc>
          <w:tcPr>
            <w:tcW w:w="1860" w:type="dxa"/>
            <w:noWrap/>
            <w:vAlign w:val="center"/>
          </w:tcPr>
          <w:p w14:paraId="512B862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建设单位</w:t>
            </w:r>
          </w:p>
        </w:tc>
        <w:tc>
          <w:tcPr>
            <w:tcW w:w="585" w:type="dxa"/>
            <w:noWrap/>
            <w:vAlign w:val="center"/>
          </w:tcPr>
          <w:p w14:paraId="1E24AB8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级别</w:t>
            </w:r>
          </w:p>
        </w:tc>
        <w:tc>
          <w:tcPr>
            <w:tcW w:w="2404" w:type="dxa"/>
            <w:noWrap/>
            <w:vAlign w:val="center"/>
          </w:tcPr>
          <w:p w14:paraId="3D03E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研发平台名称</w:t>
            </w:r>
          </w:p>
        </w:tc>
        <w:tc>
          <w:tcPr>
            <w:tcW w:w="2535" w:type="dxa"/>
            <w:noWrap/>
            <w:vAlign w:val="center"/>
          </w:tcPr>
          <w:p w14:paraId="7F3521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批准单位及文号</w:t>
            </w:r>
          </w:p>
        </w:tc>
        <w:tc>
          <w:tcPr>
            <w:tcW w:w="1440" w:type="dxa"/>
            <w:noWrap/>
            <w:vAlign w:val="center"/>
          </w:tcPr>
          <w:p w14:paraId="1FCB8B7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4年度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运行补助金额（万元）</w:t>
            </w:r>
          </w:p>
        </w:tc>
      </w:tr>
      <w:tr w14:paraId="65657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523" w:type="dxa"/>
            <w:noWrap/>
            <w:vAlign w:val="center"/>
          </w:tcPr>
          <w:p w14:paraId="0055D1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860" w:type="dxa"/>
            <w:noWrap/>
            <w:vAlign w:val="center"/>
          </w:tcPr>
          <w:p w14:paraId="21B3C3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四川川环科技股份有限公司</w:t>
            </w:r>
          </w:p>
        </w:tc>
        <w:tc>
          <w:tcPr>
            <w:tcW w:w="585" w:type="dxa"/>
            <w:noWrap/>
            <w:vAlign w:val="center"/>
          </w:tcPr>
          <w:p w14:paraId="5EB8B6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省级</w:t>
            </w:r>
          </w:p>
        </w:tc>
        <w:tc>
          <w:tcPr>
            <w:tcW w:w="2404" w:type="dxa"/>
            <w:noWrap/>
            <w:vAlign w:val="center"/>
          </w:tcPr>
          <w:p w14:paraId="25A576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汽车特种高分子材料工程四川省重点实验室</w:t>
            </w:r>
          </w:p>
        </w:tc>
        <w:tc>
          <w:tcPr>
            <w:tcW w:w="2535" w:type="dxa"/>
            <w:noWrap/>
            <w:vAlign w:val="center"/>
          </w:tcPr>
          <w:p w14:paraId="72BE38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四川省科学技术厅（川科基〔2008〕10号</w:t>
            </w:r>
          </w:p>
        </w:tc>
        <w:tc>
          <w:tcPr>
            <w:tcW w:w="1440" w:type="dxa"/>
            <w:noWrap/>
            <w:vAlign w:val="center"/>
          </w:tcPr>
          <w:p w14:paraId="138CF0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15</w:t>
            </w:r>
          </w:p>
        </w:tc>
      </w:tr>
      <w:tr w14:paraId="56C16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523" w:type="dxa"/>
            <w:noWrap/>
            <w:vAlign w:val="center"/>
          </w:tcPr>
          <w:p w14:paraId="6BE8C8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2</w:t>
            </w:r>
          </w:p>
        </w:tc>
        <w:tc>
          <w:tcPr>
            <w:tcW w:w="1860" w:type="dxa"/>
            <w:noWrap/>
            <w:vAlign w:val="center"/>
          </w:tcPr>
          <w:p w14:paraId="36D400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四川川东电缆有限责任公司</w:t>
            </w:r>
          </w:p>
        </w:tc>
        <w:tc>
          <w:tcPr>
            <w:tcW w:w="585" w:type="dxa"/>
            <w:noWrap/>
            <w:vAlign w:val="center"/>
          </w:tcPr>
          <w:p w14:paraId="1643D24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省级</w:t>
            </w:r>
          </w:p>
        </w:tc>
        <w:tc>
          <w:tcPr>
            <w:tcW w:w="2404" w:type="dxa"/>
            <w:noWrap/>
            <w:vAlign w:val="center"/>
          </w:tcPr>
          <w:p w14:paraId="3B5D0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四川省柔性电缆工程技术研究中心</w:t>
            </w:r>
          </w:p>
        </w:tc>
        <w:tc>
          <w:tcPr>
            <w:tcW w:w="2535" w:type="dxa"/>
            <w:noWrap/>
            <w:vAlign w:val="center"/>
          </w:tcPr>
          <w:p w14:paraId="6B55CF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四川省科学技术厅（川科高〔2021〕30号）</w:t>
            </w:r>
          </w:p>
        </w:tc>
        <w:tc>
          <w:tcPr>
            <w:tcW w:w="1440" w:type="dxa"/>
            <w:noWrap/>
            <w:vAlign w:val="center"/>
          </w:tcPr>
          <w:p w14:paraId="539DC3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15</w:t>
            </w:r>
          </w:p>
        </w:tc>
      </w:tr>
      <w:tr w14:paraId="31151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523" w:type="dxa"/>
            <w:noWrap/>
            <w:vAlign w:val="center"/>
          </w:tcPr>
          <w:p w14:paraId="370099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</w:p>
        </w:tc>
        <w:tc>
          <w:tcPr>
            <w:tcW w:w="1860" w:type="dxa"/>
            <w:noWrap/>
            <w:vAlign w:val="center"/>
          </w:tcPr>
          <w:p w14:paraId="684384B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四川省维奇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新材料股份</w:t>
            </w: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有限公司</w:t>
            </w:r>
          </w:p>
        </w:tc>
        <w:tc>
          <w:tcPr>
            <w:tcW w:w="585" w:type="dxa"/>
            <w:noWrap/>
            <w:vAlign w:val="center"/>
          </w:tcPr>
          <w:p w14:paraId="2122B0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市级</w:t>
            </w:r>
          </w:p>
        </w:tc>
        <w:tc>
          <w:tcPr>
            <w:tcW w:w="2404" w:type="dxa"/>
            <w:noWrap/>
            <w:vAlign w:val="center"/>
          </w:tcPr>
          <w:p w14:paraId="1D1819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达州市平板显示光学薄膜工程技术研究中心</w:t>
            </w:r>
          </w:p>
        </w:tc>
        <w:tc>
          <w:tcPr>
            <w:tcW w:w="2535" w:type="dxa"/>
            <w:noWrap/>
            <w:vAlign w:val="center"/>
          </w:tcPr>
          <w:p w14:paraId="693873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达州市科学技术和知识产权局（达市科知〔2018〕24号）</w:t>
            </w:r>
          </w:p>
        </w:tc>
        <w:tc>
          <w:tcPr>
            <w:tcW w:w="1440" w:type="dxa"/>
            <w:noWrap/>
            <w:vAlign w:val="center"/>
          </w:tcPr>
          <w:p w14:paraId="409CD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</w:t>
            </w:r>
          </w:p>
        </w:tc>
      </w:tr>
      <w:tr w14:paraId="05566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523" w:type="dxa"/>
            <w:noWrap/>
            <w:vAlign w:val="center"/>
          </w:tcPr>
          <w:p w14:paraId="799114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4</w:t>
            </w:r>
          </w:p>
        </w:tc>
        <w:tc>
          <w:tcPr>
            <w:tcW w:w="1860" w:type="dxa"/>
            <w:noWrap/>
            <w:vAlign w:val="center"/>
          </w:tcPr>
          <w:p w14:paraId="72709B4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pacing w:val="-20"/>
                <w:sz w:val="24"/>
                <w:szCs w:val="24"/>
                <w:lang w:eastAsia="zh-CN"/>
              </w:rPr>
              <w:t>达州市天宝锦湖电子有限公司</w:t>
            </w:r>
          </w:p>
        </w:tc>
        <w:tc>
          <w:tcPr>
            <w:tcW w:w="585" w:type="dxa"/>
            <w:noWrap/>
            <w:vAlign w:val="center"/>
          </w:tcPr>
          <w:p w14:paraId="5F3004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市级</w:t>
            </w:r>
          </w:p>
        </w:tc>
        <w:tc>
          <w:tcPr>
            <w:tcW w:w="2404" w:type="dxa"/>
            <w:noWrap/>
            <w:vAlign w:val="center"/>
          </w:tcPr>
          <w:p w14:paraId="12BC40B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达州市氮化镓充电器工程技术研究中心</w:t>
            </w:r>
          </w:p>
        </w:tc>
        <w:tc>
          <w:tcPr>
            <w:tcW w:w="2535" w:type="dxa"/>
            <w:noWrap/>
            <w:vAlign w:val="center"/>
          </w:tcPr>
          <w:p w14:paraId="3D17AA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达州市科技局（达市科〔2021〕101号）</w:t>
            </w:r>
          </w:p>
        </w:tc>
        <w:tc>
          <w:tcPr>
            <w:tcW w:w="1440" w:type="dxa"/>
            <w:noWrap/>
            <w:vAlign w:val="center"/>
          </w:tcPr>
          <w:p w14:paraId="4D3C70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</w:t>
            </w:r>
          </w:p>
        </w:tc>
      </w:tr>
      <w:tr w14:paraId="276CD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523" w:type="dxa"/>
            <w:noWrap/>
            <w:vAlign w:val="center"/>
          </w:tcPr>
          <w:p w14:paraId="3F711F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860" w:type="dxa"/>
            <w:noWrap/>
            <w:vAlign w:val="center"/>
          </w:tcPr>
          <w:p w14:paraId="44259A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四川百岛湖生态农业开发有限公司</w:t>
            </w:r>
          </w:p>
        </w:tc>
        <w:tc>
          <w:tcPr>
            <w:tcW w:w="585" w:type="dxa"/>
            <w:noWrap/>
            <w:vAlign w:val="center"/>
          </w:tcPr>
          <w:p w14:paraId="67575A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市级</w:t>
            </w:r>
          </w:p>
        </w:tc>
        <w:tc>
          <w:tcPr>
            <w:tcW w:w="2404" w:type="dxa"/>
            <w:noWrap/>
            <w:vAlign w:val="center"/>
          </w:tcPr>
          <w:p w14:paraId="5D9F3B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达州市小龙虾良种选育繁育工程技术研究中心</w:t>
            </w:r>
          </w:p>
        </w:tc>
        <w:tc>
          <w:tcPr>
            <w:tcW w:w="2535" w:type="dxa"/>
            <w:noWrap/>
            <w:vAlign w:val="center"/>
          </w:tcPr>
          <w:p w14:paraId="3DC509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达州市科学技术局（达市科〔2020〕88号）</w:t>
            </w:r>
          </w:p>
        </w:tc>
        <w:tc>
          <w:tcPr>
            <w:tcW w:w="1440" w:type="dxa"/>
            <w:noWrap/>
            <w:vAlign w:val="center"/>
          </w:tcPr>
          <w:p w14:paraId="0DEC99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>10</w:t>
            </w:r>
          </w:p>
        </w:tc>
      </w:tr>
      <w:tr w14:paraId="1E38BD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907" w:type="dxa"/>
            <w:gridSpan w:val="5"/>
            <w:noWrap/>
            <w:vAlign w:val="center"/>
          </w:tcPr>
          <w:p w14:paraId="35D4A7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合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</w:rPr>
              <w:t xml:space="preserve">  计</w:t>
            </w:r>
          </w:p>
        </w:tc>
        <w:tc>
          <w:tcPr>
            <w:tcW w:w="1440" w:type="dxa"/>
            <w:noWrap/>
            <w:vAlign w:val="center"/>
          </w:tcPr>
          <w:p w14:paraId="009B46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8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lang w:val="en-US" w:eastAsia="zh-CN"/>
              </w:rPr>
              <w:t>0</w:t>
            </w:r>
          </w:p>
        </w:tc>
      </w:tr>
    </w:tbl>
    <w:p w14:paraId="1FF8D7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黑体" w:cs="Times New Roman"/>
          <w:bCs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eastAsia="zh-CN"/>
        </w:rPr>
        <w:t>三、</w:t>
      </w:r>
      <w:r>
        <w:rPr>
          <w:rFonts w:hint="default" w:ascii="Times New Roman" w:hAnsi="Times New Roman" w:eastAsia="黑体" w:cs="Times New Roman"/>
          <w:bCs/>
          <w:sz w:val="32"/>
          <w:szCs w:val="32"/>
        </w:rPr>
        <w:t>企业研发费后补助</w:t>
      </w:r>
    </w:p>
    <w:p w14:paraId="0DF7AA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政策依据：《中共大竹县委大竹县人民政府关于促进民营经济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发展的实施意见》（竹委发〔20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号）文件第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建立研发投入后补助机制。县财政设立“研发后补助专项资金”，对企业经核定的上一年度R&amp;D经费自有资金支出达到200万元（含200万元）以上的，按其投入资金的0.5%给予后补助，补助金额最高不超过20万元。</w:t>
      </w:r>
    </w:p>
    <w:p w14:paraId="1C576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后补助资金：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共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家企业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使用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自有资金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在</w:t>
      </w:r>
      <w:r>
        <w:rPr>
          <w:rFonts w:ascii="Times New Roman" w:hAnsi="Times New Roman" w:eastAsia="仿宋_GB2312" w:cs="Times New Roman"/>
          <w:sz w:val="32"/>
          <w:szCs w:val="32"/>
        </w:rPr>
        <w:t>R&amp;D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经费实际支出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达到200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合计1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4392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万元，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按其投入资金的</w:t>
      </w:r>
      <w:r>
        <w:rPr>
          <w:rFonts w:ascii="Times New Roman" w:hAnsi="Times New Roman" w:eastAsia="仿宋_GB2312" w:cs="Times New Roman"/>
          <w:sz w:val="32"/>
          <w:szCs w:val="32"/>
        </w:rPr>
        <w:t>0.5%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给予后补助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,每家企业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补助金额最高不超过20万元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核实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研发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后补助资金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合计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1.77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万元。）分别是：</w:t>
      </w:r>
    </w:p>
    <w:tbl>
      <w:tblPr>
        <w:tblStyle w:val="5"/>
        <w:tblW w:w="83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3600"/>
        <w:gridCol w:w="1845"/>
        <w:gridCol w:w="1095"/>
        <w:gridCol w:w="1182"/>
      </w:tblGrid>
      <w:tr w14:paraId="6BDB2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652" w:type="dxa"/>
            <w:noWrap w:val="0"/>
            <w:vAlign w:val="center"/>
          </w:tcPr>
          <w:p w14:paraId="21B476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1EBFD5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top"/>
          </w:tcPr>
          <w:p w14:paraId="29EE2FE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年R&amp;D经费自有资金实际支出（万元）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46B2DD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补助</w:t>
            </w:r>
          </w:p>
          <w:p w14:paraId="482979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标准</w:t>
            </w: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510892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val="en-US" w:eastAsia="zh-CN"/>
              </w:rPr>
              <w:t>研发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后补助金额（万元）</w:t>
            </w:r>
          </w:p>
        </w:tc>
      </w:tr>
      <w:tr w14:paraId="07388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dxa"/>
            <w:noWrap w:val="0"/>
            <w:vAlign w:val="center"/>
          </w:tcPr>
          <w:p w14:paraId="6B25C8A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1</w:t>
            </w: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05147C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四川川环科技股份有限公司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center"/>
          </w:tcPr>
          <w:p w14:paraId="1E6A3D4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4033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060398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0.5%</w:t>
            </w: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087EC7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20.00</w:t>
            </w:r>
          </w:p>
        </w:tc>
      </w:tr>
      <w:tr w14:paraId="00849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dxa"/>
            <w:noWrap w:val="0"/>
            <w:vAlign w:val="center"/>
          </w:tcPr>
          <w:p w14:paraId="6B6D8B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2</w:t>
            </w: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11C52D7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四川川东电缆有限责任公司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center"/>
          </w:tcPr>
          <w:p w14:paraId="7A23DC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931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4BF19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0.5%</w:t>
            </w: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2CAA03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4.65</w:t>
            </w:r>
          </w:p>
        </w:tc>
      </w:tr>
      <w:tr w14:paraId="32857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dxa"/>
            <w:noWrap w:val="0"/>
            <w:vAlign w:val="center"/>
          </w:tcPr>
          <w:p w14:paraId="1A9E6D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3</w:t>
            </w: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17914C5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四川福翔科技有限公司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center"/>
          </w:tcPr>
          <w:p w14:paraId="48A4F4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1163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17C0B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0.5%</w:t>
            </w: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7A09E2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5.81</w:t>
            </w:r>
          </w:p>
        </w:tc>
      </w:tr>
      <w:tr w14:paraId="013C9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dxa"/>
            <w:noWrap w:val="0"/>
            <w:vAlign w:val="center"/>
          </w:tcPr>
          <w:p w14:paraId="0D4235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4</w:t>
            </w: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50A51C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四川省维奇新材料股份有限公司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center"/>
          </w:tcPr>
          <w:p w14:paraId="41CAAAC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979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35EC46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0.5%</w:t>
            </w: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78CA2B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4.89</w:t>
            </w:r>
          </w:p>
        </w:tc>
      </w:tr>
      <w:tr w14:paraId="23507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dxa"/>
            <w:noWrap w:val="0"/>
            <w:vAlign w:val="center"/>
          </w:tcPr>
          <w:p w14:paraId="10D0FA8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5</w:t>
            </w: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1CB081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达州天宝锦湖电子有限公司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center"/>
          </w:tcPr>
          <w:p w14:paraId="1B5494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3854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5E389F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0.5%</w:t>
            </w: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29B785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19.27</w:t>
            </w:r>
          </w:p>
        </w:tc>
      </w:tr>
      <w:tr w14:paraId="4F129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dxa"/>
            <w:noWrap w:val="0"/>
            <w:vAlign w:val="center"/>
          </w:tcPr>
          <w:p w14:paraId="4C335AD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672389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四川越洋电子科技有限责任公司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center"/>
          </w:tcPr>
          <w:p w14:paraId="37F4E9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246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64B44A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0.5%</w:t>
            </w: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1FD5D9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1.23</w:t>
            </w:r>
          </w:p>
        </w:tc>
      </w:tr>
      <w:tr w14:paraId="2AE1D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dxa"/>
            <w:noWrap w:val="0"/>
            <w:vAlign w:val="center"/>
          </w:tcPr>
          <w:p w14:paraId="4DEA38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4D0FB0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达州海螺水泥有限责任公司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center"/>
          </w:tcPr>
          <w:p w14:paraId="7D39A8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883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39CDA2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0.5%</w:t>
            </w: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752DD6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4.41</w:t>
            </w:r>
          </w:p>
        </w:tc>
      </w:tr>
      <w:tr w14:paraId="0B802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dxa"/>
            <w:noWrap w:val="0"/>
            <w:vAlign w:val="center"/>
          </w:tcPr>
          <w:p w14:paraId="451B21F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8</w:t>
            </w: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690CB4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达州利森水泥有限公司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center"/>
          </w:tcPr>
          <w:p w14:paraId="12125D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1321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71DDFA2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0.5%</w:t>
            </w: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335156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6.60</w:t>
            </w:r>
          </w:p>
        </w:tc>
      </w:tr>
      <w:tr w14:paraId="47072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dxa"/>
            <w:noWrap w:val="0"/>
            <w:vAlign w:val="center"/>
          </w:tcPr>
          <w:p w14:paraId="19A045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9</w:t>
            </w: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29200B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达州鑫宏创新精密工业有限公司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center"/>
          </w:tcPr>
          <w:p w14:paraId="5113741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622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554470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0.5%</w:t>
            </w: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2CB1A31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3.11</w:t>
            </w:r>
          </w:p>
        </w:tc>
      </w:tr>
      <w:tr w14:paraId="7AA89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52" w:type="dxa"/>
            <w:noWrap w:val="0"/>
            <w:vAlign w:val="center"/>
          </w:tcPr>
          <w:p w14:paraId="7D4A5F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0</w:t>
            </w: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4E49B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left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  <w:t>四川英诺维新材料科技有限公司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center"/>
          </w:tcPr>
          <w:p w14:paraId="6C0B373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360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2EE6FE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0.5%</w:t>
            </w: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4F482A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1.80</w:t>
            </w:r>
          </w:p>
        </w:tc>
      </w:tr>
      <w:tr w14:paraId="166C5C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52" w:type="dxa"/>
            <w:noWrap w:val="0"/>
            <w:vAlign w:val="top"/>
          </w:tcPr>
          <w:p w14:paraId="475ED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3600" w:type="dxa"/>
            <w:tcBorders>
              <w:left w:val="nil"/>
            </w:tcBorders>
            <w:noWrap w:val="0"/>
            <w:vAlign w:val="center"/>
          </w:tcPr>
          <w:p w14:paraId="233680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</w:rPr>
              <w:t>合  计</w:t>
            </w:r>
          </w:p>
        </w:tc>
        <w:tc>
          <w:tcPr>
            <w:tcW w:w="1845" w:type="dxa"/>
            <w:tcBorders>
              <w:left w:val="nil"/>
            </w:tcBorders>
            <w:noWrap w:val="0"/>
            <w:vAlign w:val="center"/>
          </w:tcPr>
          <w:p w14:paraId="720EF7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14392</w:t>
            </w:r>
          </w:p>
        </w:tc>
        <w:tc>
          <w:tcPr>
            <w:tcW w:w="1095" w:type="dxa"/>
            <w:tcBorders>
              <w:left w:val="nil"/>
            </w:tcBorders>
            <w:noWrap w:val="0"/>
            <w:vAlign w:val="center"/>
          </w:tcPr>
          <w:p w14:paraId="0CAB8D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</w:rPr>
            </w:pPr>
          </w:p>
        </w:tc>
        <w:tc>
          <w:tcPr>
            <w:tcW w:w="1182" w:type="dxa"/>
            <w:tcBorders>
              <w:left w:val="nil"/>
            </w:tcBorders>
            <w:noWrap w:val="0"/>
            <w:vAlign w:val="center"/>
          </w:tcPr>
          <w:p w14:paraId="468092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24"/>
                <w:lang w:val="en-US" w:eastAsia="zh-CN"/>
              </w:rPr>
              <w:t>71.77</w:t>
            </w:r>
          </w:p>
        </w:tc>
      </w:tr>
    </w:tbl>
    <w:p w14:paraId="4C80D8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default" w:ascii="Times New Roman" w:hAnsi="Times New Roman" w:eastAsia="黑体" w:cs="Times New Roman"/>
          <w:sz w:val="32"/>
          <w:szCs w:val="32"/>
        </w:rPr>
        <w:t>、孵化器运营补助</w:t>
      </w:r>
    </w:p>
    <w:p w14:paraId="64DA3F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政策依据：《中共大竹县委大竹县人民政府关于促进民营经济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高质量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发展的实施意见》（竹委发〔</w:t>
      </w:r>
      <w:r>
        <w:rPr>
          <w:rFonts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号）文件第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页第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：对免费入驻企业的运营费用给孵化器按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年予以补助。</w:t>
      </w:r>
    </w:p>
    <w:p w14:paraId="695804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补助资金：8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年，共8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户初创企业免费入驻天使孵化器，补助资金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tbl>
      <w:tblPr>
        <w:tblStyle w:val="5"/>
        <w:tblW w:w="82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3"/>
        <w:gridCol w:w="2445"/>
        <w:gridCol w:w="1875"/>
        <w:gridCol w:w="1360"/>
      </w:tblGrid>
      <w:tr w14:paraId="02436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523" w:type="dxa"/>
            <w:noWrap w:val="0"/>
            <w:vAlign w:val="center"/>
          </w:tcPr>
          <w:p w14:paraId="6304DD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企业名称</w:t>
            </w:r>
          </w:p>
        </w:tc>
        <w:tc>
          <w:tcPr>
            <w:tcW w:w="2445" w:type="dxa"/>
            <w:noWrap w:val="0"/>
            <w:vAlign w:val="center"/>
          </w:tcPr>
          <w:p w14:paraId="5048C2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年免费入驻企业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（户）</w:t>
            </w:r>
          </w:p>
        </w:tc>
        <w:tc>
          <w:tcPr>
            <w:tcW w:w="1875" w:type="dxa"/>
            <w:noWrap w:val="0"/>
            <w:vAlign w:val="center"/>
          </w:tcPr>
          <w:p w14:paraId="51D3F2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补助标准</w:t>
            </w:r>
          </w:p>
          <w:p w14:paraId="6F4209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万元/户/年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）</w:t>
            </w:r>
          </w:p>
        </w:tc>
        <w:tc>
          <w:tcPr>
            <w:tcW w:w="1360" w:type="dxa"/>
            <w:noWrap w:val="0"/>
            <w:vAlign w:val="center"/>
          </w:tcPr>
          <w:p w14:paraId="11A728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pacing w:val="-4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kern w:val="0"/>
                <w:sz w:val="24"/>
              </w:rPr>
              <w:t>补助金额</w:t>
            </w:r>
          </w:p>
          <w:p w14:paraId="0B5EC0A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4"/>
                <w:kern w:val="0"/>
                <w:sz w:val="24"/>
              </w:rPr>
              <w:t>（万元）</w:t>
            </w:r>
          </w:p>
        </w:tc>
      </w:tr>
      <w:tr w14:paraId="45A56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exact"/>
          <w:jc w:val="center"/>
        </w:trPr>
        <w:tc>
          <w:tcPr>
            <w:tcW w:w="2523" w:type="dxa"/>
            <w:noWrap w:val="0"/>
            <w:vAlign w:val="center"/>
          </w:tcPr>
          <w:p w14:paraId="395793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四川天使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创业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孵化器</w:t>
            </w:r>
          </w:p>
          <w:p w14:paraId="74E9DF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有限公司</w:t>
            </w:r>
          </w:p>
        </w:tc>
        <w:tc>
          <w:tcPr>
            <w:tcW w:w="2445" w:type="dxa"/>
            <w:noWrap w:val="0"/>
            <w:vAlign w:val="center"/>
          </w:tcPr>
          <w:p w14:paraId="0E98CC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7</w:t>
            </w:r>
          </w:p>
        </w:tc>
        <w:tc>
          <w:tcPr>
            <w:tcW w:w="1875" w:type="dxa"/>
            <w:noWrap w:val="0"/>
            <w:vAlign w:val="center"/>
          </w:tcPr>
          <w:p w14:paraId="3BA670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</w:t>
            </w:r>
          </w:p>
        </w:tc>
        <w:tc>
          <w:tcPr>
            <w:tcW w:w="1360" w:type="dxa"/>
            <w:noWrap w:val="0"/>
            <w:vAlign w:val="center"/>
          </w:tcPr>
          <w:p w14:paraId="4D5DCE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sz w:val="24"/>
                <w:lang w:val="en-US" w:eastAsia="zh-CN"/>
              </w:rPr>
              <w:t>7</w:t>
            </w:r>
          </w:p>
        </w:tc>
      </w:tr>
    </w:tbl>
    <w:p w14:paraId="40EF79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以上第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一、二、三、四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项奖励或补助资金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938.77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万元，由《中共大竹县委大竹县人民政府关于促进民营经济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高质量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发展的实施意见》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（竹委发〔20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号）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文件中明确的“县民营经济发展专项资金”</w:t>
      </w:r>
      <w:r>
        <w:rPr>
          <w:rFonts w:hint="eastAsia" w:ascii="Times New Roman" w:hAnsi="Times New Roman" w:eastAsia="仿宋_GB2312" w:cs="Times New Roman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予以解决</w:t>
      </w:r>
      <w:r>
        <w:rPr>
          <w:rFonts w:hint="default" w:ascii="Times New Roman" w:hAnsi="Times New Roman" w:eastAsia="仿宋_GB2312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 w14:paraId="1B1A8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</w:rPr>
        <w:t>省、市级鉴定科技成果奖励</w:t>
      </w:r>
    </w:p>
    <w:p w14:paraId="0DFC0F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政策依据：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《大竹县人民政府关于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深入推动大众创业万众创新再上新台阶的若干措施的通知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》（竹府发〔20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页第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9点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：对通过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自主研发并取得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国、省、市级科技成果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登记证书的企事业单位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，县财政分别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</w:t>
      </w:r>
      <w:r>
        <w:rPr>
          <w:rFonts w:ascii="Times New Roman" w:hAnsi="Times New Roman" w:eastAsia="仿宋_GB2312" w:cs="Times New Roman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件、</w:t>
      </w:r>
      <w:r>
        <w:rPr>
          <w:rFonts w:ascii="Times New Roman" w:hAnsi="Times New Roman" w:eastAsia="仿宋_GB2312" w:cs="Times New Roman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件、</w:t>
      </w:r>
      <w:r>
        <w:rPr>
          <w:rFonts w:ascii="Times New Roman" w:hAnsi="Times New Roman" w:eastAsia="仿宋_GB2312" w:cs="Times New Roman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</w:t>
      </w:r>
      <w:r>
        <w:rPr>
          <w:rFonts w:ascii="Times New Roman" w:hAnsi="Times New Roman" w:eastAsia="仿宋_GB2312" w:cs="Times New Roman"/>
          <w:sz w:val="32"/>
          <w:szCs w:val="32"/>
        </w:rPr>
        <w:t>/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的标准予以奖励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78112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textAlignment w:val="auto"/>
        <w:rPr>
          <w:rFonts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奖励资金：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万元。（202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年，共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获得省级成果1项，奖励2万元，市级成果5项，奖励5万元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</w:p>
    <w:tbl>
      <w:tblPr>
        <w:tblStyle w:val="5"/>
        <w:tblW w:w="8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2240"/>
        <w:gridCol w:w="1740"/>
        <w:gridCol w:w="1425"/>
        <w:gridCol w:w="1275"/>
        <w:gridCol w:w="1223"/>
      </w:tblGrid>
      <w:tr w14:paraId="1813E3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E9FF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DB4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成果名称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9A5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研究单位</w:t>
            </w:r>
          </w:p>
          <w:p w14:paraId="69E30B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val="en-US" w:eastAsia="zh-CN"/>
              </w:rPr>
              <w:t>牵头单位</w:t>
            </w: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C6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成果</w:t>
            </w:r>
            <w:r>
              <w:rPr>
                <w:rStyle w:val="9"/>
                <w:rFonts w:hint="eastAsia" w:ascii="黑体" w:hAnsi="黑体" w:eastAsia="黑体" w:cs="黑体"/>
                <w:b/>
                <w:bCs/>
                <w:color w:val="auto"/>
              </w:rPr>
              <w:t>评价或登记级别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68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pacing w:val="-20"/>
                <w:kern w:val="0"/>
                <w:sz w:val="24"/>
              </w:rPr>
              <w:t>奖励标准（万元</w:t>
            </w:r>
            <w:r>
              <w:rPr>
                <w:rStyle w:val="10"/>
                <w:rFonts w:hint="eastAsia" w:ascii="黑体" w:hAnsi="黑体" w:eastAsia="黑体" w:cs="黑体"/>
                <w:b/>
                <w:bCs/>
                <w:color w:val="auto"/>
                <w:spacing w:val="-20"/>
                <w:sz w:val="24"/>
              </w:rPr>
              <w:t>/</w:t>
            </w:r>
            <w:r>
              <w:rPr>
                <w:rStyle w:val="9"/>
                <w:rFonts w:hint="eastAsia" w:ascii="黑体" w:hAnsi="黑体" w:eastAsia="黑体" w:cs="黑体"/>
                <w:b/>
                <w:bCs/>
                <w:color w:val="auto"/>
                <w:spacing w:val="-20"/>
                <w:sz w:val="24"/>
              </w:rPr>
              <w:t>件）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097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kern w:val="0"/>
                <w:sz w:val="24"/>
              </w:rPr>
              <w:t>奖励金额（万元）</w:t>
            </w:r>
          </w:p>
        </w:tc>
      </w:tr>
      <w:tr w14:paraId="7A7974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9072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E2040AB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竹笋粉制备关键技术研究与应用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4DB1D9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大竹县万康生态农业有限公司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4E60AB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省级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02FF34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7706B9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2</w:t>
            </w:r>
          </w:p>
        </w:tc>
      </w:tr>
      <w:tr w14:paraId="3F8BD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BA5D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6AE371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微生物制剂强化中药材生物种植技术开发与转化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47D263F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大竹县万康生态农业有限公司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156A54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市级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4A2520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F41B6CE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3D85E9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4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986D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DAEF5B5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RoHS2.0环保阻燃双绝缘电缆料及电缆研发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23879A09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四川川东电缆有限责任公司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DE72FF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市级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604924C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B59584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45FC2C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536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4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5F0692B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达州虎杖质量评价及资源综合利用研究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CDC390C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四川聚豪锦悦农林科技有限公司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58EE626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市级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A145B9F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6095DA55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20DDA4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A280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5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7A23980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热机械与助剂协同改性豆粕基制备胶合板生态胶黏剂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ACE393E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大竹绿源木业科技有限公司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79AB3CA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市级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A16924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39CEBE70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08BA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  <w:jc w:val="center"/>
        </w:trPr>
        <w:tc>
          <w:tcPr>
            <w:tcW w:w="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373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6</w:t>
            </w:r>
          </w:p>
        </w:tc>
        <w:tc>
          <w:tcPr>
            <w:tcW w:w="22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BEDB833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竹笋粉制备关键技术集成及产业化示范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6C29ED89">
            <w:pP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四川更有面生物技术有限公司</w:t>
            </w:r>
          </w:p>
        </w:tc>
        <w:tc>
          <w:tcPr>
            <w:tcW w:w="1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2831FBCB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市级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12965F5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 w14:paraId="78685D41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vertAlign w:val="baseline"/>
                <w:lang w:val="en-US" w:eastAsia="zh-CN"/>
              </w:rPr>
              <w:t>1</w:t>
            </w:r>
          </w:p>
        </w:tc>
      </w:tr>
      <w:tr w14:paraId="606301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74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72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合计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0327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napToGrid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7</w:t>
            </w:r>
          </w:p>
        </w:tc>
      </w:tr>
    </w:tbl>
    <w:p w14:paraId="331CD1E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、大竹县科研资源共享平台运行管理费后补助</w:t>
      </w:r>
    </w:p>
    <w:p w14:paraId="4E0F78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政策依据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eastAsia="zh-CN"/>
        </w:rPr>
        <w:t>：《大竹县人民政府关于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深入推动大众创业万众创新再上新台阶的若干措施的通知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eastAsia="zh-CN"/>
        </w:rPr>
        <w:t>》（竹府发〔20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文件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页第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8点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根据县财政局、县科技局据实核算的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“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大竹县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科研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资源共享平台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”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上年度运行管理费，给予平台管理单位不超过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15万元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/年的运行费后补助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。</w:t>
      </w:r>
    </w:p>
    <w:p w14:paraId="14A1137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补助资金：15万元。（由四川天使创业孵化器有限公司运营的大竹县科研资源共享平台，202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年实际支出15.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063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万，补助金额15万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元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）具体为：</w:t>
      </w:r>
    </w:p>
    <w:tbl>
      <w:tblPr>
        <w:tblStyle w:val="5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0"/>
        <w:gridCol w:w="1938"/>
        <w:gridCol w:w="2520"/>
        <w:gridCol w:w="1620"/>
      </w:tblGrid>
      <w:tr w14:paraId="66A6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490" w:type="dxa"/>
            <w:noWrap/>
            <w:vAlign w:val="center"/>
          </w:tcPr>
          <w:p w14:paraId="61985D4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企业名称</w:t>
            </w:r>
          </w:p>
        </w:tc>
        <w:tc>
          <w:tcPr>
            <w:tcW w:w="1938" w:type="dxa"/>
            <w:noWrap/>
            <w:vAlign w:val="center"/>
          </w:tcPr>
          <w:p w14:paraId="632ABA1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运行互联网平台名称</w:t>
            </w:r>
          </w:p>
        </w:tc>
        <w:tc>
          <w:tcPr>
            <w:tcW w:w="2520" w:type="dxa"/>
            <w:noWrap/>
            <w:vAlign w:val="center"/>
          </w:tcPr>
          <w:p w14:paraId="49733B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年度运行管理费实际支出（万元）</w:t>
            </w:r>
          </w:p>
        </w:tc>
        <w:tc>
          <w:tcPr>
            <w:tcW w:w="1620" w:type="dxa"/>
            <w:noWrap/>
            <w:vAlign w:val="center"/>
          </w:tcPr>
          <w:p w14:paraId="653813C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4"/>
              </w:rPr>
              <w:t>补助金额（万元）</w:t>
            </w:r>
          </w:p>
        </w:tc>
      </w:tr>
      <w:tr w14:paraId="4A465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  <w:jc w:val="center"/>
        </w:trPr>
        <w:tc>
          <w:tcPr>
            <w:tcW w:w="2490" w:type="dxa"/>
            <w:noWrap/>
            <w:vAlign w:val="center"/>
          </w:tcPr>
          <w:p w14:paraId="52EBD2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四川天使创业</w:t>
            </w:r>
          </w:p>
          <w:p w14:paraId="445B29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孵化器有限公司</w:t>
            </w:r>
          </w:p>
        </w:tc>
        <w:tc>
          <w:tcPr>
            <w:tcW w:w="1938" w:type="dxa"/>
            <w:noWrap/>
            <w:vAlign w:val="center"/>
          </w:tcPr>
          <w:p w14:paraId="70C0EE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大竹县科研资源共享平台</w:t>
            </w:r>
          </w:p>
        </w:tc>
        <w:tc>
          <w:tcPr>
            <w:tcW w:w="2520" w:type="dxa"/>
            <w:noWrap/>
            <w:vAlign w:val="center"/>
          </w:tcPr>
          <w:p w14:paraId="57041D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15.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仿宋_GB2312" w:cs="Times New Roman"/>
                <w:sz w:val="24"/>
                <w:lang w:val="en-US" w:eastAsia="zh-CN"/>
              </w:rPr>
              <w:t>063</w:t>
            </w:r>
          </w:p>
        </w:tc>
        <w:tc>
          <w:tcPr>
            <w:tcW w:w="1620" w:type="dxa"/>
            <w:noWrap/>
            <w:vAlign w:val="center"/>
          </w:tcPr>
          <w:p w14:paraId="47731E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</w:rPr>
              <w:t>15</w:t>
            </w:r>
          </w:p>
        </w:tc>
      </w:tr>
    </w:tbl>
    <w:p w14:paraId="320A2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3" w:firstLineChars="200"/>
        <w:textAlignment w:val="auto"/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以上第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五、六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项奖励或补助资金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万元，由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《大竹县人民政府关于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深入推动大众创业万众创新再上新台阶的若干措施的通知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》（竹府发〔20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23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〕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号）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</w:rPr>
        <w:t>文件中明确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val="en-US" w:eastAsia="zh-CN"/>
        </w:rPr>
        <w:t>的“创新创业引导资金”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  <w:lang w:eastAsia="zh-CN"/>
        </w:rPr>
        <w:t>予以解决</w:t>
      </w:r>
      <w:r>
        <w:rPr>
          <w:rFonts w:hint="default" w:ascii="Times New Roman" w:hAnsi="Times New Roman" w:eastAsia="仿宋_GB2312" w:cs="Times New Roman"/>
          <w:b/>
          <w:bCs/>
          <w:sz w:val="32"/>
          <w:szCs w:val="32"/>
          <w:lang w:eastAsia="zh-CN"/>
        </w:rPr>
        <w:t>。</w:t>
      </w:r>
    </w:p>
    <w:p w14:paraId="3DDFD7E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综上所述，“县民营经济发展专项资金”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938.77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“创新创业引导资金”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万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元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六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大类奖励或补助资金共计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960.77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  <w:t>万元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eastAsia="zh-CN"/>
        </w:rPr>
        <w:t>（大写：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玖佰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陆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拾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万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柒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仟</w:t>
      </w:r>
      <w:r>
        <w:rPr>
          <w:rFonts w:hint="default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柒佰</w:t>
      </w:r>
      <w:r>
        <w:rPr>
          <w:rFonts w:hint="eastAsia" w:ascii="Times New Roman" w:hAnsi="Times New Roman" w:eastAsia="仿宋_GB2312" w:cs="Times New Roman"/>
          <w:iCs/>
          <w:kern w:val="0"/>
          <w:sz w:val="32"/>
          <w:szCs w:val="32"/>
          <w:lang w:val="en-US" w:eastAsia="zh-CN"/>
        </w:rPr>
        <w:t>元整）。</w:t>
      </w:r>
    </w:p>
    <w:p w14:paraId="1F0258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7FE24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5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0639F78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8" w:lineRule="exact"/>
        <w:ind w:firstLine="5120" w:firstLineChars="16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Cs/>
          <w:color w:val="000000"/>
          <w:sz w:val="32"/>
          <w:szCs w:val="32"/>
        </w:rPr>
        <w:t>大竹县科学技术局</w:t>
      </w:r>
    </w:p>
    <w:p w14:paraId="367DDA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i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347D431B">
      <w:pPr>
        <w:pStyle w:val="2"/>
        <w:rPr>
          <w:rFonts w:hint="default" w:ascii="Times New Roman" w:hAnsi="Times New Roman" w:eastAsia="方正小标宋简体" w:cs="Times New Roman"/>
          <w:color w:val="FF0000"/>
          <w:spacing w:val="20"/>
          <w:w w:val="75"/>
          <w:sz w:val="126"/>
          <w:szCs w:val="126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</w:p>
    <w:p w14:paraId="3E910604">
      <w:pPr>
        <w:pStyle w:val="2"/>
        <w:rPr>
          <w:rFonts w:hint="default" w:ascii="Times New Roman" w:hAnsi="Times New Roman" w:eastAsia="方正小标宋简体" w:cs="Times New Roman"/>
          <w:color w:val="FF0000"/>
          <w:spacing w:val="20"/>
          <w:w w:val="75"/>
          <w:sz w:val="126"/>
          <w:szCs w:val="126"/>
          <w:lang w:eastAsia="zh-CN"/>
        </w:rPr>
      </w:pPr>
    </w:p>
    <w:p w14:paraId="292EFC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color w:val="FF0000"/>
          <w:spacing w:val="20"/>
          <w:w w:val="75"/>
          <w:sz w:val="126"/>
          <w:szCs w:val="126"/>
        </w:rPr>
      </w:pPr>
    </w:p>
    <w:p w14:paraId="31E84DB1">
      <w:pPr>
        <w:pBdr>
          <w:top w:val="none" w:color="auto" w:sz="0" w:space="0"/>
          <w:bottom w:val="none" w:color="auto" w:sz="0" w:space="0"/>
        </w:pBdr>
        <w:spacing w:line="240" w:lineRule="auto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2A2D7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-225425</wp:posOffset>
              </wp:positionV>
              <wp:extent cx="800735" cy="37147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0735" cy="3714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2515A1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7.75pt;height:29.25pt;width:63.05pt;mso-position-horizontal:outside;mso-position-horizontal-relative:margin;z-index:251659264;mso-width-relative:page;mso-height-relative:page;" filled="f" stroked="f" coordsize="21600,21600" o:gfxdata="UEsDBAoAAAAAAIdO4kAAAAAAAAAAAAAAAAAEAAAAZHJzL1BLAwQUAAAACACHTuJAMeFPM9YAAAAH&#10;AQAADwAAAGRycy9kb3ducmV2LnhtbE2PS0/DMBCE70j8B2uRuLV2UrVCIZseeNx4tYAENydZkgh7&#10;HdlOWv497gmOoxnNfFNuj9aImXwYHCNkSwWCuHHtwB3C2+v94gpEiJpbbRwTwg8F2FbnZ6UuWnfg&#10;Hc372IlUwqHQCH2MYyFlaHqyOizdSJy8L+etjkn6TrZeH1K5NTJXaiOtHjgt9Hqkm56a7/1kEcxH&#10;8A+1ip/zbfcYX57l9H6XPSFeXmTqGkSkY/wLwwk/oUOVmGo3cRuEQUhHIsJitV6DONn5JgNRI+Qr&#10;BbIq5X/+6hdQSwMEFAAAAAgAh07iQI4w8vU3AgAAYQQAAA4AAABkcnMvZTJvRG9jLnhtbK1UzY7T&#10;MBC+I/EOlu806ZZuV1XTVdmqCKliVyqIs+s4jSXbY2y3SXkAeANOXLjzXH0Oxk7TRQuHPXBxJ/P/&#10;fTPT2W2rFTkI5yWYgg4HOSXCcCil2RX044fVqxtKfGCmZAqMKOhReHo7f/li1tipuIIaVCkcwSTG&#10;Txtb0DoEO80yz2uhmR+AFQaNFTjNAn66XVY61mB2rbKrPL/OGnCldcCF96hddkZ6zuiekxCqSnKx&#10;BL7XwoQuqxOKBYTka2k9naduq0rwcF9VXgSiCopIQ3qxCMrb+GbzGZvuHLO15OcW2HNaeIJJM2mw&#10;6CXVkgVG9k7+lUpL7sBDFQYcdNYBSYwgimH+hJtNzaxIWJBqby+k+/+Xlr8/PDgiy4KOKTFM48BP&#10;37+dfvw6/fxKxpGexvopem0s+oX2DbS4NL3eozKibiun4y/iIWhHco8XckUbCEflTZ5PRliEo2k0&#10;Gb6epOzZY7B1PrwVoEkUCupwdolSdlj7gI2ga+8SaxlYSaXS/JQhTUGvR+M8BVwsGKEMBkYIXatR&#10;Cu22PePaQnlEWA66vfCWryQWXzMfHpjDRUAkeCrhHp9KARaBs0RJDe7Lv/TRH+eDVkoaXKyC+s97&#10;5gQl6p3BycUt7AXXC9teMHt9B7irQzxCy5OIAS6oXqwc6E94QYtYBU3McKxV0NCLd6Fbb7xALhaL&#10;5LS3Tu7qLgD3zrKwNhvLY5mOysU+QCUTy5Gijpczc7h5ifzzlcTV/vM7eT3+M8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KYEAABbQ29udGVu&#10;dF9UeXBlc10ueG1sUEsBAhQACgAAAAAAh07iQAAAAAAAAAAAAAAAAAYAAAAAAAAAAAAQAAAAiAMA&#10;AF9yZWxzL1BLAQIUABQAAAAIAIdO4kCKFGY80QAAAJQBAAALAAAAAAAAAAEAIAAAAKwDAABfcmVs&#10;cy8ucmVsc1BLAQIUAAoAAAAAAIdO4kAAAAAAAAAAAAAAAAAEAAAAAAAAAAAAEAAAAAAAAABkcnMv&#10;UEsBAhQAFAAAAAgAh07iQDHhTzPWAAAABwEAAA8AAAAAAAAAAQAgAAAAIgAAAGRycy9kb3ducmV2&#10;LnhtbFBLAQIUABQAAAAIAIdO4kCOMPL1NwIAAGEEAAAOAAAAAAAAAAEAIAAAACUBAABkcnMvZTJv&#10;RG9jLnhtbFBLBQYAAAAABgAGAFkBAADO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792515A1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4YmZmZDNmNWNjOTEzY2I0ZjhjYWIyOGY4NDUxYTYifQ=="/>
  </w:docVars>
  <w:rsids>
    <w:rsidRoot w:val="1E3C26DF"/>
    <w:rsid w:val="006F7045"/>
    <w:rsid w:val="00AA19C0"/>
    <w:rsid w:val="01D41D90"/>
    <w:rsid w:val="01EB68E8"/>
    <w:rsid w:val="027605D2"/>
    <w:rsid w:val="02F079B0"/>
    <w:rsid w:val="036D3811"/>
    <w:rsid w:val="03F87FA0"/>
    <w:rsid w:val="042C3725"/>
    <w:rsid w:val="05543487"/>
    <w:rsid w:val="0641419F"/>
    <w:rsid w:val="06B82FC4"/>
    <w:rsid w:val="06FA229F"/>
    <w:rsid w:val="072B0FB7"/>
    <w:rsid w:val="07832BA1"/>
    <w:rsid w:val="07D23B28"/>
    <w:rsid w:val="07FB307F"/>
    <w:rsid w:val="08A47272"/>
    <w:rsid w:val="091E5277"/>
    <w:rsid w:val="09896468"/>
    <w:rsid w:val="09BC7B2A"/>
    <w:rsid w:val="0A985981"/>
    <w:rsid w:val="0AFA02C9"/>
    <w:rsid w:val="0B5F0F10"/>
    <w:rsid w:val="0B5F56A0"/>
    <w:rsid w:val="0C2F779B"/>
    <w:rsid w:val="0D06659F"/>
    <w:rsid w:val="0D093B48"/>
    <w:rsid w:val="0D562B05"/>
    <w:rsid w:val="0D8D47D7"/>
    <w:rsid w:val="0E064095"/>
    <w:rsid w:val="0E1C238A"/>
    <w:rsid w:val="0EE757DA"/>
    <w:rsid w:val="0F0A057F"/>
    <w:rsid w:val="10CD7BAC"/>
    <w:rsid w:val="123B5C73"/>
    <w:rsid w:val="127C4534"/>
    <w:rsid w:val="142938F5"/>
    <w:rsid w:val="14321BD6"/>
    <w:rsid w:val="143C5FF9"/>
    <w:rsid w:val="15520056"/>
    <w:rsid w:val="159D5775"/>
    <w:rsid w:val="15D703FB"/>
    <w:rsid w:val="1647748F"/>
    <w:rsid w:val="166B7621"/>
    <w:rsid w:val="179840D2"/>
    <w:rsid w:val="17C8164B"/>
    <w:rsid w:val="1828211A"/>
    <w:rsid w:val="184A3267"/>
    <w:rsid w:val="18A23467"/>
    <w:rsid w:val="19221095"/>
    <w:rsid w:val="19F811CC"/>
    <w:rsid w:val="1C6A6689"/>
    <w:rsid w:val="1CF15F17"/>
    <w:rsid w:val="1D3A7D4E"/>
    <w:rsid w:val="1D7B2840"/>
    <w:rsid w:val="1DBE097F"/>
    <w:rsid w:val="1DF96082"/>
    <w:rsid w:val="1E3C26DF"/>
    <w:rsid w:val="1E3F1E9B"/>
    <w:rsid w:val="1ED146E2"/>
    <w:rsid w:val="1F3C5FFF"/>
    <w:rsid w:val="200F54C2"/>
    <w:rsid w:val="20262B08"/>
    <w:rsid w:val="208A2D9A"/>
    <w:rsid w:val="20BD1C6E"/>
    <w:rsid w:val="20CA24AD"/>
    <w:rsid w:val="21CC786D"/>
    <w:rsid w:val="21E019CE"/>
    <w:rsid w:val="226916A3"/>
    <w:rsid w:val="2378007B"/>
    <w:rsid w:val="23A979DB"/>
    <w:rsid w:val="23CD031C"/>
    <w:rsid w:val="24EF2364"/>
    <w:rsid w:val="25453003"/>
    <w:rsid w:val="25C44658"/>
    <w:rsid w:val="25F539FB"/>
    <w:rsid w:val="262A4E03"/>
    <w:rsid w:val="26A76B97"/>
    <w:rsid w:val="27223D2C"/>
    <w:rsid w:val="27602AA7"/>
    <w:rsid w:val="276A7481"/>
    <w:rsid w:val="2868076E"/>
    <w:rsid w:val="29204DD9"/>
    <w:rsid w:val="293778F0"/>
    <w:rsid w:val="29EA7E96"/>
    <w:rsid w:val="2A187F5E"/>
    <w:rsid w:val="2A4E242F"/>
    <w:rsid w:val="2AAB5DE7"/>
    <w:rsid w:val="2AAC0313"/>
    <w:rsid w:val="2AC1560A"/>
    <w:rsid w:val="2CB50CBB"/>
    <w:rsid w:val="2CBD11B2"/>
    <w:rsid w:val="2D012C77"/>
    <w:rsid w:val="2DDD3DE8"/>
    <w:rsid w:val="2DDF2977"/>
    <w:rsid w:val="2E43758D"/>
    <w:rsid w:val="3139239E"/>
    <w:rsid w:val="313D0729"/>
    <w:rsid w:val="31957AC4"/>
    <w:rsid w:val="31BD778D"/>
    <w:rsid w:val="31D620AA"/>
    <w:rsid w:val="32023839"/>
    <w:rsid w:val="32625925"/>
    <w:rsid w:val="32B96981"/>
    <w:rsid w:val="32F83B93"/>
    <w:rsid w:val="333B78D6"/>
    <w:rsid w:val="334278B0"/>
    <w:rsid w:val="34036C94"/>
    <w:rsid w:val="340A0022"/>
    <w:rsid w:val="34B80923"/>
    <w:rsid w:val="34FD7B87"/>
    <w:rsid w:val="351E6E67"/>
    <w:rsid w:val="35BE2E72"/>
    <w:rsid w:val="36EE74AC"/>
    <w:rsid w:val="37024FE0"/>
    <w:rsid w:val="382D6DF5"/>
    <w:rsid w:val="385051C8"/>
    <w:rsid w:val="38A261C4"/>
    <w:rsid w:val="38E72296"/>
    <w:rsid w:val="394F5448"/>
    <w:rsid w:val="396401D4"/>
    <w:rsid w:val="3A030CDD"/>
    <w:rsid w:val="3A39340F"/>
    <w:rsid w:val="3A61092F"/>
    <w:rsid w:val="3A691C1A"/>
    <w:rsid w:val="3B523A77"/>
    <w:rsid w:val="3C027831"/>
    <w:rsid w:val="3C3C0F7B"/>
    <w:rsid w:val="3D207FAB"/>
    <w:rsid w:val="3E3B1C77"/>
    <w:rsid w:val="3E993792"/>
    <w:rsid w:val="3ECE7C0D"/>
    <w:rsid w:val="40290787"/>
    <w:rsid w:val="40912574"/>
    <w:rsid w:val="40F037F0"/>
    <w:rsid w:val="41A22297"/>
    <w:rsid w:val="41D103D1"/>
    <w:rsid w:val="43855569"/>
    <w:rsid w:val="43AB7006"/>
    <w:rsid w:val="43D10F96"/>
    <w:rsid w:val="43E3064B"/>
    <w:rsid w:val="44106FE7"/>
    <w:rsid w:val="44B948B4"/>
    <w:rsid w:val="45573E18"/>
    <w:rsid w:val="45E00BE3"/>
    <w:rsid w:val="460C0686"/>
    <w:rsid w:val="46FD4232"/>
    <w:rsid w:val="480270CF"/>
    <w:rsid w:val="4815616C"/>
    <w:rsid w:val="490015F0"/>
    <w:rsid w:val="490A01A8"/>
    <w:rsid w:val="49D91881"/>
    <w:rsid w:val="4A137439"/>
    <w:rsid w:val="4B8C7BB6"/>
    <w:rsid w:val="4BED5E07"/>
    <w:rsid w:val="4C115B25"/>
    <w:rsid w:val="4CD011B5"/>
    <w:rsid w:val="4E385E7C"/>
    <w:rsid w:val="4EEF633A"/>
    <w:rsid w:val="4F0A0A7E"/>
    <w:rsid w:val="500139E3"/>
    <w:rsid w:val="52E62BC6"/>
    <w:rsid w:val="52F67C97"/>
    <w:rsid w:val="53173294"/>
    <w:rsid w:val="54CA6796"/>
    <w:rsid w:val="554051FA"/>
    <w:rsid w:val="55446489"/>
    <w:rsid w:val="558D41B7"/>
    <w:rsid w:val="55B17635"/>
    <w:rsid w:val="55BE25C3"/>
    <w:rsid w:val="55EC0647"/>
    <w:rsid w:val="56DB7A44"/>
    <w:rsid w:val="578D049F"/>
    <w:rsid w:val="581C3468"/>
    <w:rsid w:val="589B5060"/>
    <w:rsid w:val="58DF0263"/>
    <w:rsid w:val="59271DD9"/>
    <w:rsid w:val="598C3104"/>
    <w:rsid w:val="59C533D4"/>
    <w:rsid w:val="5A8D4E4D"/>
    <w:rsid w:val="5BD27E2C"/>
    <w:rsid w:val="5C5A1297"/>
    <w:rsid w:val="5C653843"/>
    <w:rsid w:val="5C984E48"/>
    <w:rsid w:val="5CA66B0E"/>
    <w:rsid w:val="5CD07C61"/>
    <w:rsid w:val="5CD26EE3"/>
    <w:rsid w:val="5CDA5A1D"/>
    <w:rsid w:val="5D07273C"/>
    <w:rsid w:val="5D1632AF"/>
    <w:rsid w:val="5D9316A5"/>
    <w:rsid w:val="5DDC3F2E"/>
    <w:rsid w:val="5EDD0FAA"/>
    <w:rsid w:val="5F0E6291"/>
    <w:rsid w:val="5F3A715E"/>
    <w:rsid w:val="5F9E76ED"/>
    <w:rsid w:val="600B4656"/>
    <w:rsid w:val="60185E8C"/>
    <w:rsid w:val="60B117C7"/>
    <w:rsid w:val="61404F96"/>
    <w:rsid w:val="61C876FD"/>
    <w:rsid w:val="62571DD5"/>
    <w:rsid w:val="629E2D00"/>
    <w:rsid w:val="62A80882"/>
    <w:rsid w:val="62D84CC4"/>
    <w:rsid w:val="62E30FF8"/>
    <w:rsid w:val="63C35974"/>
    <w:rsid w:val="640A35A3"/>
    <w:rsid w:val="643F595B"/>
    <w:rsid w:val="644F0EFB"/>
    <w:rsid w:val="64721148"/>
    <w:rsid w:val="659D0447"/>
    <w:rsid w:val="664B21D0"/>
    <w:rsid w:val="67D143D7"/>
    <w:rsid w:val="68091DC3"/>
    <w:rsid w:val="688A198A"/>
    <w:rsid w:val="69775BE2"/>
    <w:rsid w:val="698C78CC"/>
    <w:rsid w:val="6AF4016B"/>
    <w:rsid w:val="6B3C52FC"/>
    <w:rsid w:val="6B5C11E0"/>
    <w:rsid w:val="6B92124F"/>
    <w:rsid w:val="6BE4292B"/>
    <w:rsid w:val="6BE7241B"/>
    <w:rsid w:val="6CFA1FB9"/>
    <w:rsid w:val="6D651E11"/>
    <w:rsid w:val="6DFC3BBF"/>
    <w:rsid w:val="6E793C9A"/>
    <w:rsid w:val="6EC33741"/>
    <w:rsid w:val="6F6551A2"/>
    <w:rsid w:val="6F6D49E6"/>
    <w:rsid w:val="6F6F075E"/>
    <w:rsid w:val="6FF85387"/>
    <w:rsid w:val="70735FE6"/>
    <w:rsid w:val="70CB40BA"/>
    <w:rsid w:val="70FC4273"/>
    <w:rsid w:val="711B4297"/>
    <w:rsid w:val="72357B09"/>
    <w:rsid w:val="72A46F88"/>
    <w:rsid w:val="72CE3026"/>
    <w:rsid w:val="72D4471C"/>
    <w:rsid w:val="72E80E10"/>
    <w:rsid w:val="76667281"/>
    <w:rsid w:val="7686635C"/>
    <w:rsid w:val="76C05D43"/>
    <w:rsid w:val="76C07AF1"/>
    <w:rsid w:val="77BA09E4"/>
    <w:rsid w:val="77C61D92"/>
    <w:rsid w:val="787A66AC"/>
    <w:rsid w:val="789C0936"/>
    <w:rsid w:val="78B95140"/>
    <w:rsid w:val="78EF0B61"/>
    <w:rsid w:val="79323478"/>
    <w:rsid w:val="79393B8B"/>
    <w:rsid w:val="795A1266"/>
    <w:rsid w:val="7A4822D7"/>
    <w:rsid w:val="7AA30D52"/>
    <w:rsid w:val="7B562E02"/>
    <w:rsid w:val="7BFA300E"/>
    <w:rsid w:val="7C864C35"/>
    <w:rsid w:val="7CF23967"/>
    <w:rsid w:val="7D0131A4"/>
    <w:rsid w:val="7E0C3DA4"/>
    <w:rsid w:val="7E96535E"/>
    <w:rsid w:val="7F0D1536"/>
    <w:rsid w:val="7F8F2756"/>
    <w:rsid w:val="AC8C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99"/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page number"/>
    <w:basedOn w:val="7"/>
    <w:autoRedefine/>
    <w:qFormat/>
    <w:uiPriority w:val="0"/>
  </w:style>
  <w:style w:type="character" w:customStyle="1" w:styleId="9">
    <w:name w:val="font11"/>
    <w:basedOn w:val="7"/>
    <w:autoRedefine/>
    <w:qFormat/>
    <w:uiPriority w:val="0"/>
    <w:rPr>
      <w:rFonts w:ascii="仿宋_GB2312" w:eastAsia="仿宋_GB2312" w:cs="仿宋_GB2312"/>
      <w:color w:val="FF0000"/>
      <w:sz w:val="24"/>
      <w:szCs w:val="24"/>
      <w:u w:val="none"/>
    </w:rPr>
  </w:style>
  <w:style w:type="character" w:customStyle="1" w:styleId="10">
    <w:name w:val="font31"/>
    <w:basedOn w:val="7"/>
    <w:autoRedefine/>
    <w:qFormat/>
    <w:uiPriority w:val="0"/>
    <w:rPr>
      <w:rFonts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2856</Words>
  <Characters>3257</Characters>
  <Lines>0</Lines>
  <Paragraphs>0</Paragraphs>
  <TotalTime>4</TotalTime>
  <ScaleCrop>false</ScaleCrop>
  <LinksUpToDate>false</LinksUpToDate>
  <CharactersWithSpaces>3313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2022-09-23T09:16:00Z</dcterms:created>
  <dc:creator>欧琼</dc:creator>
  <cp:lastModifiedBy>海草1405084705</cp:lastModifiedBy>
  <cp:lastPrinted>2024-04-23T16:52:00Z</cp:lastPrinted>
  <dcterms:modified xsi:type="dcterms:W3CDTF">2026-01-19T16:09:49Z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23D975384AB446E4AB4E6D81FE6FA33B</vt:lpwstr>
  </property>
  <property fmtid="{D5CDD505-2E9C-101B-9397-08002B2CF9AE}" pid="4" name="KSOTemplateDocerSaveRecord">
    <vt:lpwstr>eyJoZGlkIjoiZjQ4YmZmZDNmNWNjOTEzY2I0ZjhjYWIyOGY4NDUxYTYiLCJ1c2VySWQiOiIxODQ5ODkxMyJ9</vt:lpwstr>
  </property>
</Properties>
</file>