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  <w:t>《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  <w:t>大竹县“家庭农场信贷直通车”财政贴息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  <w:t>实施方案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  <w:t>》</w:t>
      </w:r>
      <w:r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</w:t>
      </w:r>
      <w:r>
        <w:rPr>
          <w:rFonts w:hint="eastAsia" w:ascii="黑体" w:hAnsi="黑体" w:eastAsia="黑体" w:cs="Times New Roman"/>
          <w:lang w:val="en-US" w:eastAsia="zh-CN"/>
        </w:rPr>
        <w:t>起草背景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四川省农业农村厅印发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《关于落实普惠金融政策实施“家庭农场信贷直通车”的通知》（川农函〔2021〕461号）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文件要求和我县已成功争创全省“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家庭农场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信贷直通车”试点县。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“家庭农场信贷直通车”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财政贴息政策，引导金融资本投入农业产业化领域，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解决家庭农场提升配套基础设施建设、扩大规模等发展贷款难的问题，给家庭农场提供低门槛、低成本、高效率的金融服务，丰富家庭农场专属金融产品，有效拓宽融资渠道。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家庭农场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发展壮大，带动农民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发展现代农业，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和脱贫攻坚与乡村振兴有效衔接、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带动农民持续增收，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现代农业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5+5+3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产业体系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建设。为进一步推进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“家庭农场信贷直通车”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工作，特制定此《实施方案》。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</w:t>
      </w:r>
      <w:r>
        <w:rPr>
          <w:rFonts w:hint="eastAsia" w:ascii="黑体" w:hAnsi="黑体" w:eastAsia="黑体" w:cs="Times New Roman"/>
          <w:lang w:val="en-US" w:eastAsia="zh-CN"/>
        </w:rPr>
        <w:t>政策</w:t>
      </w:r>
      <w:r>
        <w:rPr>
          <w:rFonts w:hint="eastAsia" w:ascii="黑体" w:hAnsi="黑体" w:eastAsia="黑体" w:cs="Times New Roma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lang w:val="en-US" w:eastAsia="zh-CN"/>
        </w:rPr>
      </w:pPr>
      <w:r>
        <w:rPr>
          <w:rFonts w:hint="eastAsia" w:ascii="仿宋_GB2312" w:hAnsi="Times New Roman" w:eastAsia="仿宋_GB2312" w:cs="Times New Roman"/>
          <w:lang w:val="en-US" w:eastAsia="zh-CN"/>
        </w:rPr>
        <w:t>根</w:t>
      </w:r>
      <w:r>
        <w:rPr>
          <w:rFonts w:hint="eastAsia" w:ascii="仿宋_GB2312" w:eastAsia="仿宋_GB2312" w:cs="Times New Roman"/>
          <w:lang w:val="en-US" w:eastAsia="zh-CN"/>
        </w:rPr>
        <w:t>据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中国人民银行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农业农村部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等六部门联合印发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《关于金融支持新型农业经营主体发展的意见》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银发〔2021〕133号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）、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四川省农业农村厅印发了《关于落实普惠金融政策实施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家庭农场信贷直通车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的通知》（川农函〔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461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号）文件</w:t>
      </w:r>
      <w:r>
        <w:rPr>
          <w:rFonts w:hint="eastAsia" w:ascii="Times New Roman" w:hAnsi="Times New Roman" w:eastAsia="方正仿宋简体" w:cs="Times New Roman"/>
          <w:b/>
          <w:bCs/>
          <w:spacing w:val="2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四川省农业农村厅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关于公布全省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家庭农场信贷直通车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试点县名单的通知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（川农函〔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文件</w:t>
      </w:r>
      <w:r>
        <w:rPr>
          <w:rFonts w:hint="eastAsia" w:ascii="仿宋_GB2312" w:hAnsi="Times New Roman" w:eastAsia="仿宋_GB2312" w:cs="Times New Roman"/>
          <w:lang w:val="en-US" w:eastAsia="zh-CN"/>
        </w:rPr>
        <w:t>精神，结合我县实际情况，制定本</w:t>
      </w:r>
      <w:r>
        <w:rPr>
          <w:rFonts w:hint="eastAsia" w:ascii="仿宋_GB2312" w:eastAsia="仿宋_GB2312" w:cs="Times New Roman"/>
          <w:lang w:val="en-US" w:eastAsia="zh-CN"/>
        </w:rPr>
        <w:t>《实施方案》</w:t>
      </w:r>
      <w:r>
        <w:rPr>
          <w:rFonts w:hint="eastAsia" w:ascii="仿宋_GB2312" w:hAnsi="Times New Roman" w:eastAsia="仿宋_GB2312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  <w:t>（一）适用范围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册地和经营地在大竹县行政县域内的家庭农场；纳入全国家庭农场名录系统管理的家庭农场；家庭农场主年龄在18周岁（含）至65周岁（含贷款期限在内不超过65周岁）之间；农业生产经营符合国家法律法规、农业产业政策和环境保护要求，经营稳定，申请财政贴息时家庭农场和家庭农场主无不良记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家庭农场已连续正常经营1年及以上。在成立家庭农场前家庭农场主有农业从业经历的，可适当放宽连续正常经营年限至6个月。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  <w:t>（二）</w:t>
      </w:r>
      <w:r>
        <w:rPr>
          <w:rFonts w:hint="eastAsia" w:ascii="楷体_GB2312" w:eastAsia="楷体_GB2312" w:cs="Times New Roman"/>
          <w:b w:val="0"/>
          <w:bCs w:val="0"/>
          <w:lang w:val="en-US" w:eastAsia="zh-CN"/>
        </w:rPr>
        <w:t>方案具体扶持方面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政贴息范围。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根据全县“5+5+3”产业发展规划，重点突出支持五大主导产业：粮油、畜禽、蔬菜、水果、水产（小龙虾）；五大特色产业中的：苎麻、香椿、白茶、糯稻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及中药材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楷体_GB2312" w:hAnsi="楷体_GB2312" w:eastAsia="楷体_GB2312" w:cs="楷体_GB2312"/>
          <w:bCs/>
          <w:sz w:val="32"/>
          <w:szCs w:val="32"/>
          <w:lang w:eastAsia="zh-CN"/>
        </w:rPr>
        <w:t>财政贴息内容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家庭农场的农业生产发展(包括扩大规模经营和改进农业生产、引进新技术新品种、市场开拓与品牌建设、农产品初加工等)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家庭农场的农业基础设施建设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家庭农场向其他农业生产者提供农资、农技、农机、农产品收购、仓储保鲜、销售、初加工等涉农生产服务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家庭农场发展农业的新产业、新业态。</w:t>
      </w:r>
    </w:p>
    <w:p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 w:bidi="ar-SA"/>
        </w:rPr>
        <w:t>财政贴息资金来源及标准。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每年切块农业（畜牧）产业发展专项资金30万元用于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“家庭农场信贷直通车”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财政贴息，以申请贷款先后顺序为准，用完为止。同一个项目不得重复享受省、市贴息政策。贷款资金利息的10%，粮油、生猪类按15%贴息。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  <w:t>（三）《</w:t>
      </w:r>
      <w:r>
        <w:rPr>
          <w:rFonts w:hint="eastAsia" w:ascii="楷体_GB2312" w:eastAsia="楷体_GB2312" w:cs="Times New Roman"/>
          <w:b w:val="0"/>
          <w:bCs w:val="0"/>
          <w:lang w:val="en-US" w:eastAsia="zh-CN"/>
        </w:rPr>
        <w:t>实施方案</w:t>
      </w:r>
      <w:r>
        <w:rPr>
          <w:rFonts w:hint="eastAsia" w:ascii="楷体_GB2312" w:hAnsi="Times New Roman" w:eastAsia="楷体_GB2312" w:cs="Times New Roman"/>
          <w:b w:val="0"/>
          <w:bCs w:val="0"/>
          <w:lang w:val="en-US" w:eastAsia="zh-CN"/>
        </w:rPr>
        <w:t>》有效期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lang w:val="en-US" w:eastAsia="zh-CN"/>
        </w:rPr>
      </w:pPr>
      <w:r>
        <w:rPr>
          <w:rFonts w:hint="eastAsia" w:ascii="仿宋_GB2312" w:hAnsi="Times New Roman" w:eastAsia="仿宋_GB2312" w:cs="Times New Roman"/>
          <w:lang w:val="en-US" w:eastAsia="zh-CN"/>
        </w:rPr>
        <w:t>本</w:t>
      </w:r>
      <w:r>
        <w:rPr>
          <w:rFonts w:hint="eastAsia" w:ascii="仿宋_GB2312" w:eastAsia="仿宋_GB2312" w:cs="Times New Roman"/>
          <w:lang w:val="en-US" w:eastAsia="zh-CN"/>
        </w:rPr>
        <w:t>《实施方案》</w:t>
      </w:r>
      <w:r>
        <w:rPr>
          <w:rFonts w:hint="eastAsia" w:ascii="仿宋_GB2312" w:hAnsi="Times New Roman" w:eastAsia="仿宋_GB2312" w:cs="Times New Roman"/>
          <w:lang w:val="en-US" w:eastAsia="zh-CN"/>
        </w:rPr>
        <w:t>自公布之日起施行，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lang w:val="en-US" w:eastAsia="zh-CN"/>
        </w:rPr>
        <w:t>有效期</w:t>
      </w:r>
      <w:r>
        <w:rPr>
          <w:rFonts w:hint="eastAsia" w:ascii="仿宋_GB2312" w:eastAsia="仿宋_GB2312" w:cs="Times New Roman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lang w:val="en-US" w:eastAsia="zh-CN"/>
        </w:rPr>
        <w:t xml:space="preserve">年。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Times New Roman" w:eastAsia="仿宋_GB2312" w:cs="Times New Roman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ExOGQzYjllZGEzZGJiYjYwYzU1MTViMDYzZmMifQ=="/>
  </w:docVars>
  <w:rsids>
    <w:rsidRoot w:val="3A2F5DD4"/>
    <w:rsid w:val="3A2F5DD4"/>
    <w:rsid w:val="4FF7F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b/>
      <w:bCs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2022-06-29T16:05:00Z</dcterms:created>
  <dc:creator>祖辉</dc:creator>
  <cp:lastModifiedBy>user</cp:lastModifiedBy>
  <dcterms:modified xsi:type="dcterms:W3CDTF">2022-06-29T16:29:24Z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CE41173246C349C59711A743F8F84357</vt:lpwstr>
  </property>
</Properties>
</file>