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大竹县</w:t>
      </w:r>
      <w:r>
        <w:rPr>
          <w:rFonts w:hint="eastAsia" w:ascii="方正小标宋简体" w:hAnsi="宋体" w:eastAsia="方正小标宋简体"/>
          <w:color w:val="000000"/>
          <w:sz w:val="36"/>
          <w:szCs w:val="36"/>
          <w:lang w:eastAsia="zh-CN"/>
        </w:rPr>
        <w:t>司法局</w:t>
      </w:r>
      <w:r>
        <w:rPr>
          <w:rFonts w:hint="eastAsia" w:ascii="方正小标宋简体" w:hAnsi="宋体" w:eastAsia="方正小标宋简体"/>
          <w:color w:val="000000"/>
          <w:sz w:val="36"/>
          <w:szCs w:val="36"/>
        </w:rPr>
        <w:t>2017年部门决算编制说明</w:t>
      </w:r>
    </w:p>
    <w:p>
      <w:pPr>
        <w:spacing w:line="600" w:lineRule="exact"/>
        <w:jc w:val="center"/>
        <w:rPr>
          <w:rFonts w:hint="eastAsia" w:ascii="宋体" w:hAnsi="宋体"/>
          <w:b/>
          <w:color w:val="000000"/>
          <w:sz w:val="44"/>
          <w:szCs w:val="44"/>
        </w:rPr>
      </w:pPr>
    </w:p>
    <w:p>
      <w:pPr>
        <w:spacing w:line="600" w:lineRule="exact"/>
        <w:ind w:firstLine="640" w:firstLineChars="200"/>
        <w:rPr>
          <w:rFonts w:hint="eastAsia" w:ascii="黑体" w:eastAsia="黑体"/>
          <w:color w:val="000000"/>
          <w:sz w:val="32"/>
          <w:szCs w:val="32"/>
        </w:rPr>
      </w:pPr>
      <w:r>
        <w:rPr>
          <w:rFonts w:hint="eastAsia" w:ascii="黑体" w:eastAsia="黑体"/>
          <w:color w:val="000000"/>
          <w:sz w:val="32"/>
          <w:szCs w:val="32"/>
        </w:rPr>
        <w:t>一、基本职能及主要工作</w:t>
      </w:r>
    </w:p>
    <w:p>
      <w:pPr>
        <w:pStyle w:val="2"/>
        <w:adjustRightInd w:val="0"/>
        <w:snapToGrid w:val="0"/>
        <w:spacing w:line="600" w:lineRule="exact"/>
        <w:ind w:firstLine="672" w:firstLineChars="210"/>
        <w:rPr>
          <w:rFonts w:cs="仿宋_GB2312"/>
          <w:color w:val="333333"/>
          <w:kern w:val="1"/>
          <w:sz w:val="32"/>
          <w:szCs w:val="32"/>
          <w:lang w:val="en-US" w:eastAsia="zh-CN"/>
        </w:rPr>
      </w:pPr>
      <w:r>
        <w:rPr>
          <w:rFonts w:hint="eastAsia"/>
          <w:bCs/>
          <w:color w:val="000000"/>
          <w:sz w:val="32"/>
          <w:szCs w:val="32"/>
        </w:rPr>
        <w:t>（一）主要职能。</w:t>
      </w:r>
      <w:r>
        <w:rPr>
          <w:rFonts w:cs="仿宋_GB2312"/>
          <w:color w:val="333333"/>
          <w:kern w:val="1"/>
          <w:sz w:val="32"/>
          <w:szCs w:val="32"/>
          <w:lang w:val="en-US" w:eastAsia="zh-CN"/>
        </w:rPr>
        <w:t>大竹县司法局是</w:t>
      </w:r>
      <w:r>
        <w:rPr>
          <w:rFonts w:cs="仿宋_GB2312"/>
          <w:kern w:val="1"/>
          <w:sz w:val="32"/>
          <w:szCs w:val="32"/>
          <w:lang w:val="en-US" w:eastAsia="zh-CN"/>
        </w:rPr>
        <w:t>贯彻执行国家、省、市关于司法行政工作的方针、政策和法律法规及规章；制定司法行政规范性文件，编制全县司法行政工作中长期发展规划和年度工作计划，并负责组织实施的县政府组成部门，负责指导人民调解、</w:t>
      </w:r>
      <w:r>
        <w:rPr>
          <w:rFonts w:hint="eastAsia" w:cs="仿宋_GB2312"/>
          <w:kern w:val="1"/>
          <w:sz w:val="32"/>
          <w:szCs w:val="32"/>
          <w:lang w:val="en-US" w:eastAsia="zh-CN"/>
        </w:rPr>
        <w:t>法治宣传、</w:t>
      </w:r>
      <w:r>
        <w:rPr>
          <w:rFonts w:cs="仿宋_GB2312"/>
          <w:kern w:val="1"/>
          <w:sz w:val="32"/>
          <w:szCs w:val="32"/>
          <w:lang w:val="en-US" w:eastAsia="zh-CN"/>
        </w:rPr>
        <w:t>安置帮教、社区矫正、法律援助、法律服务、司法鉴定等工作</w:t>
      </w:r>
      <w:r>
        <w:rPr>
          <w:rFonts w:cs="仿宋_GB2312"/>
          <w:color w:val="333333"/>
          <w:kern w:val="1"/>
          <w:sz w:val="32"/>
          <w:szCs w:val="32"/>
          <w:lang w:val="en-US" w:eastAsia="zh-CN"/>
        </w:rPr>
        <w:t>。</w:t>
      </w:r>
    </w:p>
    <w:p>
      <w:pPr>
        <w:pStyle w:val="2"/>
        <w:spacing w:line="600" w:lineRule="exact"/>
        <w:ind w:firstLine="672"/>
        <w:rPr>
          <w:rFonts w:hint="eastAsia" w:ascii="仿宋_GB2312" w:eastAsia="仿宋_GB2312"/>
          <w:sz w:val="32"/>
          <w:szCs w:val="32"/>
          <w:lang w:eastAsia="zh-CN"/>
        </w:rPr>
      </w:pPr>
      <w:r>
        <w:rPr>
          <w:rFonts w:hint="eastAsia"/>
          <w:bCs/>
          <w:color w:val="000000"/>
          <w:sz w:val="32"/>
          <w:szCs w:val="32"/>
        </w:rPr>
        <w:t>（二）201</w:t>
      </w:r>
      <w:r>
        <w:rPr>
          <w:rFonts w:hint="eastAsia"/>
          <w:bCs/>
          <w:color w:val="000000"/>
          <w:sz w:val="32"/>
          <w:szCs w:val="32"/>
          <w:lang w:eastAsia="zh-CN"/>
        </w:rPr>
        <w:t>7</w:t>
      </w:r>
      <w:r>
        <w:rPr>
          <w:rFonts w:hint="eastAsia"/>
          <w:bCs/>
          <w:color w:val="000000"/>
          <w:sz w:val="32"/>
          <w:szCs w:val="32"/>
        </w:rPr>
        <w:t>年重点工作完成情况。</w:t>
      </w:r>
      <w:r>
        <w:rPr>
          <w:rFonts w:hint="eastAsia" w:hAnsi="Times New Roman"/>
          <w:kern w:val="1"/>
          <w:sz w:val="32"/>
          <w:szCs w:val="32"/>
          <w:lang w:val="en-US" w:eastAsia="zh-CN"/>
        </w:rPr>
        <w:t>我局在</w:t>
      </w:r>
      <w:r>
        <w:rPr>
          <w:rFonts w:hint="eastAsia" w:hAnsi="Times New Roman"/>
          <w:spacing w:val="-4"/>
          <w:kern w:val="1"/>
          <w:sz w:val="32"/>
          <w:szCs w:val="32"/>
          <w:lang w:val="en-US" w:eastAsia="zh-CN"/>
        </w:rPr>
        <w:t>县委、县政府的坚强领导下，在省市主管部门的精心指导下，</w:t>
      </w:r>
      <w:r>
        <w:rPr>
          <w:rFonts w:hint="eastAsia" w:hAnsi="Times New Roman"/>
          <w:kern w:val="1"/>
          <w:sz w:val="32"/>
          <w:szCs w:val="32"/>
          <w:lang w:val="en-US" w:eastAsia="zh-CN"/>
        </w:rPr>
        <w:t>全局认真贯彻落实</w:t>
      </w:r>
      <w:r>
        <w:rPr>
          <w:rFonts w:hint="eastAsia"/>
          <w:kern w:val="1"/>
          <w:sz w:val="32"/>
          <w:szCs w:val="32"/>
          <w:lang w:val="en-US" w:eastAsia="zh-CN"/>
        </w:rPr>
        <w:t>各项</w:t>
      </w:r>
      <w:r>
        <w:rPr>
          <w:rFonts w:hint="eastAsia" w:hAnsi="Times New Roman"/>
          <w:kern w:val="1"/>
          <w:sz w:val="32"/>
          <w:szCs w:val="32"/>
          <w:lang w:val="en-US" w:eastAsia="zh-CN"/>
        </w:rPr>
        <w:t>会议精神，认真履行各项职能，</w:t>
      </w:r>
      <w:r>
        <w:rPr>
          <w:rFonts w:hint="eastAsia" w:cs="仿宋_GB2312"/>
          <w:kern w:val="1"/>
          <w:sz w:val="32"/>
          <w:szCs w:val="32"/>
          <w:lang w:val="en-US" w:eastAsia="zh-CN"/>
        </w:rPr>
        <w:t>深入开展了普法教育，</w:t>
      </w:r>
      <w:r>
        <w:rPr>
          <w:rFonts w:hint="eastAsia" w:cs="仿宋_GB2312"/>
          <w:sz w:val="32"/>
          <w:szCs w:val="32"/>
          <w:lang w:val="en-US" w:eastAsia="zh-CN"/>
        </w:rPr>
        <w:t>落实特殊群体管控工作，推进基层基础工作，</w:t>
      </w:r>
      <w:r>
        <w:rPr>
          <w:rFonts w:hint="eastAsia" w:cs="仿宋_GB2312"/>
          <w:kern w:val="1"/>
          <w:sz w:val="32"/>
          <w:szCs w:val="32"/>
          <w:lang w:val="en-US" w:eastAsia="zh-CN"/>
        </w:rPr>
        <w:t>创新开展脱贫攻坚工作，深入推进信息化建设工作，</w:t>
      </w:r>
      <w:r>
        <w:rPr>
          <w:rFonts w:hint="eastAsia" w:cs="仿宋_GB2312"/>
          <w:kern w:val="1"/>
          <w:sz w:val="32"/>
          <w:szCs w:val="32"/>
          <w:shd w:val="clear" w:color="auto" w:fill="FFFFFF"/>
          <w:lang w:val="en-US" w:eastAsia="zh-CN"/>
        </w:rPr>
        <w:t>扎实开展党建工作及队伍建设工作</w:t>
      </w:r>
      <w:r>
        <w:rPr>
          <w:rFonts w:hint="eastAsia" w:cs="仿宋_GB2312"/>
          <w:kern w:val="1"/>
          <w:sz w:val="32"/>
          <w:szCs w:val="32"/>
          <w:lang w:val="en-US" w:eastAsia="zh-CN"/>
        </w:rPr>
        <w:t>，法律援助帮助更多群众得到应有的权利，人民调解促进了社会的和谐，法律服务工作成效显著，圆满完成了年度目标任务，</w:t>
      </w:r>
      <w:r>
        <w:rPr>
          <w:rFonts w:hint="eastAsia" w:ascii="仿宋_GB2312" w:eastAsia="仿宋_GB2312"/>
          <w:sz w:val="32"/>
          <w:szCs w:val="32"/>
          <w:lang w:eastAsia="zh-CN"/>
        </w:rPr>
        <w:t>先后</w:t>
      </w:r>
      <w:r>
        <w:rPr>
          <w:rFonts w:hint="eastAsia" w:ascii="仿宋_GB2312" w:eastAsia="仿宋_GB2312"/>
          <w:sz w:val="32"/>
          <w:szCs w:val="32"/>
        </w:rPr>
        <w:t>被省委表彰为“2011－2015年全国法治宣传教育先进集体”，被市依法治市办评为“达州市依法治市示范创建先进单位”，被省人社厅、司法厅表彰为“社区矫正工作先进单位”</w:t>
      </w:r>
      <w:r>
        <w:rPr>
          <w:rFonts w:hint="eastAsia"/>
          <w:sz w:val="32"/>
          <w:szCs w:val="32"/>
          <w:lang w:eastAsia="zh-CN"/>
        </w:rPr>
        <w:t>。</w:t>
      </w:r>
    </w:p>
    <w:p>
      <w:pPr>
        <w:spacing w:line="600" w:lineRule="exact"/>
        <w:ind w:firstLine="640" w:firstLineChars="200"/>
        <w:rPr>
          <w:rFonts w:hint="eastAsia" w:ascii="黑体" w:eastAsia="黑体"/>
          <w:color w:val="000000"/>
          <w:sz w:val="32"/>
          <w:szCs w:val="32"/>
        </w:rPr>
      </w:pPr>
      <w:r>
        <w:rPr>
          <w:rFonts w:hint="eastAsia" w:ascii="黑体" w:eastAsia="黑体"/>
          <w:color w:val="000000"/>
          <w:sz w:val="32"/>
          <w:szCs w:val="32"/>
        </w:rPr>
        <w:t>二、部门概况</w:t>
      </w:r>
    </w:p>
    <w:p>
      <w:pPr>
        <w:spacing w:line="600" w:lineRule="exact"/>
        <w:ind w:firstLine="640"/>
        <w:rPr>
          <w:rFonts w:ascii="仿宋_GB2312" w:hAnsi="仿宋_GB2312" w:eastAsia="仿宋_GB2312" w:cs="仿宋_GB2312"/>
          <w:color w:val="333333"/>
          <w:kern w:val="1"/>
          <w:sz w:val="32"/>
          <w:szCs w:val="32"/>
        </w:rPr>
      </w:pPr>
      <w:r>
        <w:rPr>
          <w:rFonts w:ascii="仿宋_GB2312" w:hAnsi="仿宋_GB2312" w:eastAsia="仿宋_GB2312" w:cs="仿宋_GB2312"/>
          <w:color w:val="333333"/>
          <w:kern w:val="1"/>
          <w:sz w:val="32"/>
          <w:szCs w:val="32"/>
        </w:rPr>
        <w:t>大竹县司法局为一级预算单位，下辖51个乡镇</w:t>
      </w:r>
      <w:r>
        <w:rPr>
          <w:rFonts w:hint="eastAsia" w:ascii="仿宋_GB2312" w:hAnsi="仿宋_GB2312" w:eastAsia="仿宋_GB2312" w:cs="仿宋_GB2312"/>
          <w:color w:val="333333"/>
          <w:kern w:val="1"/>
          <w:sz w:val="32"/>
          <w:szCs w:val="32"/>
        </w:rPr>
        <w:t>(街道)</w:t>
      </w:r>
      <w:r>
        <w:rPr>
          <w:rFonts w:ascii="仿宋_GB2312" w:hAnsi="仿宋_GB2312" w:eastAsia="仿宋_GB2312" w:cs="仿宋_GB2312"/>
          <w:color w:val="333333"/>
          <w:kern w:val="1"/>
          <w:sz w:val="32"/>
          <w:szCs w:val="32"/>
        </w:rPr>
        <w:t>司法所。</w:t>
      </w:r>
    </w:p>
    <w:p>
      <w:pPr>
        <w:spacing w:line="600" w:lineRule="exact"/>
        <w:ind w:firstLine="640" w:firstLineChars="200"/>
        <w:rPr>
          <w:rFonts w:hint="eastAsia" w:ascii="黑体" w:eastAsia="黑体"/>
          <w:color w:val="000000"/>
          <w:sz w:val="32"/>
          <w:szCs w:val="32"/>
        </w:rPr>
      </w:pPr>
      <w:r>
        <w:rPr>
          <w:rFonts w:hint="eastAsia" w:ascii="黑体" w:eastAsia="黑体"/>
          <w:color w:val="000000"/>
          <w:sz w:val="32"/>
          <w:szCs w:val="32"/>
        </w:rPr>
        <w:t>三、收支决算总体情况说明</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2017年</w:t>
      </w:r>
      <w:r>
        <w:rPr>
          <w:rFonts w:hint="eastAsia" w:ascii="仿宋_GB2312" w:eastAsia="仿宋_GB2312"/>
          <w:color w:val="000000"/>
          <w:sz w:val="32"/>
          <w:szCs w:val="32"/>
          <w:lang w:eastAsia="zh-CN"/>
        </w:rPr>
        <w:t>大竹县司法局</w:t>
      </w:r>
      <w:r>
        <w:rPr>
          <w:rFonts w:hint="eastAsia" w:ascii="仿宋_GB2312" w:eastAsia="仿宋_GB2312"/>
          <w:color w:val="000000"/>
          <w:sz w:val="32"/>
          <w:szCs w:val="32"/>
        </w:rPr>
        <w:t>本年收入合计</w:t>
      </w:r>
      <w:r>
        <w:rPr>
          <w:rFonts w:hint="eastAsia" w:ascii="仿宋_GB2312" w:eastAsia="仿宋_GB2312"/>
          <w:color w:val="000000"/>
          <w:sz w:val="32"/>
          <w:szCs w:val="32"/>
          <w:lang w:val="en-US" w:eastAsia="zh-CN"/>
        </w:rPr>
        <w:t>1283.3</w:t>
      </w:r>
      <w:r>
        <w:rPr>
          <w:rFonts w:hint="eastAsia" w:ascii="仿宋_GB2312" w:eastAsia="仿宋_GB2312"/>
          <w:color w:val="000000"/>
          <w:sz w:val="32"/>
          <w:szCs w:val="32"/>
        </w:rPr>
        <w:t>万元，其中：</w:t>
      </w:r>
      <w:r>
        <w:rPr>
          <w:rFonts w:hint="eastAsia" w:ascii="仿宋_GB2312" w:eastAsia="仿宋_GB2312"/>
          <w:color w:val="000000"/>
          <w:sz w:val="32"/>
          <w:szCs w:val="32"/>
          <w:shd w:val="clear" w:color="auto" w:fill="auto"/>
        </w:rPr>
        <w:t>一般公共预算财政拨款收入</w:t>
      </w:r>
      <w:r>
        <w:rPr>
          <w:rFonts w:hint="eastAsia" w:ascii="仿宋_GB2312" w:eastAsia="仿宋_GB2312"/>
          <w:color w:val="000000"/>
          <w:sz w:val="32"/>
          <w:szCs w:val="32"/>
          <w:shd w:val="clear" w:color="auto" w:fill="auto"/>
          <w:lang w:val="en-US" w:eastAsia="zh-CN"/>
        </w:rPr>
        <w:t>1283.3</w:t>
      </w:r>
      <w:r>
        <w:rPr>
          <w:rFonts w:hint="eastAsia" w:ascii="仿宋_GB2312" w:eastAsia="仿宋_GB2312"/>
          <w:color w:val="000000"/>
          <w:sz w:val="32"/>
          <w:szCs w:val="32"/>
          <w:shd w:val="clear" w:color="auto" w:fill="auto"/>
        </w:rPr>
        <w:t>万元，占</w:t>
      </w:r>
      <w:r>
        <w:rPr>
          <w:rFonts w:hint="eastAsia" w:ascii="仿宋_GB2312" w:eastAsia="仿宋_GB2312"/>
          <w:color w:val="000000"/>
          <w:sz w:val="32"/>
          <w:szCs w:val="32"/>
          <w:shd w:val="clear" w:color="auto" w:fill="auto"/>
          <w:lang w:val="en-US" w:eastAsia="zh-CN"/>
        </w:rPr>
        <w:t>100</w:t>
      </w:r>
      <w:r>
        <w:rPr>
          <w:rFonts w:hint="eastAsia" w:ascii="仿宋_GB2312" w:eastAsia="仿宋_GB2312"/>
          <w:color w:val="000000"/>
          <w:sz w:val="32"/>
          <w:szCs w:val="32"/>
          <w:shd w:val="clear" w:color="auto" w:fill="auto"/>
        </w:rPr>
        <w:t>%；政府性基金预算财政拨款收入</w:t>
      </w:r>
      <w:r>
        <w:rPr>
          <w:rFonts w:hint="eastAsia" w:ascii="仿宋_GB2312" w:eastAsia="仿宋_GB2312"/>
          <w:color w:val="000000"/>
          <w:sz w:val="32"/>
          <w:szCs w:val="32"/>
          <w:shd w:val="clear" w:color="auto" w:fill="auto"/>
          <w:lang w:val="en-US" w:eastAsia="zh-CN"/>
        </w:rPr>
        <w:t>0</w:t>
      </w:r>
      <w:r>
        <w:rPr>
          <w:rFonts w:hint="eastAsia" w:ascii="仿宋_GB2312" w:eastAsia="仿宋_GB2312"/>
          <w:color w:val="000000"/>
          <w:sz w:val="32"/>
          <w:szCs w:val="32"/>
          <w:shd w:val="clear" w:color="auto" w:fill="auto"/>
        </w:rPr>
        <w:t>万元，占</w:t>
      </w:r>
      <w:r>
        <w:rPr>
          <w:rFonts w:hint="eastAsia" w:ascii="仿宋_GB2312" w:eastAsia="仿宋_GB2312"/>
          <w:color w:val="000000"/>
          <w:sz w:val="32"/>
          <w:szCs w:val="32"/>
          <w:shd w:val="clear" w:color="auto" w:fill="auto"/>
          <w:lang w:val="en-US" w:eastAsia="zh-CN"/>
        </w:rPr>
        <w:t>0</w:t>
      </w:r>
      <w:r>
        <w:rPr>
          <w:rFonts w:hint="eastAsia" w:ascii="仿宋_GB2312" w:eastAsia="仿宋_GB2312"/>
          <w:color w:val="000000"/>
          <w:sz w:val="32"/>
          <w:szCs w:val="32"/>
          <w:shd w:val="clear" w:color="auto" w:fill="auto"/>
        </w:rPr>
        <w:t>%；国有资本经营预算财政拨款收入</w:t>
      </w:r>
      <w:r>
        <w:rPr>
          <w:rFonts w:hint="eastAsia" w:ascii="仿宋_GB2312" w:eastAsia="仿宋_GB2312"/>
          <w:color w:val="000000"/>
          <w:sz w:val="32"/>
          <w:szCs w:val="32"/>
          <w:shd w:val="clear" w:color="auto" w:fill="auto"/>
          <w:lang w:val="en-US" w:eastAsia="zh-CN"/>
        </w:rPr>
        <w:t>0</w:t>
      </w:r>
      <w:r>
        <w:rPr>
          <w:rFonts w:hint="eastAsia" w:ascii="仿宋_GB2312" w:eastAsia="仿宋_GB2312"/>
          <w:color w:val="000000"/>
          <w:sz w:val="32"/>
          <w:szCs w:val="32"/>
          <w:shd w:val="clear" w:color="auto" w:fill="auto"/>
        </w:rPr>
        <w:t>万元，占</w:t>
      </w:r>
      <w:r>
        <w:rPr>
          <w:rFonts w:hint="eastAsia" w:ascii="仿宋_GB2312" w:eastAsia="仿宋_GB2312"/>
          <w:color w:val="000000"/>
          <w:sz w:val="32"/>
          <w:szCs w:val="32"/>
          <w:shd w:val="clear" w:color="auto" w:fill="auto"/>
          <w:lang w:val="en-US" w:eastAsia="zh-CN"/>
        </w:rPr>
        <w:t>0</w:t>
      </w:r>
      <w:r>
        <w:rPr>
          <w:rFonts w:hint="eastAsia" w:ascii="仿宋_GB2312" w:eastAsia="仿宋_GB2312"/>
          <w:color w:val="000000"/>
          <w:sz w:val="32"/>
          <w:szCs w:val="32"/>
          <w:shd w:val="clear" w:color="auto" w:fill="auto"/>
        </w:rPr>
        <w:t>%；</w:t>
      </w:r>
      <w:r>
        <w:rPr>
          <w:rFonts w:hint="eastAsia" w:ascii="仿宋_GB2312" w:eastAsia="仿宋_GB2312"/>
          <w:color w:val="000000"/>
          <w:sz w:val="32"/>
          <w:szCs w:val="32"/>
        </w:rPr>
        <w:t>事业收入</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%；经营收入</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%；附属单位上缴收入</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%；其他收入</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w:t>
      </w:r>
    </w:p>
    <w:p>
      <w:pPr>
        <w:rPr>
          <w:rFonts w:hint="eastAsia"/>
          <w:lang w:val="en-US" w:eastAsia="zh-CN"/>
        </w:rPr>
      </w:pPr>
    </w:p>
    <w:p>
      <w:pPr>
        <w:rPr>
          <w:rFonts w:hint="eastAsia"/>
          <w:lang w:val="en-US" w:eastAsia="zh-CN"/>
        </w:rPr>
      </w:pPr>
    </w:p>
    <w:p>
      <w:r>
        <w:drawing>
          <wp:inline distT="0" distB="0" distL="114300" distR="114300">
            <wp:extent cx="4572000" cy="2458085"/>
            <wp:effectExtent l="4445" t="4445"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2017年</w:t>
      </w:r>
      <w:r>
        <w:rPr>
          <w:rFonts w:hint="eastAsia" w:ascii="仿宋_GB2312" w:eastAsia="仿宋_GB2312"/>
          <w:color w:val="000000"/>
          <w:sz w:val="32"/>
          <w:szCs w:val="32"/>
          <w:lang w:eastAsia="zh-CN"/>
        </w:rPr>
        <w:t>大竹县司法局</w:t>
      </w:r>
      <w:r>
        <w:rPr>
          <w:rFonts w:hint="eastAsia" w:ascii="仿宋_GB2312" w:eastAsia="仿宋_GB2312"/>
          <w:color w:val="000000"/>
          <w:sz w:val="32"/>
          <w:szCs w:val="32"/>
        </w:rPr>
        <w:t>本年支出合计</w:t>
      </w:r>
      <w:r>
        <w:rPr>
          <w:rFonts w:hint="eastAsia" w:ascii="仿宋_GB2312" w:eastAsia="仿宋_GB2312"/>
          <w:color w:val="000000"/>
          <w:sz w:val="32"/>
          <w:szCs w:val="32"/>
          <w:lang w:val="en-US" w:eastAsia="zh-CN"/>
        </w:rPr>
        <w:t>1281.86</w:t>
      </w:r>
      <w:r>
        <w:rPr>
          <w:rFonts w:hint="eastAsia" w:ascii="仿宋_GB2312" w:eastAsia="仿宋_GB2312"/>
          <w:color w:val="000000"/>
          <w:sz w:val="32"/>
          <w:szCs w:val="32"/>
        </w:rPr>
        <w:t>万元，其中：基本支出</w:t>
      </w:r>
      <w:r>
        <w:rPr>
          <w:rFonts w:hint="eastAsia" w:ascii="仿宋_GB2312" w:eastAsia="仿宋_GB2312"/>
          <w:color w:val="000000"/>
          <w:sz w:val="32"/>
          <w:szCs w:val="32"/>
          <w:lang w:val="en-US" w:eastAsia="zh-CN"/>
        </w:rPr>
        <w:t>1222.86</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95</w:t>
      </w:r>
      <w:r>
        <w:rPr>
          <w:rFonts w:hint="eastAsia" w:ascii="仿宋_GB2312" w:eastAsia="仿宋_GB2312"/>
          <w:color w:val="000000"/>
          <w:sz w:val="32"/>
          <w:szCs w:val="32"/>
        </w:rPr>
        <w:t>%；项目支出</w:t>
      </w:r>
      <w:r>
        <w:rPr>
          <w:rFonts w:hint="eastAsia" w:ascii="仿宋_GB2312" w:eastAsia="仿宋_GB2312"/>
          <w:color w:val="000000"/>
          <w:sz w:val="32"/>
          <w:szCs w:val="32"/>
          <w:lang w:val="en-US" w:eastAsia="zh-CN"/>
        </w:rPr>
        <w:t>59</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%；上缴上级支出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%；经营支出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%；对附属单位补助支出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w:t>
      </w:r>
    </w:p>
    <w:p>
      <w:pPr>
        <w:rPr>
          <w:rFonts w:hint="eastAsia" w:eastAsiaTheme="minorEastAsia"/>
          <w:lang w:eastAsia="zh-CN"/>
        </w:rPr>
      </w:pPr>
      <w:r>
        <w:rPr>
          <w:rFonts w:hint="eastAsia" w:eastAsiaTheme="minorEastAsia"/>
          <w:lang w:eastAsia="zh-CN"/>
        </w:rPr>
        <w:drawing>
          <wp:inline distT="0" distB="0" distL="114300" distR="114300">
            <wp:extent cx="4556760" cy="3124200"/>
            <wp:effectExtent l="4445" t="4445" r="1079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hint="eastAsia" w:ascii="仿宋_GB2312" w:eastAsia="仿宋_GB2312"/>
          <w:color w:val="000000"/>
          <w:sz w:val="32"/>
          <w:szCs w:val="32"/>
        </w:rPr>
      </w:pPr>
      <w:r>
        <w:rPr>
          <w:rFonts w:hint="eastAsia" w:ascii="黑体" w:eastAsia="黑体"/>
          <w:color w:val="000000"/>
          <w:sz w:val="32"/>
          <w:szCs w:val="32"/>
        </w:rPr>
        <w:t>四、财政拨款收入支出决算总体情况说明</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2017年度财政拨款收</w:t>
      </w:r>
      <w:r>
        <w:rPr>
          <w:rFonts w:hint="eastAsia" w:ascii="仿宋_GB2312" w:eastAsia="仿宋_GB2312"/>
          <w:color w:val="000000"/>
          <w:sz w:val="32"/>
          <w:szCs w:val="32"/>
          <w:lang w:eastAsia="zh-CN"/>
        </w:rPr>
        <w:t>入</w:t>
      </w:r>
      <w:r>
        <w:rPr>
          <w:rFonts w:hint="eastAsia" w:ascii="仿宋_GB2312" w:eastAsia="仿宋_GB2312"/>
          <w:color w:val="000000"/>
          <w:sz w:val="32"/>
          <w:szCs w:val="32"/>
        </w:rPr>
        <w:t>、支</w:t>
      </w:r>
      <w:r>
        <w:rPr>
          <w:rFonts w:hint="eastAsia" w:ascii="仿宋_GB2312" w:eastAsia="仿宋_GB2312"/>
          <w:color w:val="000000"/>
          <w:sz w:val="32"/>
          <w:szCs w:val="32"/>
          <w:lang w:eastAsia="zh-CN"/>
        </w:rPr>
        <w:t>出分别为</w:t>
      </w:r>
      <w:r>
        <w:rPr>
          <w:rFonts w:hint="eastAsia" w:ascii="仿宋_GB2312" w:eastAsia="仿宋_GB2312"/>
          <w:color w:val="000000"/>
          <w:sz w:val="32"/>
          <w:szCs w:val="32"/>
          <w:lang w:val="en-US" w:eastAsia="zh-CN"/>
        </w:rPr>
        <w:t>1283.3</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1281.86万元</w:t>
      </w:r>
      <w:r>
        <w:rPr>
          <w:rFonts w:hint="eastAsia" w:ascii="仿宋_GB2312" w:eastAsia="仿宋_GB2312"/>
          <w:color w:val="000000"/>
          <w:sz w:val="32"/>
          <w:szCs w:val="32"/>
        </w:rPr>
        <w:t>。与2016年相比，财政拨款收</w:t>
      </w:r>
      <w:r>
        <w:rPr>
          <w:rFonts w:hint="eastAsia" w:ascii="仿宋_GB2312" w:eastAsia="仿宋_GB2312"/>
          <w:color w:val="000000"/>
          <w:sz w:val="32"/>
          <w:szCs w:val="32"/>
          <w:lang w:eastAsia="zh-CN"/>
        </w:rPr>
        <w:t>入</w:t>
      </w:r>
      <w:r>
        <w:rPr>
          <w:rFonts w:hint="eastAsia" w:ascii="仿宋_GB2312" w:eastAsia="仿宋_GB2312"/>
          <w:color w:val="000000"/>
          <w:sz w:val="32"/>
          <w:szCs w:val="32"/>
        </w:rPr>
        <w:t>、支</w:t>
      </w:r>
      <w:r>
        <w:rPr>
          <w:rFonts w:hint="eastAsia" w:ascii="仿宋_GB2312" w:eastAsia="仿宋_GB2312"/>
          <w:color w:val="000000"/>
          <w:sz w:val="32"/>
          <w:szCs w:val="32"/>
          <w:lang w:eastAsia="zh-CN"/>
        </w:rPr>
        <w:t>出各</w:t>
      </w:r>
      <w:r>
        <w:rPr>
          <w:rFonts w:hint="eastAsia" w:ascii="仿宋_GB2312" w:eastAsia="仿宋_GB2312"/>
          <w:color w:val="000000"/>
          <w:sz w:val="32"/>
          <w:szCs w:val="32"/>
        </w:rPr>
        <w:t>增加</w:t>
      </w:r>
      <w:r>
        <w:rPr>
          <w:rFonts w:hint="eastAsia" w:ascii="仿宋_GB2312" w:eastAsia="仿宋_GB2312"/>
          <w:color w:val="000000"/>
          <w:sz w:val="32"/>
          <w:szCs w:val="32"/>
          <w:lang w:val="en-US" w:eastAsia="zh-CN"/>
        </w:rPr>
        <w:t>228.26</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226.82</w:t>
      </w:r>
      <w:r>
        <w:rPr>
          <w:rFonts w:hint="eastAsia" w:ascii="仿宋_GB2312" w:eastAsia="仿宋_GB2312"/>
          <w:color w:val="000000"/>
          <w:sz w:val="32"/>
          <w:szCs w:val="32"/>
        </w:rPr>
        <w:t>，</w:t>
      </w:r>
      <w:r>
        <w:rPr>
          <w:rFonts w:hint="eastAsia" w:ascii="仿宋_GB2312" w:eastAsia="仿宋_GB2312"/>
          <w:color w:val="000000"/>
          <w:sz w:val="32"/>
          <w:szCs w:val="32"/>
          <w:lang w:eastAsia="zh-CN"/>
        </w:rPr>
        <w:t>分别</w:t>
      </w:r>
      <w:r>
        <w:rPr>
          <w:rFonts w:hint="eastAsia" w:ascii="仿宋_GB2312" w:eastAsia="仿宋_GB2312"/>
          <w:color w:val="000000"/>
          <w:sz w:val="32"/>
          <w:szCs w:val="32"/>
        </w:rPr>
        <w:t>增长</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w:t>
      </w:r>
    </w:p>
    <w:p>
      <w:pPr>
        <w:rPr>
          <w:rFonts w:hint="eastAsia" w:eastAsiaTheme="minorEastAsia"/>
          <w:lang w:eastAsia="zh-CN"/>
        </w:rPr>
      </w:pPr>
      <w:r>
        <w:rPr>
          <w:rFonts w:hint="eastAsia" w:eastAsiaTheme="minorEastAsia"/>
          <w:lang w:eastAsia="zh-CN"/>
        </w:rPr>
        <w:drawing>
          <wp:inline distT="0" distB="0" distL="114300" distR="114300">
            <wp:extent cx="4688840" cy="3192145"/>
            <wp:effectExtent l="4445" t="4445" r="12065" b="2286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hint="eastAsia" w:ascii="黑体" w:eastAsia="黑体"/>
          <w:color w:val="000000"/>
          <w:sz w:val="32"/>
          <w:szCs w:val="32"/>
        </w:rPr>
      </w:pPr>
      <w:r>
        <w:rPr>
          <w:rFonts w:hint="eastAsia" w:ascii="黑体" w:eastAsia="黑体"/>
          <w:color w:val="000000"/>
          <w:sz w:val="32"/>
          <w:szCs w:val="32"/>
        </w:rPr>
        <w:t>五、一般公共预算财政拨款支出决算情况说明</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（一）一般公共预算财政拨款支出决算总体情况</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2017年度一般公共预算财政拨款支出</w:t>
      </w:r>
      <w:r>
        <w:rPr>
          <w:rFonts w:hint="eastAsia" w:ascii="仿宋_GB2312" w:eastAsia="仿宋_GB2312"/>
          <w:color w:val="000000"/>
          <w:sz w:val="32"/>
          <w:szCs w:val="32"/>
          <w:lang w:val="en-US" w:eastAsia="zh-CN"/>
        </w:rPr>
        <w:t>1281.86</w:t>
      </w:r>
      <w:r>
        <w:rPr>
          <w:rFonts w:hint="eastAsia" w:ascii="仿宋_GB2312" w:eastAsia="仿宋_GB2312"/>
          <w:color w:val="000000"/>
          <w:sz w:val="32"/>
          <w:szCs w:val="32"/>
        </w:rPr>
        <w:t>万元，占本年支出合计的</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rPr>
        <w:t>%。与2016年相比，一般公共预算财政拨款增加</w:t>
      </w:r>
      <w:r>
        <w:rPr>
          <w:rFonts w:hint="eastAsia" w:ascii="仿宋_GB2312" w:eastAsia="仿宋_GB2312"/>
          <w:color w:val="000000"/>
          <w:sz w:val="32"/>
          <w:szCs w:val="32"/>
          <w:lang w:val="en-US" w:eastAsia="zh-CN"/>
        </w:rPr>
        <w:t>226.82</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w:t>
      </w:r>
    </w:p>
    <w:p>
      <w:pPr>
        <w:rPr>
          <w:rFonts w:hint="eastAsia" w:eastAsiaTheme="minorEastAsia"/>
          <w:lang w:eastAsia="zh-CN"/>
        </w:rPr>
      </w:pPr>
      <w:r>
        <w:rPr>
          <w:rFonts w:hint="eastAsia" w:eastAsiaTheme="minorEastAsia"/>
          <w:lang w:eastAsia="zh-CN"/>
        </w:rPr>
        <w:drawing>
          <wp:inline distT="0" distB="0" distL="114300" distR="114300">
            <wp:extent cx="4641215" cy="1877060"/>
            <wp:effectExtent l="4445" t="4445" r="21590" b="2349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（二）一般公共预算财政拨款支出决算结构情况</w:t>
      </w:r>
    </w:p>
    <w:p>
      <w:pPr>
        <w:spacing w:line="600" w:lineRule="exact"/>
        <w:ind w:firstLine="640" w:firstLineChars="200"/>
        <w:rPr>
          <w:rFonts w:hint="eastAsia" w:ascii="仿宋_GB2312" w:eastAsia="仿宋_GB2312"/>
          <w:color w:val="000000"/>
          <w:sz w:val="32"/>
          <w:szCs w:val="32"/>
          <w:highlight w:val="yellow"/>
        </w:rPr>
      </w:pPr>
      <w:r>
        <w:rPr>
          <w:rFonts w:hint="eastAsia" w:ascii="仿宋_GB2312" w:eastAsia="仿宋_GB2312"/>
          <w:color w:val="000000"/>
          <w:sz w:val="32"/>
          <w:szCs w:val="32"/>
        </w:rPr>
        <w:t>2017年一般公共预算财政拨款支出</w:t>
      </w:r>
      <w:r>
        <w:rPr>
          <w:rFonts w:hint="eastAsia" w:ascii="仿宋_GB2312" w:eastAsia="仿宋_GB2312"/>
          <w:color w:val="000000"/>
          <w:sz w:val="32"/>
          <w:szCs w:val="32"/>
          <w:lang w:val="en-US" w:eastAsia="zh-CN"/>
        </w:rPr>
        <w:t>1281.86</w:t>
      </w:r>
      <w:r>
        <w:rPr>
          <w:rFonts w:hint="eastAsia" w:ascii="仿宋_GB2312" w:eastAsia="仿宋_GB2312"/>
          <w:color w:val="000000"/>
          <w:sz w:val="32"/>
          <w:szCs w:val="32"/>
        </w:rPr>
        <w:t>万元，主要用于以下方面:公共</w:t>
      </w:r>
      <w:r>
        <w:rPr>
          <w:rFonts w:hint="eastAsia" w:ascii="仿宋_GB2312" w:eastAsia="仿宋_GB2312"/>
          <w:color w:val="000000"/>
          <w:sz w:val="32"/>
          <w:szCs w:val="32"/>
          <w:lang w:eastAsia="zh-CN"/>
        </w:rPr>
        <w:t>安全</w:t>
      </w:r>
      <w:r>
        <w:rPr>
          <w:rFonts w:hint="eastAsia" w:ascii="仿宋_GB2312" w:eastAsia="仿宋_GB2312"/>
          <w:color w:val="000000"/>
          <w:sz w:val="32"/>
          <w:szCs w:val="32"/>
        </w:rPr>
        <w:t>支出</w:t>
      </w:r>
      <w:r>
        <w:rPr>
          <w:rFonts w:hint="eastAsia" w:ascii="仿宋_GB2312" w:eastAsia="仿宋_GB2312"/>
          <w:color w:val="000000"/>
          <w:sz w:val="32"/>
          <w:szCs w:val="32"/>
          <w:lang w:val="en-US" w:eastAsia="zh-CN"/>
        </w:rPr>
        <w:t>1108.29</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86</w:t>
      </w:r>
      <w:r>
        <w:rPr>
          <w:rFonts w:hint="eastAsia" w:ascii="仿宋_GB2312" w:eastAsia="仿宋_GB2312"/>
          <w:color w:val="000000"/>
          <w:sz w:val="32"/>
          <w:szCs w:val="32"/>
        </w:rPr>
        <w:t>%；社会保障和就业支出</w:t>
      </w:r>
      <w:r>
        <w:rPr>
          <w:rFonts w:hint="eastAsia" w:ascii="仿宋_GB2312" w:eastAsia="仿宋_GB2312"/>
          <w:color w:val="000000"/>
          <w:sz w:val="32"/>
          <w:szCs w:val="32"/>
          <w:lang w:val="en-US" w:eastAsia="zh-CN"/>
        </w:rPr>
        <w:t>121.48</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%；住房保障支出</w:t>
      </w:r>
      <w:r>
        <w:rPr>
          <w:rFonts w:hint="eastAsia" w:ascii="仿宋_GB2312" w:eastAsia="仿宋_GB2312"/>
          <w:color w:val="000000"/>
          <w:sz w:val="32"/>
          <w:szCs w:val="32"/>
          <w:lang w:val="en-US" w:eastAsia="zh-CN"/>
        </w:rPr>
        <w:t>52.09</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highlight w:val="yellow"/>
        </w:rPr>
      </w:pPr>
    </w:p>
    <w:p>
      <w:pPr>
        <w:rPr>
          <w:rFonts w:hint="eastAsia" w:eastAsiaTheme="minorEastAsia"/>
          <w:lang w:eastAsia="zh-CN"/>
        </w:rPr>
      </w:pPr>
      <w:r>
        <w:rPr>
          <w:rFonts w:hint="eastAsia" w:eastAsiaTheme="minorEastAsia"/>
          <w:lang w:eastAsia="zh-CN"/>
        </w:rPr>
        <w:drawing>
          <wp:inline distT="0" distB="0" distL="114300" distR="114300">
            <wp:extent cx="4652645" cy="3142615"/>
            <wp:effectExtent l="5080" t="4445" r="9525" b="1524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（三）一般公共预算财政拨款支出决算具体情况</w:t>
      </w:r>
    </w:p>
    <w:p>
      <w:pPr>
        <w:spacing w:line="600" w:lineRule="exact"/>
        <w:ind w:firstLine="643" w:firstLineChars="200"/>
        <w:rPr>
          <w:rFonts w:hint="eastAsia" w:ascii="仿宋_GB2312" w:eastAsia="仿宋_GB2312"/>
          <w:b/>
          <w:color w:val="000000"/>
          <w:sz w:val="32"/>
          <w:szCs w:val="32"/>
        </w:rPr>
      </w:pPr>
      <w:r>
        <w:rPr>
          <w:rStyle w:val="6"/>
          <w:rFonts w:hint="eastAsia" w:ascii="仿宋_GB2312" w:eastAsia="仿宋_GB2312"/>
          <w:color w:val="000000"/>
          <w:sz w:val="32"/>
          <w:szCs w:val="32"/>
        </w:rPr>
        <w:t>1.</w:t>
      </w:r>
      <w:r>
        <w:rPr>
          <w:rFonts w:hint="eastAsia" w:ascii="仿宋_GB2312" w:hAnsi="仿宋_GB2312" w:eastAsia="仿宋_GB2312" w:cs="Times New Roman"/>
          <w:b/>
          <w:kern w:val="1"/>
          <w:sz w:val="32"/>
          <w:szCs w:val="32"/>
        </w:rPr>
        <w:t>公共安全（类）司法支出（款）行政运行（项）</w:t>
      </w:r>
      <w:r>
        <w:rPr>
          <w:rStyle w:val="6"/>
          <w:rFonts w:hint="eastAsia" w:ascii="仿宋_GB2312" w:eastAsia="仿宋_GB2312"/>
          <w:color w:val="000000"/>
          <w:sz w:val="32"/>
          <w:szCs w:val="32"/>
        </w:rPr>
        <w:t>:</w:t>
      </w:r>
      <w:r>
        <w:rPr>
          <w:rStyle w:val="6"/>
          <w:rFonts w:hint="eastAsia" w:ascii="仿宋_GB2312" w:eastAsia="仿宋_GB2312"/>
          <w:b w:val="0"/>
          <w:color w:val="000000"/>
          <w:sz w:val="32"/>
          <w:szCs w:val="32"/>
        </w:rPr>
        <w:t xml:space="preserve"> 支出决算为</w:t>
      </w:r>
      <w:r>
        <w:rPr>
          <w:rStyle w:val="6"/>
          <w:rFonts w:hint="eastAsia" w:ascii="仿宋_GB2312" w:eastAsia="仿宋_GB2312"/>
          <w:b w:val="0"/>
          <w:color w:val="000000"/>
          <w:sz w:val="32"/>
          <w:szCs w:val="32"/>
          <w:lang w:val="en-US" w:eastAsia="zh-CN"/>
        </w:rPr>
        <w:t>1026.29</w:t>
      </w:r>
      <w:r>
        <w:rPr>
          <w:rStyle w:val="6"/>
          <w:rFonts w:hint="eastAsia" w:ascii="仿宋_GB2312" w:eastAsia="仿宋_GB2312"/>
          <w:b w:val="0"/>
          <w:color w:val="000000"/>
          <w:sz w:val="32"/>
          <w:szCs w:val="32"/>
        </w:rPr>
        <w:t>万元，完成预算</w:t>
      </w:r>
      <w:r>
        <w:rPr>
          <w:rStyle w:val="6"/>
          <w:rFonts w:hint="eastAsia" w:ascii="仿宋_GB2312" w:eastAsia="仿宋_GB2312"/>
          <w:b w:val="0"/>
          <w:color w:val="000000"/>
          <w:sz w:val="32"/>
          <w:szCs w:val="32"/>
          <w:lang w:val="en-US" w:eastAsia="zh-CN"/>
        </w:rPr>
        <w:t>100</w:t>
      </w:r>
      <w:r>
        <w:rPr>
          <w:rStyle w:val="6"/>
          <w:rFonts w:hint="eastAsia" w:ascii="仿宋_GB2312" w:eastAsia="仿宋_GB2312"/>
          <w:b w:val="0"/>
          <w:color w:val="000000"/>
          <w:sz w:val="32"/>
          <w:szCs w:val="32"/>
        </w:rPr>
        <w:t>%。</w:t>
      </w:r>
    </w:p>
    <w:p>
      <w:pPr>
        <w:spacing w:line="600" w:lineRule="exact"/>
        <w:ind w:firstLine="643" w:firstLineChars="200"/>
        <w:rPr>
          <w:rFonts w:hint="eastAsia" w:ascii="仿宋_GB2312" w:eastAsia="仿宋_GB2312"/>
          <w:b/>
          <w:color w:val="000000"/>
          <w:sz w:val="32"/>
          <w:szCs w:val="32"/>
        </w:rPr>
      </w:pPr>
      <w:r>
        <w:rPr>
          <w:rStyle w:val="6"/>
          <w:rFonts w:hint="eastAsia" w:ascii="仿宋_GB2312" w:eastAsia="仿宋_GB2312"/>
          <w:color w:val="000000"/>
          <w:sz w:val="32"/>
          <w:szCs w:val="32"/>
        </w:rPr>
        <w:t>2.</w:t>
      </w:r>
      <w:r>
        <w:rPr>
          <w:rFonts w:hint="eastAsia" w:ascii="仿宋_GB2312" w:hAnsi="仿宋_GB2312" w:eastAsia="仿宋_GB2312" w:cs="Times New Roman"/>
          <w:b/>
          <w:kern w:val="1"/>
          <w:sz w:val="32"/>
          <w:szCs w:val="32"/>
        </w:rPr>
        <w:t>公共安全（类）司法支出（款）</w:t>
      </w:r>
      <w:r>
        <w:rPr>
          <w:rFonts w:hint="eastAsia" w:ascii="仿宋_GB2312" w:hAnsi="仿宋_GB2312" w:eastAsia="仿宋_GB2312" w:cs="Times New Roman"/>
          <w:b/>
          <w:kern w:val="1"/>
          <w:sz w:val="32"/>
          <w:szCs w:val="32"/>
          <w:lang w:eastAsia="zh-CN"/>
        </w:rPr>
        <w:t>一般行政管理事务</w:t>
      </w:r>
      <w:r>
        <w:rPr>
          <w:rFonts w:hint="eastAsia" w:ascii="仿宋_GB2312" w:hAnsi="仿宋_GB2312" w:eastAsia="仿宋_GB2312" w:cs="Times New Roman"/>
          <w:b/>
          <w:kern w:val="1"/>
          <w:sz w:val="32"/>
          <w:szCs w:val="32"/>
        </w:rPr>
        <w:t>（项）</w:t>
      </w:r>
      <w:r>
        <w:rPr>
          <w:rStyle w:val="6"/>
          <w:rFonts w:hint="eastAsia" w:ascii="仿宋_GB2312" w:eastAsia="仿宋_GB2312"/>
          <w:color w:val="000000"/>
          <w:sz w:val="32"/>
          <w:szCs w:val="32"/>
        </w:rPr>
        <w:t>:</w:t>
      </w:r>
      <w:r>
        <w:rPr>
          <w:rStyle w:val="6"/>
          <w:rFonts w:hint="eastAsia" w:ascii="仿宋_GB2312" w:eastAsia="仿宋_GB2312"/>
          <w:b w:val="0"/>
          <w:color w:val="000000"/>
          <w:sz w:val="32"/>
          <w:szCs w:val="32"/>
        </w:rPr>
        <w:t xml:space="preserve"> 支出决算为</w:t>
      </w:r>
      <w:r>
        <w:rPr>
          <w:rStyle w:val="6"/>
          <w:rFonts w:hint="eastAsia" w:ascii="仿宋_GB2312" w:eastAsia="仿宋_GB2312"/>
          <w:b w:val="0"/>
          <w:color w:val="000000"/>
          <w:sz w:val="32"/>
          <w:szCs w:val="32"/>
          <w:lang w:val="en-US" w:eastAsia="zh-CN"/>
        </w:rPr>
        <w:t>59</w:t>
      </w:r>
      <w:r>
        <w:rPr>
          <w:rStyle w:val="6"/>
          <w:rFonts w:hint="eastAsia" w:ascii="仿宋_GB2312" w:eastAsia="仿宋_GB2312"/>
          <w:b w:val="0"/>
          <w:color w:val="000000"/>
          <w:sz w:val="32"/>
          <w:szCs w:val="32"/>
        </w:rPr>
        <w:t>万元，完成预算</w:t>
      </w:r>
      <w:r>
        <w:rPr>
          <w:rStyle w:val="6"/>
          <w:rFonts w:hint="eastAsia" w:ascii="仿宋_GB2312" w:eastAsia="仿宋_GB2312"/>
          <w:b w:val="0"/>
          <w:color w:val="000000"/>
          <w:sz w:val="32"/>
          <w:szCs w:val="32"/>
          <w:lang w:val="en-US" w:eastAsia="zh-CN"/>
        </w:rPr>
        <w:t>100</w:t>
      </w:r>
      <w:r>
        <w:rPr>
          <w:rStyle w:val="6"/>
          <w:rFonts w:hint="eastAsia" w:ascii="仿宋_GB2312" w:eastAsia="仿宋_GB2312"/>
          <w:b w:val="0"/>
          <w:color w:val="000000"/>
          <w:sz w:val="32"/>
          <w:szCs w:val="32"/>
        </w:rPr>
        <w:t>%。</w:t>
      </w:r>
    </w:p>
    <w:p>
      <w:pPr>
        <w:spacing w:line="600" w:lineRule="exact"/>
        <w:ind w:firstLine="643" w:firstLineChars="200"/>
        <w:rPr>
          <w:rFonts w:hint="eastAsia" w:ascii="仿宋_GB2312" w:eastAsia="仿宋_GB2312"/>
          <w:b/>
          <w:color w:val="000000"/>
          <w:sz w:val="32"/>
          <w:szCs w:val="32"/>
        </w:rPr>
      </w:pPr>
      <w:r>
        <w:rPr>
          <w:rStyle w:val="6"/>
          <w:rFonts w:hint="eastAsia" w:ascii="仿宋_GB2312" w:eastAsia="仿宋_GB2312"/>
          <w:color w:val="000000"/>
          <w:sz w:val="32"/>
          <w:szCs w:val="32"/>
        </w:rPr>
        <w:t>3.</w:t>
      </w:r>
      <w:r>
        <w:rPr>
          <w:rFonts w:hint="eastAsia" w:ascii="仿宋_GB2312" w:hAnsi="仿宋_GB2312" w:eastAsia="仿宋_GB2312" w:cs="Times New Roman"/>
          <w:b/>
          <w:kern w:val="1"/>
          <w:sz w:val="32"/>
          <w:szCs w:val="32"/>
        </w:rPr>
        <w:t>公共安全（类）司法支出（款）</w:t>
      </w:r>
      <w:r>
        <w:rPr>
          <w:rFonts w:hint="eastAsia" w:ascii="仿宋_GB2312" w:hAnsi="仿宋_GB2312" w:eastAsia="仿宋_GB2312" w:cs="Times New Roman"/>
          <w:b/>
          <w:kern w:val="1"/>
          <w:sz w:val="32"/>
          <w:szCs w:val="32"/>
          <w:lang w:eastAsia="zh-CN"/>
        </w:rPr>
        <w:t>法律援助</w:t>
      </w:r>
      <w:r>
        <w:rPr>
          <w:rFonts w:hint="eastAsia" w:ascii="仿宋_GB2312" w:hAnsi="仿宋_GB2312" w:eastAsia="仿宋_GB2312" w:cs="Times New Roman"/>
          <w:b/>
          <w:kern w:val="1"/>
          <w:sz w:val="32"/>
          <w:szCs w:val="32"/>
        </w:rPr>
        <w:t>（项）</w:t>
      </w:r>
      <w:r>
        <w:rPr>
          <w:rStyle w:val="6"/>
          <w:rFonts w:hint="eastAsia" w:ascii="仿宋_GB2312" w:eastAsia="仿宋_GB2312"/>
          <w:color w:val="000000"/>
          <w:sz w:val="32"/>
          <w:szCs w:val="32"/>
        </w:rPr>
        <w:t>:</w:t>
      </w:r>
      <w:r>
        <w:rPr>
          <w:rStyle w:val="6"/>
          <w:rFonts w:hint="eastAsia" w:ascii="仿宋_GB2312" w:eastAsia="仿宋_GB2312"/>
          <w:b w:val="0"/>
          <w:color w:val="000000"/>
          <w:sz w:val="32"/>
          <w:szCs w:val="32"/>
        </w:rPr>
        <w:t xml:space="preserve"> 支出决算为</w:t>
      </w:r>
      <w:r>
        <w:rPr>
          <w:rStyle w:val="6"/>
          <w:rFonts w:hint="eastAsia" w:ascii="仿宋_GB2312" w:eastAsia="仿宋_GB2312"/>
          <w:b w:val="0"/>
          <w:color w:val="000000"/>
          <w:sz w:val="32"/>
          <w:szCs w:val="32"/>
          <w:lang w:val="en-US" w:eastAsia="zh-CN"/>
        </w:rPr>
        <w:t>23</w:t>
      </w:r>
      <w:r>
        <w:rPr>
          <w:rStyle w:val="6"/>
          <w:rFonts w:hint="eastAsia" w:ascii="仿宋_GB2312" w:eastAsia="仿宋_GB2312"/>
          <w:b w:val="0"/>
          <w:color w:val="000000"/>
          <w:sz w:val="32"/>
          <w:szCs w:val="32"/>
        </w:rPr>
        <w:t>万元，完成预算</w:t>
      </w:r>
      <w:r>
        <w:rPr>
          <w:rStyle w:val="6"/>
          <w:rFonts w:hint="eastAsia" w:ascii="仿宋_GB2312" w:eastAsia="仿宋_GB2312"/>
          <w:b w:val="0"/>
          <w:color w:val="000000"/>
          <w:sz w:val="32"/>
          <w:szCs w:val="32"/>
          <w:lang w:val="en-US" w:eastAsia="zh-CN"/>
        </w:rPr>
        <w:t>100</w:t>
      </w:r>
      <w:r>
        <w:rPr>
          <w:rStyle w:val="6"/>
          <w:rFonts w:hint="eastAsia" w:ascii="仿宋_GB2312" w:eastAsia="仿宋_GB2312"/>
          <w:b w:val="0"/>
          <w:color w:val="000000"/>
          <w:sz w:val="32"/>
          <w:szCs w:val="32"/>
        </w:rPr>
        <w:t>%。</w:t>
      </w:r>
    </w:p>
    <w:p>
      <w:pPr>
        <w:spacing w:line="600" w:lineRule="exact"/>
        <w:ind w:firstLine="643" w:firstLineChars="200"/>
        <w:rPr>
          <w:rFonts w:hint="eastAsia" w:ascii="仿宋_GB2312" w:eastAsia="仿宋_GB2312"/>
          <w:b/>
          <w:color w:val="000000"/>
          <w:sz w:val="32"/>
          <w:szCs w:val="32"/>
        </w:rPr>
      </w:pPr>
      <w:r>
        <w:rPr>
          <w:rStyle w:val="6"/>
          <w:rFonts w:hint="eastAsia" w:ascii="仿宋_GB2312" w:eastAsia="仿宋_GB2312"/>
          <w:color w:val="000000"/>
          <w:sz w:val="32"/>
          <w:szCs w:val="32"/>
        </w:rPr>
        <w:t>4.</w:t>
      </w:r>
      <w:r>
        <w:rPr>
          <w:rFonts w:hint="eastAsia" w:ascii="仿宋_GB2312" w:hAnsi="仿宋_GB2312" w:eastAsia="仿宋_GB2312" w:cs="Times New Roman"/>
          <w:b/>
          <w:kern w:val="1"/>
          <w:sz w:val="32"/>
          <w:szCs w:val="32"/>
        </w:rPr>
        <w:t>公共安全（类）司法支出（款）</w:t>
      </w:r>
      <w:r>
        <w:rPr>
          <w:rFonts w:hint="eastAsia" w:ascii="仿宋_GB2312" w:hAnsi="仿宋_GB2312" w:eastAsia="仿宋_GB2312" w:cs="Times New Roman"/>
          <w:b/>
          <w:kern w:val="1"/>
          <w:sz w:val="32"/>
          <w:szCs w:val="32"/>
          <w:lang w:eastAsia="zh-CN"/>
        </w:rPr>
        <w:t>其他公共安全支出</w:t>
      </w:r>
      <w:r>
        <w:rPr>
          <w:rFonts w:hint="eastAsia" w:ascii="仿宋_GB2312" w:hAnsi="仿宋_GB2312" w:eastAsia="仿宋_GB2312" w:cs="Times New Roman"/>
          <w:b/>
          <w:kern w:val="1"/>
          <w:sz w:val="32"/>
          <w:szCs w:val="32"/>
        </w:rPr>
        <w:t>（项）</w:t>
      </w:r>
      <w:r>
        <w:rPr>
          <w:rStyle w:val="6"/>
          <w:rFonts w:hint="eastAsia" w:ascii="仿宋_GB2312" w:eastAsia="仿宋_GB2312"/>
          <w:color w:val="000000"/>
          <w:sz w:val="32"/>
          <w:szCs w:val="32"/>
        </w:rPr>
        <w:t>:</w:t>
      </w:r>
      <w:r>
        <w:rPr>
          <w:rStyle w:val="6"/>
          <w:rFonts w:hint="eastAsia" w:ascii="仿宋_GB2312" w:eastAsia="仿宋_GB2312"/>
          <w:b w:val="0"/>
          <w:color w:val="000000"/>
          <w:sz w:val="32"/>
          <w:szCs w:val="32"/>
        </w:rPr>
        <w:t xml:space="preserve"> 支出决算为</w:t>
      </w:r>
      <w:r>
        <w:rPr>
          <w:rStyle w:val="6"/>
          <w:rFonts w:hint="eastAsia" w:ascii="仿宋_GB2312" w:eastAsia="仿宋_GB2312"/>
          <w:b w:val="0"/>
          <w:color w:val="000000"/>
          <w:sz w:val="32"/>
          <w:szCs w:val="32"/>
          <w:lang w:val="en-US" w:eastAsia="zh-CN"/>
        </w:rPr>
        <w:t>0</w:t>
      </w:r>
      <w:r>
        <w:rPr>
          <w:rStyle w:val="6"/>
          <w:rFonts w:hint="eastAsia" w:ascii="仿宋_GB2312" w:eastAsia="仿宋_GB2312"/>
          <w:b w:val="0"/>
          <w:color w:val="000000"/>
          <w:sz w:val="32"/>
          <w:szCs w:val="32"/>
        </w:rPr>
        <w:t>万元，完成预算</w:t>
      </w:r>
      <w:r>
        <w:rPr>
          <w:rStyle w:val="6"/>
          <w:rFonts w:hint="eastAsia" w:ascii="仿宋_GB2312" w:eastAsia="仿宋_GB2312"/>
          <w:b w:val="0"/>
          <w:color w:val="000000"/>
          <w:sz w:val="32"/>
          <w:szCs w:val="32"/>
          <w:lang w:val="en-US" w:eastAsia="zh-CN"/>
        </w:rPr>
        <w:t>-100</w:t>
      </w:r>
      <w:r>
        <w:rPr>
          <w:rStyle w:val="6"/>
          <w:rFonts w:hint="eastAsia" w:ascii="仿宋_GB2312" w:eastAsia="仿宋_GB2312"/>
          <w:b w:val="0"/>
          <w:color w:val="000000"/>
          <w:sz w:val="32"/>
          <w:szCs w:val="32"/>
        </w:rPr>
        <w:t>%，决算数小于预算数的主要原因是</w:t>
      </w:r>
      <w:r>
        <w:rPr>
          <w:rStyle w:val="6"/>
          <w:rFonts w:hint="eastAsia" w:ascii="仿宋_GB2312" w:eastAsia="仿宋_GB2312"/>
          <w:b w:val="0"/>
          <w:color w:val="000000"/>
          <w:sz w:val="32"/>
          <w:szCs w:val="32"/>
          <w:lang w:eastAsia="zh-CN"/>
        </w:rPr>
        <w:t>该资金用于白塔司法所建设，因没有验收付款，所以该资金没有使用</w:t>
      </w:r>
      <w:r>
        <w:rPr>
          <w:rStyle w:val="6"/>
          <w:rFonts w:hint="eastAsia" w:ascii="仿宋_GB2312" w:eastAsia="仿宋_GB2312"/>
          <w:b w:val="0"/>
          <w:color w:val="000000"/>
          <w:sz w:val="32"/>
          <w:szCs w:val="32"/>
        </w:rPr>
        <w:t>。</w:t>
      </w:r>
    </w:p>
    <w:p>
      <w:pPr>
        <w:spacing w:line="600" w:lineRule="exact"/>
        <w:ind w:firstLine="643" w:firstLineChars="200"/>
        <w:rPr>
          <w:rFonts w:hint="eastAsia" w:ascii="仿宋_GB2312" w:eastAsia="仿宋_GB2312"/>
          <w:b/>
          <w:color w:val="000000"/>
          <w:sz w:val="32"/>
          <w:szCs w:val="32"/>
        </w:rPr>
      </w:pPr>
      <w:r>
        <w:rPr>
          <w:rStyle w:val="6"/>
          <w:rFonts w:hint="eastAsia" w:ascii="仿宋_GB2312" w:eastAsia="仿宋_GB2312"/>
          <w:color w:val="000000"/>
          <w:sz w:val="32"/>
          <w:szCs w:val="32"/>
        </w:rPr>
        <w:t>5.</w:t>
      </w:r>
      <w:r>
        <w:rPr>
          <w:rFonts w:hint="eastAsia" w:ascii="仿宋_GB2312" w:hAnsi="仿宋_GB2312" w:eastAsia="仿宋_GB2312" w:cs="Times New Roman"/>
          <w:b/>
          <w:kern w:val="1"/>
          <w:sz w:val="32"/>
          <w:szCs w:val="32"/>
        </w:rPr>
        <w:t>社会保障和就业支出（类）行政事业单位离退休（款）</w:t>
      </w:r>
      <w:r>
        <w:rPr>
          <w:rFonts w:ascii="仿宋_GB2312" w:hAnsi="仿宋_GB2312" w:eastAsia="仿宋_GB2312" w:cs="Times New Roman"/>
          <w:b/>
          <w:kern w:val="1"/>
          <w:sz w:val="32"/>
          <w:szCs w:val="32"/>
        </w:rPr>
        <w:t>未归口管理的行政单位离退休</w:t>
      </w:r>
      <w:r>
        <w:rPr>
          <w:rFonts w:hint="eastAsia" w:ascii="仿宋_GB2312" w:hAnsi="仿宋_GB2312" w:eastAsia="仿宋_GB2312" w:cs="Times New Roman"/>
          <w:b/>
          <w:kern w:val="1"/>
          <w:sz w:val="32"/>
          <w:szCs w:val="32"/>
        </w:rPr>
        <w:t>（项）</w:t>
      </w:r>
      <w:r>
        <w:rPr>
          <w:rStyle w:val="6"/>
          <w:rFonts w:hint="eastAsia" w:ascii="仿宋_GB2312" w:eastAsia="仿宋_GB2312"/>
          <w:color w:val="000000"/>
          <w:sz w:val="32"/>
          <w:szCs w:val="32"/>
        </w:rPr>
        <w:t>:</w:t>
      </w:r>
      <w:r>
        <w:rPr>
          <w:rStyle w:val="6"/>
          <w:rFonts w:hint="eastAsia" w:ascii="仿宋_GB2312" w:eastAsia="仿宋_GB2312"/>
          <w:b w:val="0"/>
          <w:color w:val="000000"/>
          <w:sz w:val="32"/>
          <w:szCs w:val="32"/>
        </w:rPr>
        <w:t xml:space="preserve"> 支出决算为</w:t>
      </w:r>
      <w:r>
        <w:rPr>
          <w:rStyle w:val="6"/>
          <w:rFonts w:hint="eastAsia" w:ascii="仿宋_GB2312" w:eastAsia="仿宋_GB2312"/>
          <w:b w:val="0"/>
          <w:color w:val="000000"/>
          <w:sz w:val="32"/>
          <w:szCs w:val="32"/>
          <w:lang w:val="en-US" w:eastAsia="zh-CN"/>
        </w:rPr>
        <w:t>20</w:t>
      </w:r>
      <w:r>
        <w:rPr>
          <w:rStyle w:val="6"/>
          <w:rFonts w:hint="eastAsia" w:ascii="仿宋_GB2312" w:eastAsia="仿宋_GB2312"/>
          <w:b w:val="0"/>
          <w:color w:val="000000"/>
          <w:sz w:val="32"/>
          <w:szCs w:val="32"/>
        </w:rPr>
        <w:t>万元，完成预算</w:t>
      </w:r>
      <w:r>
        <w:rPr>
          <w:rStyle w:val="6"/>
          <w:rFonts w:hint="eastAsia" w:ascii="仿宋_GB2312" w:eastAsia="仿宋_GB2312"/>
          <w:b w:val="0"/>
          <w:color w:val="000000"/>
          <w:sz w:val="32"/>
          <w:szCs w:val="32"/>
          <w:lang w:val="en-US" w:eastAsia="zh-CN"/>
        </w:rPr>
        <w:t>100</w:t>
      </w:r>
      <w:r>
        <w:rPr>
          <w:rStyle w:val="6"/>
          <w:rFonts w:hint="eastAsia" w:ascii="仿宋_GB2312" w:eastAsia="仿宋_GB2312"/>
          <w:b w:val="0"/>
          <w:color w:val="000000"/>
          <w:sz w:val="32"/>
          <w:szCs w:val="32"/>
        </w:rPr>
        <w:t>%。</w:t>
      </w:r>
    </w:p>
    <w:p>
      <w:pPr>
        <w:spacing w:line="600" w:lineRule="exact"/>
        <w:ind w:firstLine="643" w:firstLineChars="200"/>
        <w:rPr>
          <w:rFonts w:hint="eastAsia" w:ascii="仿宋_GB2312" w:eastAsia="仿宋_GB2312"/>
          <w:b/>
          <w:color w:val="000000"/>
          <w:sz w:val="32"/>
          <w:szCs w:val="32"/>
        </w:rPr>
      </w:pPr>
      <w:r>
        <w:rPr>
          <w:rStyle w:val="6"/>
          <w:rFonts w:hint="eastAsia" w:ascii="仿宋_GB2312" w:eastAsia="仿宋_GB2312"/>
          <w:color w:val="000000"/>
          <w:sz w:val="32"/>
          <w:szCs w:val="32"/>
        </w:rPr>
        <w:t>6.</w:t>
      </w:r>
      <w:r>
        <w:rPr>
          <w:rFonts w:hint="eastAsia" w:ascii="仿宋_GB2312" w:hAnsi="仿宋_GB2312" w:eastAsia="仿宋_GB2312" w:cs="Times New Roman"/>
          <w:b/>
          <w:kern w:val="1"/>
          <w:sz w:val="32"/>
          <w:szCs w:val="32"/>
        </w:rPr>
        <w:t>社会保障和就业支出（类）行政事业单位离退休（款）</w:t>
      </w:r>
      <w:r>
        <w:rPr>
          <w:rFonts w:hint="eastAsia" w:ascii="仿宋_GB2312" w:hAnsi="仿宋_GB2312" w:eastAsia="仿宋_GB2312" w:cs="Times New Roman"/>
          <w:b/>
          <w:kern w:val="1"/>
          <w:sz w:val="32"/>
          <w:szCs w:val="32"/>
          <w:lang w:eastAsia="zh-CN"/>
        </w:rPr>
        <w:t>机关事业单位基本养老保险缴费支出</w:t>
      </w:r>
      <w:r>
        <w:rPr>
          <w:rFonts w:hint="eastAsia" w:ascii="仿宋_GB2312" w:hAnsi="仿宋_GB2312" w:eastAsia="仿宋_GB2312" w:cs="Times New Roman"/>
          <w:b/>
          <w:kern w:val="1"/>
          <w:sz w:val="32"/>
          <w:szCs w:val="32"/>
        </w:rPr>
        <w:t>（项）</w:t>
      </w:r>
      <w:r>
        <w:rPr>
          <w:rStyle w:val="6"/>
          <w:rFonts w:hint="eastAsia" w:ascii="仿宋_GB2312" w:eastAsia="仿宋_GB2312"/>
          <w:color w:val="000000"/>
          <w:sz w:val="32"/>
          <w:szCs w:val="32"/>
        </w:rPr>
        <w:t>:</w:t>
      </w:r>
      <w:r>
        <w:rPr>
          <w:rStyle w:val="6"/>
          <w:rFonts w:hint="eastAsia" w:ascii="仿宋_GB2312" w:eastAsia="仿宋_GB2312"/>
          <w:b w:val="0"/>
          <w:color w:val="000000"/>
          <w:sz w:val="32"/>
          <w:szCs w:val="32"/>
        </w:rPr>
        <w:t>支出决算为</w:t>
      </w:r>
      <w:r>
        <w:rPr>
          <w:rStyle w:val="6"/>
          <w:rFonts w:hint="eastAsia" w:ascii="仿宋_GB2312" w:eastAsia="仿宋_GB2312"/>
          <w:b w:val="0"/>
          <w:color w:val="000000"/>
          <w:sz w:val="32"/>
          <w:szCs w:val="32"/>
          <w:lang w:val="en-US" w:eastAsia="zh-CN"/>
        </w:rPr>
        <w:t>86.82</w:t>
      </w:r>
      <w:r>
        <w:rPr>
          <w:rStyle w:val="6"/>
          <w:rFonts w:hint="eastAsia" w:ascii="仿宋_GB2312" w:eastAsia="仿宋_GB2312"/>
          <w:b w:val="0"/>
          <w:color w:val="000000"/>
          <w:sz w:val="32"/>
          <w:szCs w:val="32"/>
        </w:rPr>
        <w:t>万元，完成预算</w:t>
      </w:r>
      <w:r>
        <w:rPr>
          <w:rStyle w:val="6"/>
          <w:rFonts w:hint="eastAsia" w:ascii="仿宋_GB2312" w:eastAsia="仿宋_GB2312"/>
          <w:b w:val="0"/>
          <w:color w:val="000000"/>
          <w:sz w:val="32"/>
          <w:szCs w:val="32"/>
          <w:lang w:val="en-US" w:eastAsia="zh-CN"/>
        </w:rPr>
        <w:t>100</w:t>
      </w:r>
      <w:r>
        <w:rPr>
          <w:rStyle w:val="6"/>
          <w:rFonts w:hint="eastAsia" w:ascii="仿宋_GB2312" w:eastAsia="仿宋_GB2312"/>
          <w:b w:val="0"/>
          <w:color w:val="000000"/>
          <w:sz w:val="32"/>
          <w:szCs w:val="32"/>
        </w:rPr>
        <w:t>%。</w:t>
      </w:r>
    </w:p>
    <w:p>
      <w:pPr>
        <w:spacing w:line="600" w:lineRule="exact"/>
        <w:ind w:firstLine="643" w:firstLineChars="200"/>
        <w:rPr>
          <w:rFonts w:hint="eastAsia" w:ascii="仿宋_GB2312" w:eastAsia="仿宋_GB2312"/>
          <w:b/>
          <w:color w:val="000000"/>
          <w:sz w:val="32"/>
          <w:szCs w:val="32"/>
        </w:rPr>
      </w:pPr>
      <w:r>
        <w:rPr>
          <w:rStyle w:val="6"/>
          <w:rFonts w:hint="eastAsia" w:ascii="仿宋_GB2312" w:eastAsia="仿宋_GB2312"/>
          <w:color w:val="000000"/>
          <w:sz w:val="32"/>
          <w:szCs w:val="32"/>
          <w:lang w:val="en-US" w:eastAsia="zh-CN"/>
        </w:rPr>
        <w:t>7</w:t>
      </w:r>
      <w:r>
        <w:rPr>
          <w:rStyle w:val="6"/>
          <w:rFonts w:hint="eastAsia" w:ascii="仿宋_GB2312" w:eastAsia="仿宋_GB2312"/>
          <w:color w:val="000000"/>
          <w:sz w:val="32"/>
          <w:szCs w:val="32"/>
        </w:rPr>
        <w:t>.</w:t>
      </w:r>
      <w:r>
        <w:rPr>
          <w:rFonts w:hint="eastAsia" w:ascii="仿宋_GB2312" w:hAnsi="仿宋_GB2312" w:eastAsia="仿宋_GB2312" w:cs="Times New Roman"/>
          <w:b/>
          <w:kern w:val="1"/>
          <w:sz w:val="32"/>
          <w:szCs w:val="32"/>
        </w:rPr>
        <w:t>社会保障和就业支出（类）</w:t>
      </w:r>
      <w:r>
        <w:rPr>
          <w:rFonts w:hint="eastAsia" w:ascii="仿宋_GB2312" w:hAnsi="仿宋_GB2312" w:eastAsia="仿宋_GB2312" w:cs="Times New Roman"/>
          <w:b/>
          <w:kern w:val="1"/>
          <w:sz w:val="32"/>
          <w:szCs w:val="32"/>
          <w:lang w:eastAsia="zh-CN"/>
        </w:rPr>
        <w:t>抚恤</w:t>
      </w:r>
      <w:r>
        <w:rPr>
          <w:rFonts w:hint="eastAsia" w:ascii="仿宋_GB2312" w:hAnsi="仿宋_GB2312" w:eastAsia="仿宋_GB2312" w:cs="Times New Roman"/>
          <w:b/>
          <w:kern w:val="1"/>
          <w:sz w:val="32"/>
          <w:szCs w:val="32"/>
        </w:rPr>
        <w:t>（款）</w:t>
      </w:r>
      <w:r>
        <w:rPr>
          <w:rFonts w:hint="eastAsia" w:ascii="仿宋_GB2312" w:hAnsi="仿宋_GB2312" w:eastAsia="仿宋_GB2312" w:cs="Times New Roman"/>
          <w:b/>
          <w:kern w:val="1"/>
          <w:sz w:val="32"/>
          <w:szCs w:val="32"/>
          <w:lang w:eastAsia="zh-CN"/>
        </w:rPr>
        <w:t>死亡抚恤</w:t>
      </w:r>
      <w:r>
        <w:rPr>
          <w:rFonts w:hint="eastAsia" w:ascii="仿宋_GB2312" w:hAnsi="仿宋_GB2312" w:eastAsia="仿宋_GB2312" w:cs="Times New Roman"/>
          <w:b/>
          <w:kern w:val="1"/>
          <w:sz w:val="32"/>
          <w:szCs w:val="32"/>
        </w:rPr>
        <w:t>（项）</w:t>
      </w:r>
      <w:r>
        <w:rPr>
          <w:rFonts w:hint="eastAsia" w:ascii="仿宋_GB2312" w:hAnsi="仿宋_GB2312" w:eastAsia="仿宋_GB2312" w:cs="Times New Roman"/>
          <w:b/>
          <w:kern w:val="1"/>
          <w:sz w:val="32"/>
          <w:szCs w:val="32"/>
          <w:lang w:eastAsia="zh-CN"/>
        </w:rPr>
        <w:t>：</w:t>
      </w:r>
      <w:r>
        <w:rPr>
          <w:rStyle w:val="6"/>
          <w:rFonts w:hint="eastAsia" w:ascii="仿宋_GB2312" w:eastAsia="仿宋_GB2312"/>
          <w:b w:val="0"/>
          <w:color w:val="000000"/>
          <w:sz w:val="32"/>
          <w:szCs w:val="32"/>
        </w:rPr>
        <w:t>支出决算为</w:t>
      </w:r>
      <w:r>
        <w:rPr>
          <w:rStyle w:val="6"/>
          <w:rFonts w:hint="eastAsia" w:ascii="仿宋_GB2312" w:eastAsia="仿宋_GB2312"/>
          <w:b w:val="0"/>
          <w:color w:val="000000"/>
          <w:sz w:val="32"/>
          <w:szCs w:val="32"/>
          <w:lang w:val="en-US" w:eastAsia="zh-CN"/>
        </w:rPr>
        <w:t>14.67</w:t>
      </w:r>
      <w:r>
        <w:rPr>
          <w:rStyle w:val="6"/>
          <w:rFonts w:hint="eastAsia" w:ascii="仿宋_GB2312" w:eastAsia="仿宋_GB2312"/>
          <w:b w:val="0"/>
          <w:color w:val="000000"/>
          <w:sz w:val="32"/>
          <w:szCs w:val="32"/>
        </w:rPr>
        <w:t>万元，完成预算</w:t>
      </w:r>
      <w:r>
        <w:rPr>
          <w:rStyle w:val="6"/>
          <w:rFonts w:hint="eastAsia" w:ascii="仿宋_GB2312" w:eastAsia="仿宋_GB2312"/>
          <w:b w:val="0"/>
          <w:color w:val="000000"/>
          <w:sz w:val="32"/>
          <w:szCs w:val="32"/>
          <w:lang w:val="en-US" w:eastAsia="zh-CN"/>
        </w:rPr>
        <w:t>100</w:t>
      </w:r>
      <w:r>
        <w:rPr>
          <w:rStyle w:val="6"/>
          <w:rFonts w:hint="eastAsia" w:ascii="仿宋_GB2312" w:eastAsia="仿宋_GB2312"/>
          <w:b w:val="0"/>
          <w:color w:val="000000"/>
          <w:sz w:val="32"/>
          <w:szCs w:val="32"/>
        </w:rPr>
        <w:t>%。</w:t>
      </w:r>
    </w:p>
    <w:p>
      <w:pPr>
        <w:spacing w:line="600" w:lineRule="exact"/>
        <w:ind w:firstLine="643" w:firstLineChars="200"/>
        <w:rPr>
          <w:rFonts w:hint="eastAsia" w:ascii="仿宋_GB2312" w:eastAsia="仿宋_GB2312"/>
          <w:b/>
          <w:color w:val="000000"/>
          <w:sz w:val="32"/>
          <w:szCs w:val="32"/>
        </w:rPr>
      </w:pPr>
      <w:r>
        <w:rPr>
          <w:rFonts w:hint="eastAsia" w:ascii="仿宋_GB2312" w:hAnsi="仿宋_GB2312" w:eastAsia="仿宋_GB2312" w:cs="Times New Roman"/>
          <w:b/>
          <w:kern w:val="1"/>
          <w:sz w:val="32"/>
          <w:szCs w:val="32"/>
          <w:lang w:val="en-US" w:eastAsia="zh-CN"/>
        </w:rPr>
        <w:t>8</w:t>
      </w:r>
      <w:r>
        <w:rPr>
          <w:rFonts w:hint="eastAsia" w:ascii="仿宋_GB2312" w:hAnsi="仿宋_GB2312" w:eastAsia="仿宋_GB2312" w:cs="Times New Roman"/>
          <w:b/>
          <w:kern w:val="1"/>
          <w:sz w:val="32"/>
          <w:szCs w:val="32"/>
        </w:rPr>
        <w:t>.住房保障支出（类）住房改革支出（款）住房公积金（项）</w:t>
      </w:r>
      <w:r>
        <w:rPr>
          <w:rStyle w:val="6"/>
          <w:rFonts w:hint="eastAsia" w:ascii="仿宋_GB2312" w:eastAsia="仿宋_GB2312"/>
          <w:color w:val="000000"/>
          <w:sz w:val="32"/>
          <w:szCs w:val="32"/>
        </w:rPr>
        <w:t>:</w:t>
      </w:r>
      <w:r>
        <w:rPr>
          <w:rStyle w:val="6"/>
          <w:rFonts w:hint="eastAsia" w:ascii="仿宋_GB2312" w:eastAsia="仿宋_GB2312"/>
          <w:b w:val="0"/>
          <w:color w:val="000000"/>
          <w:sz w:val="32"/>
          <w:szCs w:val="32"/>
        </w:rPr>
        <w:t>支出决算为</w:t>
      </w:r>
      <w:r>
        <w:rPr>
          <w:rStyle w:val="6"/>
          <w:rFonts w:hint="eastAsia" w:ascii="仿宋_GB2312" w:eastAsia="仿宋_GB2312"/>
          <w:b w:val="0"/>
          <w:color w:val="000000"/>
          <w:sz w:val="32"/>
          <w:szCs w:val="32"/>
          <w:lang w:val="en-US" w:eastAsia="zh-CN"/>
        </w:rPr>
        <w:t>52.09</w:t>
      </w:r>
      <w:r>
        <w:rPr>
          <w:rStyle w:val="6"/>
          <w:rFonts w:hint="eastAsia" w:ascii="仿宋_GB2312" w:eastAsia="仿宋_GB2312"/>
          <w:b w:val="0"/>
          <w:color w:val="000000"/>
          <w:sz w:val="32"/>
          <w:szCs w:val="32"/>
        </w:rPr>
        <w:t>万元，完成预算</w:t>
      </w:r>
      <w:r>
        <w:rPr>
          <w:rStyle w:val="6"/>
          <w:rFonts w:hint="eastAsia" w:ascii="仿宋_GB2312" w:eastAsia="仿宋_GB2312"/>
          <w:b w:val="0"/>
          <w:color w:val="000000"/>
          <w:sz w:val="32"/>
          <w:szCs w:val="32"/>
          <w:lang w:val="en-US" w:eastAsia="zh-CN"/>
        </w:rPr>
        <w:t>100</w:t>
      </w:r>
      <w:r>
        <w:rPr>
          <w:rStyle w:val="6"/>
          <w:rFonts w:hint="eastAsia" w:ascii="仿宋_GB2312" w:eastAsia="仿宋_GB2312"/>
          <w:b w:val="0"/>
          <w:color w:val="000000"/>
          <w:sz w:val="32"/>
          <w:szCs w:val="32"/>
        </w:rPr>
        <w:t>%。</w:t>
      </w:r>
    </w:p>
    <w:p>
      <w:pPr>
        <w:spacing w:line="600" w:lineRule="exact"/>
        <w:ind w:firstLine="640"/>
        <w:rPr>
          <w:rFonts w:hint="eastAsia" w:ascii="黑体" w:eastAsia="黑体"/>
          <w:color w:val="000000"/>
          <w:sz w:val="32"/>
          <w:szCs w:val="32"/>
        </w:rPr>
      </w:pPr>
      <w:r>
        <w:rPr>
          <w:rFonts w:hint="eastAsia" w:ascii="黑体" w:eastAsia="黑体"/>
          <w:color w:val="000000"/>
          <w:sz w:val="32"/>
          <w:szCs w:val="32"/>
        </w:rPr>
        <w:t>六、一般公共预算财政拨款基本支出决算情况说明</w:t>
      </w:r>
    </w:p>
    <w:p>
      <w:pPr>
        <w:spacing w:line="60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2017年度一般公共预算财政拨款基本支出</w:t>
      </w:r>
      <w:r>
        <w:rPr>
          <w:rFonts w:hint="eastAsia" w:ascii="仿宋_GB2312" w:eastAsia="仿宋_GB2312"/>
          <w:color w:val="000000"/>
          <w:sz w:val="32"/>
          <w:szCs w:val="32"/>
          <w:lang w:val="en-US" w:eastAsia="zh-CN"/>
        </w:rPr>
        <w:t>1222.86</w:t>
      </w:r>
      <w:r>
        <w:rPr>
          <w:rFonts w:hint="eastAsia" w:ascii="仿宋_GB2312" w:eastAsia="仿宋_GB2312"/>
          <w:color w:val="000000"/>
          <w:sz w:val="32"/>
          <w:szCs w:val="32"/>
        </w:rPr>
        <w:t>万元，其中：</w:t>
      </w:r>
    </w:p>
    <w:p>
      <w:pPr>
        <w:spacing w:line="60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人员经费</w:t>
      </w:r>
      <w:r>
        <w:rPr>
          <w:rFonts w:hint="eastAsia" w:ascii="仿宋_GB2312" w:eastAsia="仿宋_GB2312"/>
          <w:color w:val="000000"/>
          <w:sz w:val="32"/>
          <w:szCs w:val="32"/>
          <w:lang w:val="en-US" w:eastAsia="zh-CN"/>
        </w:rPr>
        <w:t>807.3</w:t>
      </w:r>
      <w:r>
        <w:rPr>
          <w:rFonts w:hint="eastAsia" w:ascii="仿宋_GB2312" w:eastAsia="仿宋_GB2312"/>
          <w:color w:val="000000"/>
          <w:sz w:val="32"/>
          <w:szCs w:val="32"/>
        </w:rPr>
        <w:t>万元，主要包括：基本工资</w:t>
      </w:r>
      <w:r>
        <w:rPr>
          <w:rFonts w:hint="eastAsia" w:ascii="仿宋_GB2312" w:eastAsia="仿宋_GB2312"/>
          <w:color w:val="000000"/>
          <w:sz w:val="32"/>
          <w:szCs w:val="32"/>
          <w:lang w:val="en-US" w:eastAsia="zh-CN"/>
        </w:rPr>
        <w:t>214.34万元</w:t>
      </w:r>
      <w:r>
        <w:rPr>
          <w:rFonts w:hint="eastAsia" w:ascii="仿宋_GB2312" w:eastAsia="仿宋_GB2312"/>
          <w:color w:val="000000"/>
          <w:sz w:val="32"/>
          <w:szCs w:val="32"/>
        </w:rPr>
        <w:t>、津贴补贴</w:t>
      </w:r>
      <w:r>
        <w:rPr>
          <w:rFonts w:hint="eastAsia" w:ascii="仿宋_GB2312" w:eastAsia="仿宋_GB2312"/>
          <w:color w:val="000000"/>
          <w:sz w:val="32"/>
          <w:szCs w:val="32"/>
          <w:lang w:val="en-US" w:eastAsia="zh-CN"/>
        </w:rPr>
        <w:t>236.31万元</w:t>
      </w:r>
      <w:r>
        <w:rPr>
          <w:rFonts w:hint="eastAsia" w:ascii="仿宋_GB2312" w:eastAsia="仿宋_GB2312"/>
          <w:color w:val="000000"/>
          <w:sz w:val="32"/>
          <w:szCs w:val="32"/>
        </w:rPr>
        <w:t>、奖金</w:t>
      </w:r>
      <w:r>
        <w:rPr>
          <w:rFonts w:hint="eastAsia" w:ascii="仿宋_GB2312" w:eastAsia="仿宋_GB2312"/>
          <w:color w:val="000000"/>
          <w:sz w:val="32"/>
          <w:szCs w:val="32"/>
          <w:lang w:val="en-US" w:eastAsia="zh-CN"/>
        </w:rPr>
        <w:t>69.84万元</w:t>
      </w:r>
      <w:r>
        <w:rPr>
          <w:rFonts w:hint="eastAsia" w:ascii="仿宋_GB2312" w:eastAsia="仿宋_GB2312"/>
          <w:color w:val="000000"/>
          <w:sz w:val="32"/>
          <w:szCs w:val="32"/>
        </w:rPr>
        <w:t>、伙食补助费</w:t>
      </w:r>
      <w:r>
        <w:rPr>
          <w:rFonts w:hint="eastAsia" w:ascii="仿宋_GB2312" w:eastAsia="仿宋_GB2312"/>
          <w:color w:val="000000"/>
          <w:sz w:val="32"/>
          <w:szCs w:val="32"/>
          <w:lang w:val="en-US" w:eastAsia="zh-CN"/>
        </w:rPr>
        <w:t>11.94万元</w:t>
      </w:r>
      <w:r>
        <w:rPr>
          <w:rFonts w:hint="eastAsia" w:ascii="仿宋_GB2312" w:eastAsia="仿宋_GB2312"/>
          <w:color w:val="000000"/>
          <w:sz w:val="32"/>
          <w:szCs w:val="32"/>
        </w:rPr>
        <w:t>、绩效工资</w:t>
      </w:r>
      <w:r>
        <w:rPr>
          <w:rFonts w:hint="eastAsia" w:ascii="仿宋_GB2312" w:eastAsia="仿宋_GB2312"/>
          <w:color w:val="000000"/>
          <w:sz w:val="32"/>
          <w:szCs w:val="32"/>
          <w:lang w:val="en-US" w:eastAsia="zh-CN"/>
        </w:rPr>
        <w:t>7.36万元</w:t>
      </w:r>
      <w:r>
        <w:rPr>
          <w:rFonts w:hint="eastAsia" w:ascii="仿宋_GB2312" w:eastAsia="仿宋_GB2312"/>
          <w:color w:val="000000"/>
          <w:sz w:val="32"/>
          <w:szCs w:val="32"/>
        </w:rPr>
        <w:t>、机关事业单位基本养老保险缴费</w:t>
      </w:r>
      <w:r>
        <w:rPr>
          <w:rFonts w:hint="eastAsia" w:ascii="仿宋_GB2312" w:eastAsia="仿宋_GB2312"/>
          <w:color w:val="000000"/>
          <w:sz w:val="32"/>
          <w:szCs w:val="32"/>
          <w:lang w:val="en-US" w:eastAsia="zh-CN"/>
        </w:rPr>
        <w:t>89.6万元</w:t>
      </w:r>
      <w:r>
        <w:rPr>
          <w:rFonts w:hint="eastAsia" w:ascii="仿宋_GB2312" w:eastAsia="仿宋_GB2312"/>
          <w:color w:val="000000"/>
          <w:sz w:val="32"/>
          <w:szCs w:val="32"/>
        </w:rPr>
        <w:t>、职业年金缴费</w:t>
      </w:r>
      <w:r>
        <w:rPr>
          <w:rFonts w:hint="eastAsia" w:ascii="仿宋_GB2312" w:eastAsia="仿宋_GB2312"/>
          <w:color w:val="000000"/>
          <w:sz w:val="32"/>
          <w:szCs w:val="32"/>
          <w:lang w:val="en-US" w:eastAsia="zh-CN"/>
        </w:rPr>
        <w:t>0万元</w:t>
      </w:r>
      <w:r>
        <w:rPr>
          <w:rFonts w:hint="eastAsia" w:ascii="仿宋_GB2312" w:eastAsia="仿宋_GB2312"/>
          <w:color w:val="000000"/>
          <w:sz w:val="32"/>
          <w:szCs w:val="32"/>
        </w:rPr>
        <w:t>、其他社会保障缴费</w:t>
      </w:r>
      <w:r>
        <w:rPr>
          <w:rFonts w:hint="eastAsia" w:ascii="仿宋_GB2312" w:eastAsia="仿宋_GB2312"/>
          <w:color w:val="000000"/>
          <w:sz w:val="32"/>
          <w:szCs w:val="32"/>
          <w:lang w:val="en-US" w:eastAsia="zh-CN"/>
        </w:rPr>
        <w:t>0万元</w:t>
      </w:r>
      <w:r>
        <w:rPr>
          <w:rFonts w:hint="eastAsia" w:ascii="仿宋_GB2312" w:eastAsia="仿宋_GB2312"/>
          <w:color w:val="000000"/>
          <w:sz w:val="32"/>
          <w:szCs w:val="32"/>
        </w:rPr>
        <w:t>、其他工资福利支出</w:t>
      </w:r>
      <w:r>
        <w:rPr>
          <w:rFonts w:hint="eastAsia" w:ascii="仿宋_GB2312" w:eastAsia="仿宋_GB2312"/>
          <w:color w:val="000000"/>
          <w:sz w:val="32"/>
          <w:szCs w:val="32"/>
          <w:lang w:val="en-US" w:eastAsia="zh-CN"/>
        </w:rPr>
        <w:t>86.88万元</w:t>
      </w:r>
      <w:r>
        <w:rPr>
          <w:rFonts w:hint="eastAsia" w:ascii="仿宋_GB2312" w:eastAsia="仿宋_GB2312"/>
          <w:color w:val="000000"/>
          <w:sz w:val="32"/>
          <w:szCs w:val="32"/>
        </w:rPr>
        <w:t>、离休费</w:t>
      </w:r>
      <w:r>
        <w:rPr>
          <w:rFonts w:hint="eastAsia" w:ascii="仿宋_GB2312" w:eastAsia="仿宋_GB2312"/>
          <w:color w:val="000000"/>
          <w:sz w:val="32"/>
          <w:szCs w:val="32"/>
          <w:lang w:val="en-US" w:eastAsia="zh-CN"/>
        </w:rPr>
        <w:t>0万元</w:t>
      </w:r>
      <w:r>
        <w:rPr>
          <w:rFonts w:hint="eastAsia" w:ascii="仿宋_GB2312" w:eastAsia="仿宋_GB2312"/>
          <w:color w:val="000000"/>
          <w:sz w:val="32"/>
          <w:szCs w:val="32"/>
        </w:rPr>
        <w:t>、退休费</w:t>
      </w:r>
      <w:r>
        <w:rPr>
          <w:rFonts w:hint="eastAsia" w:ascii="仿宋_GB2312" w:eastAsia="仿宋_GB2312"/>
          <w:color w:val="000000"/>
          <w:sz w:val="32"/>
          <w:szCs w:val="32"/>
          <w:lang w:val="en-US" w:eastAsia="zh-CN"/>
        </w:rPr>
        <w:t>0万元</w:t>
      </w:r>
      <w:r>
        <w:rPr>
          <w:rFonts w:hint="eastAsia" w:ascii="仿宋_GB2312" w:eastAsia="仿宋_GB2312"/>
          <w:color w:val="000000"/>
          <w:sz w:val="32"/>
          <w:szCs w:val="32"/>
        </w:rPr>
        <w:t>、抚恤金</w:t>
      </w:r>
      <w:r>
        <w:rPr>
          <w:rFonts w:hint="eastAsia" w:ascii="仿宋_GB2312" w:eastAsia="仿宋_GB2312"/>
          <w:color w:val="000000"/>
          <w:sz w:val="32"/>
          <w:szCs w:val="32"/>
          <w:lang w:val="en-US" w:eastAsia="zh-CN"/>
        </w:rPr>
        <w:t>14.67万元</w:t>
      </w:r>
      <w:r>
        <w:rPr>
          <w:rFonts w:hint="eastAsia" w:ascii="仿宋_GB2312" w:eastAsia="仿宋_GB2312"/>
          <w:color w:val="000000"/>
          <w:sz w:val="32"/>
          <w:szCs w:val="32"/>
        </w:rPr>
        <w:t>、生活补助</w:t>
      </w:r>
      <w:r>
        <w:rPr>
          <w:rFonts w:hint="eastAsia" w:ascii="仿宋_GB2312" w:eastAsia="仿宋_GB2312"/>
          <w:color w:val="000000"/>
          <w:sz w:val="32"/>
          <w:szCs w:val="32"/>
          <w:lang w:val="en-US" w:eastAsia="zh-CN"/>
        </w:rPr>
        <w:t>0.87万元</w:t>
      </w:r>
      <w:r>
        <w:rPr>
          <w:rFonts w:hint="eastAsia" w:ascii="仿宋_GB2312" w:eastAsia="仿宋_GB2312"/>
          <w:color w:val="000000"/>
          <w:sz w:val="32"/>
          <w:szCs w:val="32"/>
        </w:rPr>
        <w:t>、医疗费</w:t>
      </w:r>
      <w:r>
        <w:rPr>
          <w:rFonts w:hint="eastAsia" w:ascii="仿宋_GB2312" w:eastAsia="仿宋_GB2312"/>
          <w:color w:val="000000"/>
          <w:sz w:val="32"/>
          <w:szCs w:val="32"/>
          <w:lang w:val="en-US" w:eastAsia="zh-CN"/>
        </w:rPr>
        <w:t>2.94万元</w:t>
      </w:r>
      <w:r>
        <w:rPr>
          <w:rFonts w:hint="eastAsia" w:ascii="仿宋_GB2312" w:eastAsia="仿宋_GB2312"/>
          <w:color w:val="000000"/>
          <w:sz w:val="32"/>
          <w:szCs w:val="32"/>
        </w:rPr>
        <w:t>、奖励金</w:t>
      </w:r>
      <w:r>
        <w:rPr>
          <w:rFonts w:hint="eastAsia" w:ascii="仿宋_GB2312" w:eastAsia="仿宋_GB2312"/>
          <w:color w:val="000000"/>
          <w:sz w:val="32"/>
          <w:szCs w:val="32"/>
          <w:lang w:val="en-US" w:eastAsia="zh-CN"/>
        </w:rPr>
        <w:t>20万元</w:t>
      </w:r>
      <w:r>
        <w:rPr>
          <w:rFonts w:hint="eastAsia" w:ascii="仿宋_GB2312" w:eastAsia="仿宋_GB2312"/>
          <w:color w:val="000000"/>
          <w:sz w:val="32"/>
          <w:szCs w:val="32"/>
        </w:rPr>
        <w:t>、住房公积金</w:t>
      </w:r>
      <w:r>
        <w:rPr>
          <w:rFonts w:hint="eastAsia" w:ascii="仿宋_GB2312" w:eastAsia="仿宋_GB2312"/>
          <w:color w:val="000000"/>
          <w:sz w:val="32"/>
          <w:szCs w:val="32"/>
          <w:lang w:val="en-US" w:eastAsia="zh-CN"/>
        </w:rPr>
        <w:t>52.09万元</w:t>
      </w:r>
      <w:r>
        <w:rPr>
          <w:rFonts w:hint="eastAsia" w:ascii="仿宋_GB2312" w:eastAsia="仿宋_GB2312"/>
          <w:color w:val="000000"/>
          <w:sz w:val="32"/>
          <w:szCs w:val="32"/>
        </w:rPr>
        <w:t>、提租补贴</w:t>
      </w:r>
      <w:r>
        <w:rPr>
          <w:rFonts w:hint="eastAsia" w:ascii="仿宋_GB2312" w:eastAsia="仿宋_GB2312"/>
          <w:color w:val="000000"/>
          <w:sz w:val="32"/>
          <w:szCs w:val="32"/>
          <w:lang w:val="en-US" w:eastAsia="zh-CN"/>
        </w:rPr>
        <w:t>0万元</w:t>
      </w:r>
      <w:r>
        <w:rPr>
          <w:rFonts w:hint="eastAsia" w:ascii="仿宋_GB2312" w:eastAsia="仿宋_GB2312"/>
          <w:color w:val="000000"/>
          <w:sz w:val="32"/>
          <w:szCs w:val="32"/>
        </w:rPr>
        <w:t>、购房补贴</w:t>
      </w:r>
      <w:r>
        <w:rPr>
          <w:rFonts w:hint="eastAsia" w:ascii="仿宋_GB2312" w:eastAsia="仿宋_GB2312"/>
          <w:color w:val="000000"/>
          <w:sz w:val="32"/>
          <w:szCs w:val="32"/>
          <w:lang w:val="en-US" w:eastAsia="zh-CN"/>
        </w:rPr>
        <w:t>0万元</w:t>
      </w:r>
      <w:r>
        <w:rPr>
          <w:rFonts w:hint="eastAsia" w:ascii="仿宋_GB2312" w:eastAsia="仿宋_GB2312"/>
          <w:color w:val="000000"/>
          <w:sz w:val="32"/>
          <w:szCs w:val="32"/>
        </w:rPr>
        <w:t>、其他对个人和家庭的补助支出</w:t>
      </w:r>
      <w:r>
        <w:rPr>
          <w:rFonts w:hint="eastAsia" w:ascii="仿宋_GB2312" w:eastAsia="仿宋_GB2312"/>
          <w:color w:val="000000"/>
          <w:sz w:val="32"/>
          <w:szCs w:val="32"/>
          <w:lang w:val="en-US" w:eastAsia="zh-CN"/>
        </w:rPr>
        <w:t>0.46万元</w:t>
      </w:r>
      <w:r>
        <w:rPr>
          <w:rFonts w:hint="eastAsia" w:ascii="仿宋_GB2312" w:eastAsia="仿宋_GB2312"/>
          <w:color w:val="000000"/>
          <w:sz w:val="32"/>
          <w:szCs w:val="32"/>
        </w:rPr>
        <w:t>等。</w:t>
      </w:r>
      <w:r>
        <w:rPr>
          <w:rFonts w:hint="eastAsia" w:ascii="仿宋_GB2312" w:eastAsia="仿宋_GB2312"/>
          <w:color w:val="000000"/>
          <w:sz w:val="32"/>
          <w:szCs w:val="32"/>
        </w:rPr>
        <w:br w:type="textWrapping"/>
      </w:r>
      <w:r>
        <w:rPr>
          <w:rFonts w:hint="eastAsia" w:ascii="仿宋_GB2312" w:eastAsia="仿宋_GB2312"/>
          <w:color w:val="000000"/>
          <w:sz w:val="32"/>
          <w:szCs w:val="32"/>
        </w:rPr>
        <w:t>　　公用经费</w:t>
      </w:r>
      <w:r>
        <w:rPr>
          <w:rFonts w:hint="eastAsia" w:ascii="仿宋_GB2312" w:eastAsia="仿宋_GB2312"/>
          <w:color w:val="000000"/>
          <w:sz w:val="32"/>
          <w:szCs w:val="32"/>
          <w:lang w:val="en-US" w:eastAsia="zh-CN"/>
        </w:rPr>
        <w:t>415.56</w:t>
      </w:r>
      <w:r>
        <w:rPr>
          <w:rFonts w:hint="eastAsia" w:ascii="仿宋_GB2312" w:eastAsia="仿宋_GB2312"/>
          <w:color w:val="000000"/>
          <w:sz w:val="32"/>
          <w:szCs w:val="32"/>
        </w:rPr>
        <w:t>万元，主要包括：办公费</w:t>
      </w:r>
      <w:r>
        <w:rPr>
          <w:rFonts w:hint="eastAsia" w:ascii="仿宋_GB2312" w:eastAsia="仿宋_GB2312"/>
          <w:color w:val="000000"/>
          <w:sz w:val="32"/>
          <w:szCs w:val="32"/>
          <w:lang w:val="en-US" w:eastAsia="zh-CN"/>
        </w:rPr>
        <w:t>12.19万元</w:t>
      </w:r>
      <w:r>
        <w:rPr>
          <w:rFonts w:hint="eastAsia" w:ascii="仿宋_GB2312" w:eastAsia="仿宋_GB2312"/>
          <w:color w:val="000000"/>
          <w:sz w:val="32"/>
          <w:szCs w:val="32"/>
        </w:rPr>
        <w:t>、印刷费</w:t>
      </w:r>
      <w:r>
        <w:rPr>
          <w:rFonts w:hint="eastAsia" w:ascii="仿宋_GB2312" w:eastAsia="仿宋_GB2312"/>
          <w:color w:val="000000"/>
          <w:sz w:val="32"/>
          <w:szCs w:val="32"/>
          <w:lang w:val="en-US" w:eastAsia="zh-CN"/>
        </w:rPr>
        <w:t>1.7万元</w:t>
      </w:r>
      <w:r>
        <w:rPr>
          <w:rFonts w:hint="eastAsia" w:ascii="仿宋_GB2312" w:eastAsia="仿宋_GB2312"/>
          <w:color w:val="000000"/>
          <w:sz w:val="32"/>
          <w:szCs w:val="32"/>
        </w:rPr>
        <w:t>、咨询费</w:t>
      </w:r>
      <w:r>
        <w:rPr>
          <w:rFonts w:hint="eastAsia" w:ascii="仿宋_GB2312" w:eastAsia="仿宋_GB2312"/>
          <w:color w:val="000000"/>
          <w:sz w:val="32"/>
          <w:szCs w:val="32"/>
          <w:lang w:val="en-US" w:eastAsia="zh-CN"/>
        </w:rPr>
        <w:t>0万元</w:t>
      </w:r>
      <w:r>
        <w:rPr>
          <w:rFonts w:hint="eastAsia" w:ascii="仿宋_GB2312" w:eastAsia="仿宋_GB2312"/>
          <w:color w:val="000000"/>
          <w:sz w:val="32"/>
          <w:szCs w:val="32"/>
        </w:rPr>
        <w:t>、手续费</w:t>
      </w:r>
      <w:r>
        <w:rPr>
          <w:rFonts w:hint="eastAsia" w:ascii="仿宋_GB2312" w:eastAsia="仿宋_GB2312"/>
          <w:color w:val="000000"/>
          <w:sz w:val="32"/>
          <w:szCs w:val="32"/>
          <w:lang w:val="en-US" w:eastAsia="zh-CN"/>
        </w:rPr>
        <w:t>0万元</w:t>
      </w:r>
      <w:r>
        <w:rPr>
          <w:rFonts w:hint="eastAsia" w:ascii="仿宋_GB2312" w:eastAsia="仿宋_GB2312"/>
          <w:color w:val="000000"/>
          <w:sz w:val="32"/>
          <w:szCs w:val="32"/>
        </w:rPr>
        <w:t>、水费</w:t>
      </w:r>
      <w:r>
        <w:rPr>
          <w:rFonts w:hint="eastAsia" w:ascii="仿宋_GB2312" w:eastAsia="仿宋_GB2312"/>
          <w:color w:val="000000"/>
          <w:sz w:val="32"/>
          <w:szCs w:val="32"/>
          <w:lang w:val="en-US" w:eastAsia="zh-CN"/>
        </w:rPr>
        <w:t>1.88万元</w:t>
      </w:r>
      <w:r>
        <w:rPr>
          <w:rFonts w:hint="eastAsia" w:ascii="仿宋_GB2312" w:eastAsia="仿宋_GB2312"/>
          <w:color w:val="000000"/>
          <w:sz w:val="32"/>
          <w:szCs w:val="32"/>
        </w:rPr>
        <w:t>、电费</w:t>
      </w:r>
      <w:r>
        <w:rPr>
          <w:rFonts w:hint="eastAsia" w:ascii="仿宋_GB2312" w:eastAsia="仿宋_GB2312"/>
          <w:color w:val="000000"/>
          <w:sz w:val="32"/>
          <w:szCs w:val="32"/>
          <w:lang w:val="en-US" w:eastAsia="zh-CN"/>
        </w:rPr>
        <w:t>4.86万元</w:t>
      </w:r>
      <w:r>
        <w:rPr>
          <w:rFonts w:hint="eastAsia" w:ascii="仿宋_GB2312" w:eastAsia="仿宋_GB2312"/>
          <w:color w:val="000000"/>
          <w:sz w:val="32"/>
          <w:szCs w:val="32"/>
        </w:rPr>
        <w:t>、邮电费</w:t>
      </w:r>
      <w:r>
        <w:rPr>
          <w:rFonts w:hint="eastAsia" w:ascii="仿宋_GB2312" w:eastAsia="仿宋_GB2312"/>
          <w:color w:val="000000"/>
          <w:sz w:val="32"/>
          <w:szCs w:val="32"/>
          <w:lang w:val="en-US" w:eastAsia="zh-CN"/>
        </w:rPr>
        <w:t>11.76万元</w:t>
      </w:r>
      <w:r>
        <w:rPr>
          <w:rFonts w:hint="eastAsia" w:ascii="仿宋_GB2312" w:eastAsia="仿宋_GB2312"/>
          <w:color w:val="000000"/>
          <w:sz w:val="32"/>
          <w:szCs w:val="32"/>
        </w:rPr>
        <w:t>、取暖费</w:t>
      </w:r>
      <w:r>
        <w:rPr>
          <w:rFonts w:hint="eastAsia" w:ascii="仿宋_GB2312" w:eastAsia="仿宋_GB2312"/>
          <w:color w:val="000000"/>
          <w:sz w:val="32"/>
          <w:szCs w:val="32"/>
          <w:lang w:val="en-US" w:eastAsia="zh-CN"/>
        </w:rPr>
        <w:t>0万元</w:t>
      </w:r>
      <w:r>
        <w:rPr>
          <w:rFonts w:hint="eastAsia" w:ascii="仿宋_GB2312" w:eastAsia="仿宋_GB2312"/>
          <w:color w:val="000000"/>
          <w:sz w:val="32"/>
          <w:szCs w:val="32"/>
        </w:rPr>
        <w:t>、物业管理费</w:t>
      </w:r>
      <w:r>
        <w:rPr>
          <w:rFonts w:hint="eastAsia" w:ascii="仿宋_GB2312" w:eastAsia="仿宋_GB2312"/>
          <w:color w:val="000000"/>
          <w:sz w:val="32"/>
          <w:szCs w:val="32"/>
          <w:lang w:val="en-US" w:eastAsia="zh-CN"/>
        </w:rPr>
        <w:t>0万元</w:t>
      </w:r>
      <w:r>
        <w:rPr>
          <w:rFonts w:hint="eastAsia" w:ascii="仿宋_GB2312" w:eastAsia="仿宋_GB2312"/>
          <w:color w:val="000000"/>
          <w:sz w:val="32"/>
          <w:szCs w:val="32"/>
        </w:rPr>
        <w:t>、差旅费</w:t>
      </w:r>
      <w:r>
        <w:rPr>
          <w:rFonts w:hint="eastAsia" w:ascii="仿宋_GB2312" w:eastAsia="仿宋_GB2312"/>
          <w:color w:val="000000"/>
          <w:sz w:val="32"/>
          <w:szCs w:val="32"/>
          <w:lang w:val="en-US" w:eastAsia="zh-CN"/>
        </w:rPr>
        <w:t>92.53万元</w:t>
      </w:r>
      <w:r>
        <w:rPr>
          <w:rFonts w:hint="eastAsia" w:ascii="仿宋_GB2312" w:eastAsia="仿宋_GB2312"/>
          <w:color w:val="000000"/>
          <w:sz w:val="32"/>
          <w:szCs w:val="32"/>
        </w:rPr>
        <w:t>、因公出国（境）费用</w:t>
      </w:r>
      <w:r>
        <w:rPr>
          <w:rFonts w:hint="eastAsia" w:ascii="仿宋_GB2312" w:eastAsia="仿宋_GB2312"/>
          <w:color w:val="000000"/>
          <w:sz w:val="32"/>
          <w:szCs w:val="32"/>
          <w:lang w:val="en-US" w:eastAsia="zh-CN"/>
        </w:rPr>
        <w:t>0万元</w:t>
      </w:r>
      <w:r>
        <w:rPr>
          <w:rFonts w:hint="eastAsia" w:ascii="仿宋_GB2312" w:eastAsia="仿宋_GB2312"/>
          <w:color w:val="000000"/>
          <w:sz w:val="32"/>
          <w:szCs w:val="32"/>
        </w:rPr>
        <w:t>、维修（护）费</w:t>
      </w:r>
      <w:r>
        <w:rPr>
          <w:rFonts w:hint="eastAsia" w:ascii="仿宋_GB2312" w:eastAsia="仿宋_GB2312"/>
          <w:color w:val="000000"/>
          <w:sz w:val="32"/>
          <w:szCs w:val="32"/>
          <w:lang w:val="en-US" w:eastAsia="zh-CN"/>
        </w:rPr>
        <w:t>2.14万元</w:t>
      </w:r>
      <w:r>
        <w:rPr>
          <w:rFonts w:hint="eastAsia" w:ascii="仿宋_GB2312" w:eastAsia="仿宋_GB2312"/>
          <w:color w:val="000000"/>
          <w:sz w:val="32"/>
          <w:szCs w:val="32"/>
        </w:rPr>
        <w:t>、租赁费</w:t>
      </w:r>
      <w:r>
        <w:rPr>
          <w:rFonts w:hint="eastAsia" w:ascii="仿宋_GB2312" w:eastAsia="仿宋_GB2312"/>
          <w:color w:val="000000"/>
          <w:sz w:val="32"/>
          <w:szCs w:val="32"/>
          <w:lang w:val="en-US" w:eastAsia="zh-CN"/>
        </w:rPr>
        <w:t>0万元</w:t>
      </w:r>
      <w:r>
        <w:rPr>
          <w:rFonts w:hint="eastAsia" w:ascii="仿宋_GB2312" w:eastAsia="仿宋_GB2312"/>
          <w:color w:val="000000"/>
          <w:sz w:val="32"/>
          <w:szCs w:val="32"/>
        </w:rPr>
        <w:t>、会议费</w:t>
      </w:r>
      <w:r>
        <w:rPr>
          <w:rFonts w:hint="eastAsia" w:ascii="仿宋_GB2312" w:eastAsia="仿宋_GB2312"/>
          <w:color w:val="000000"/>
          <w:sz w:val="32"/>
          <w:szCs w:val="32"/>
          <w:lang w:val="en-US" w:eastAsia="zh-CN"/>
        </w:rPr>
        <w:t>0.44万元</w:t>
      </w:r>
      <w:r>
        <w:rPr>
          <w:rFonts w:hint="eastAsia" w:ascii="仿宋_GB2312" w:eastAsia="仿宋_GB2312"/>
          <w:color w:val="000000"/>
          <w:sz w:val="32"/>
          <w:szCs w:val="32"/>
        </w:rPr>
        <w:t>、培训费</w:t>
      </w:r>
      <w:r>
        <w:rPr>
          <w:rFonts w:hint="eastAsia" w:ascii="仿宋_GB2312" w:eastAsia="仿宋_GB2312"/>
          <w:color w:val="000000"/>
          <w:sz w:val="32"/>
          <w:szCs w:val="32"/>
          <w:lang w:val="en-US" w:eastAsia="zh-CN"/>
        </w:rPr>
        <w:t>1.7万元</w:t>
      </w:r>
      <w:r>
        <w:rPr>
          <w:rFonts w:hint="eastAsia" w:ascii="仿宋_GB2312" w:eastAsia="仿宋_GB2312"/>
          <w:color w:val="000000"/>
          <w:sz w:val="32"/>
          <w:szCs w:val="32"/>
        </w:rPr>
        <w:t>、公务接待费</w:t>
      </w:r>
      <w:r>
        <w:rPr>
          <w:rFonts w:hint="eastAsia" w:ascii="仿宋_GB2312" w:eastAsia="仿宋_GB2312"/>
          <w:color w:val="000000"/>
          <w:sz w:val="32"/>
          <w:szCs w:val="32"/>
          <w:lang w:val="en-US" w:eastAsia="zh-CN"/>
        </w:rPr>
        <w:t>2.99万元</w:t>
      </w:r>
      <w:r>
        <w:rPr>
          <w:rFonts w:hint="eastAsia" w:ascii="仿宋_GB2312" w:eastAsia="仿宋_GB2312"/>
          <w:color w:val="000000"/>
          <w:sz w:val="32"/>
          <w:szCs w:val="32"/>
        </w:rPr>
        <w:t>、劳务费</w:t>
      </w:r>
      <w:r>
        <w:rPr>
          <w:rFonts w:hint="eastAsia" w:ascii="仿宋_GB2312" w:eastAsia="仿宋_GB2312"/>
          <w:color w:val="000000"/>
          <w:sz w:val="32"/>
          <w:szCs w:val="32"/>
          <w:lang w:val="en-US" w:eastAsia="zh-CN"/>
        </w:rPr>
        <w:t>23万元</w:t>
      </w:r>
      <w:r>
        <w:rPr>
          <w:rFonts w:hint="eastAsia" w:ascii="仿宋_GB2312" w:eastAsia="仿宋_GB2312"/>
          <w:color w:val="000000"/>
          <w:sz w:val="32"/>
          <w:szCs w:val="32"/>
        </w:rPr>
        <w:t>、委托业务费</w:t>
      </w:r>
      <w:r>
        <w:rPr>
          <w:rFonts w:hint="eastAsia" w:ascii="仿宋_GB2312" w:eastAsia="仿宋_GB2312"/>
          <w:color w:val="000000"/>
          <w:sz w:val="32"/>
          <w:szCs w:val="32"/>
          <w:lang w:val="en-US" w:eastAsia="zh-CN"/>
        </w:rPr>
        <w:t>0万元</w:t>
      </w:r>
      <w:r>
        <w:rPr>
          <w:rFonts w:hint="eastAsia" w:ascii="仿宋_GB2312" w:eastAsia="仿宋_GB2312"/>
          <w:color w:val="000000"/>
          <w:sz w:val="32"/>
          <w:szCs w:val="32"/>
        </w:rPr>
        <w:t>、工会经费</w:t>
      </w:r>
      <w:r>
        <w:rPr>
          <w:rFonts w:hint="eastAsia" w:ascii="仿宋_GB2312" w:eastAsia="仿宋_GB2312"/>
          <w:color w:val="000000"/>
          <w:sz w:val="32"/>
          <w:szCs w:val="32"/>
          <w:lang w:val="en-US" w:eastAsia="zh-CN"/>
        </w:rPr>
        <w:t>11.7万元</w:t>
      </w:r>
      <w:r>
        <w:rPr>
          <w:rFonts w:hint="eastAsia" w:ascii="仿宋_GB2312" w:eastAsia="仿宋_GB2312"/>
          <w:color w:val="000000"/>
          <w:sz w:val="32"/>
          <w:szCs w:val="32"/>
        </w:rPr>
        <w:t>、福利费</w:t>
      </w:r>
      <w:r>
        <w:rPr>
          <w:rFonts w:hint="eastAsia" w:ascii="仿宋_GB2312" w:eastAsia="仿宋_GB2312"/>
          <w:color w:val="000000"/>
          <w:sz w:val="32"/>
          <w:szCs w:val="32"/>
          <w:lang w:val="en-US" w:eastAsia="zh-CN"/>
        </w:rPr>
        <w:t>11.88万元</w:t>
      </w:r>
      <w:r>
        <w:rPr>
          <w:rFonts w:hint="eastAsia" w:ascii="仿宋_GB2312" w:eastAsia="仿宋_GB2312"/>
          <w:color w:val="000000"/>
          <w:sz w:val="32"/>
          <w:szCs w:val="32"/>
        </w:rPr>
        <w:t>、公务用车运行维护费</w:t>
      </w:r>
      <w:r>
        <w:rPr>
          <w:rFonts w:hint="eastAsia" w:ascii="仿宋_GB2312" w:eastAsia="仿宋_GB2312"/>
          <w:color w:val="000000"/>
          <w:sz w:val="32"/>
          <w:szCs w:val="32"/>
          <w:lang w:val="en-US" w:eastAsia="zh-CN"/>
        </w:rPr>
        <w:t>16.94万元</w:t>
      </w:r>
      <w:r>
        <w:rPr>
          <w:rFonts w:hint="eastAsia" w:ascii="仿宋_GB2312" w:eastAsia="仿宋_GB2312"/>
          <w:color w:val="000000"/>
          <w:sz w:val="32"/>
          <w:szCs w:val="32"/>
        </w:rPr>
        <w:t>、其他交通费</w:t>
      </w:r>
      <w:r>
        <w:rPr>
          <w:rFonts w:hint="eastAsia" w:ascii="仿宋_GB2312" w:eastAsia="仿宋_GB2312"/>
          <w:color w:val="000000"/>
          <w:sz w:val="32"/>
          <w:szCs w:val="32"/>
          <w:lang w:val="en-US" w:eastAsia="zh-CN"/>
        </w:rPr>
        <w:t>21.02万元</w:t>
      </w:r>
      <w:r>
        <w:rPr>
          <w:rFonts w:hint="eastAsia" w:ascii="仿宋_GB2312" w:eastAsia="仿宋_GB2312"/>
          <w:color w:val="000000"/>
          <w:sz w:val="32"/>
          <w:szCs w:val="32"/>
        </w:rPr>
        <w:t>、税金及附加费用</w:t>
      </w:r>
      <w:r>
        <w:rPr>
          <w:rFonts w:hint="eastAsia" w:ascii="仿宋_GB2312" w:eastAsia="仿宋_GB2312"/>
          <w:color w:val="000000"/>
          <w:sz w:val="32"/>
          <w:szCs w:val="32"/>
          <w:lang w:val="en-US" w:eastAsia="zh-CN"/>
        </w:rPr>
        <w:t>0万元</w:t>
      </w:r>
      <w:r>
        <w:rPr>
          <w:rFonts w:hint="eastAsia" w:ascii="仿宋_GB2312" w:eastAsia="仿宋_GB2312"/>
          <w:color w:val="000000"/>
          <w:sz w:val="32"/>
          <w:szCs w:val="32"/>
        </w:rPr>
        <w:t>、其他商品和服务支出</w:t>
      </w:r>
      <w:r>
        <w:rPr>
          <w:rFonts w:hint="eastAsia" w:ascii="仿宋_GB2312" w:eastAsia="仿宋_GB2312"/>
          <w:color w:val="000000"/>
          <w:sz w:val="32"/>
          <w:szCs w:val="32"/>
          <w:lang w:val="en-US" w:eastAsia="zh-CN"/>
        </w:rPr>
        <w:t>142.99万元2.63万元</w:t>
      </w:r>
      <w:r>
        <w:rPr>
          <w:rFonts w:hint="eastAsia" w:ascii="仿宋_GB2312" w:eastAsia="仿宋_GB2312"/>
          <w:color w:val="000000"/>
          <w:sz w:val="32"/>
          <w:szCs w:val="32"/>
        </w:rPr>
        <w:t>、办公设备购置</w:t>
      </w:r>
      <w:r>
        <w:rPr>
          <w:rFonts w:hint="eastAsia" w:ascii="仿宋_GB2312" w:eastAsia="仿宋_GB2312"/>
          <w:color w:val="000000"/>
          <w:sz w:val="32"/>
          <w:szCs w:val="32"/>
          <w:lang w:val="en-US" w:eastAsia="zh-CN"/>
        </w:rPr>
        <w:t>2.63万元</w:t>
      </w:r>
      <w:r>
        <w:rPr>
          <w:rFonts w:hint="eastAsia" w:ascii="仿宋_GB2312" w:eastAsia="仿宋_GB2312"/>
          <w:color w:val="000000"/>
          <w:sz w:val="32"/>
          <w:szCs w:val="32"/>
        </w:rPr>
        <w:t>、专用设备购置</w:t>
      </w:r>
      <w:r>
        <w:rPr>
          <w:rFonts w:hint="eastAsia" w:ascii="仿宋_GB2312" w:eastAsia="仿宋_GB2312"/>
          <w:color w:val="000000"/>
          <w:sz w:val="32"/>
          <w:szCs w:val="32"/>
          <w:lang w:val="en-US" w:eastAsia="zh-CN"/>
        </w:rPr>
        <w:t>0万元</w:t>
      </w:r>
      <w:r>
        <w:rPr>
          <w:rFonts w:hint="eastAsia" w:ascii="仿宋_GB2312" w:eastAsia="仿宋_GB2312"/>
          <w:color w:val="000000"/>
          <w:sz w:val="32"/>
          <w:szCs w:val="32"/>
        </w:rPr>
        <w:t>、信息网络及软件购置更新</w:t>
      </w:r>
      <w:r>
        <w:rPr>
          <w:rFonts w:hint="eastAsia" w:ascii="仿宋_GB2312" w:eastAsia="仿宋_GB2312"/>
          <w:color w:val="000000"/>
          <w:sz w:val="32"/>
          <w:szCs w:val="32"/>
          <w:lang w:val="en-US" w:eastAsia="zh-CN"/>
        </w:rPr>
        <w:t>32.1万元</w:t>
      </w:r>
      <w:r>
        <w:rPr>
          <w:rFonts w:hint="eastAsia" w:ascii="仿宋_GB2312" w:eastAsia="仿宋_GB2312"/>
          <w:color w:val="000000"/>
          <w:sz w:val="32"/>
          <w:szCs w:val="32"/>
        </w:rPr>
        <w:t>、其他资本性支出等</w:t>
      </w:r>
      <w:r>
        <w:rPr>
          <w:rFonts w:hint="eastAsia" w:ascii="仿宋_GB2312" w:eastAsia="仿宋_GB2312"/>
          <w:color w:val="000000"/>
          <w:sz w:val="32"/>
          <w:szCs w:val="32"/>
          <w:lang w:val="en-US" w:eastAsia="zh-CN"/>
        </w:rPr>
        <w:t>21.1万元</w:t>
      </w:r>
      <w:r>
        <w:rPr>
          <w:rFonts w:hint="eastAsia" w:ascii="仿宋_GB2312" w:eastAsia="仿宋_GB2312"/>
          <w:color w:val="000000"/>
          <w:sz w:val="32"/>
          <w:szCs w:val="32"/>
        </w:rPr>
        <w:t>。</w:t>
      </w:r>
    </w:p>
    <w:p>
      <w:pPr>
        <w:spacing w:line="600" w:lineRule="exact"/>
        <w:ind w:firstLine="640"/>
        <w:rPr>
          <w:rFonts w:hint="eastAsia" w:ascii="黑体" w:eastAsia="黑体"/>
          <w:color w:val="000000"/>
          <w:sz w:val="32"/>
          <w:szCs w:val="32"/>
        </w:rPr>
      </w:pPr>
      <w:r>
        <w:rPr>
          <w:rFonts w:hint="eastAsia" w:ascii="黑体" w:eastAsia="黑体"/>
          <w:color w:val="000000"/>
          <w:sz w:val="32"/>
          <w:szCs w:val="32"/>
        </w:rPr>
        <w:t>七、“三公”经费财政拨款支出决算情况说明</w:t>
      </w:r>
    </w:p>
    <w:p>
      <w:pPr>
        <w:spacing w:line="600" w:lineRule="exact"/>
        <w:ind w:firstLine="640"/>
        <w:rPr>
          <w:rFonts w:hint="eastAsia" w:ascii="仿宋_GB2312" w:eastAsia="仿宋_GB2312"/>
          <w:b/>
          <w:color w:val="000000"/>
          <w:sz w:val="32"/>
          <w:szCs w:val="32"/>
        </w:rPr>
      </w:pPr>
      <w:r>
        <w:rPr>
          <w:rFonts w:hint="eastAsia" w:ascii="仿宋_GB2312" w:eastAsia="仿宋_GB2312"/>
          <w:b/>
          <w:color w:val="000000"/>
          <w:sz w:val="32"/>
          <w:szCs w:val="32"/>
        </w:rPr>
        <w:t>（一）“三公”经费财政拨款支出决算总体情况说明</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2017年度“三公”经费财政拨款支出决算为</w:t>
      </w:r>
      <w:r>
        <w:rPr>
          <w:rFonts w:hint="eastAsia" w:ascii="仿宋_GB2312" w:eastAsia="仿宋_GB2312"/>
          <w:color w:val="000000"/>
          <w:sz w:val="32"/>
          <w:szCs w:val="32"/>
          <w:lang w:val="en-US" w:eastAsia="zh-CN"/>
        </w:rPr>
        <w:t>19.93</w:t>
      </w:r>
      <w:r>
        <w:rPr>
          <w:rFonts w:hint="eastAsia" w:ascii="仿宋_GB2312" w:eastAsia="仿宋_GB2312"/>
          <w:color w:val="000000"/>
          <w:sz w:val="32"/>
          <w:szCs w:val="32"/>
        </w:rPr>
        <w:t>万元，完成预算</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rPr>
        <w:t>%。</w:t>
      </w:r>
    </w:p>
    <w:p>
      <w:pPr>
        <w:spacing w:line="600" w:lineRule="exact"/>
        <w:ind w:firstLine="640"/>
        <w:rPr>
          <w:rFonts w:hint="eastAsia" w:ascii="仿宋_GB2312" w:eastAsia="仿宋_GB2312"/>
          <w:b/>
          <w:color w:val="000000"/>
          <w:sz w:val="32"/>
          <w:szCs w:val="32"/>
        </w:rPr>
      </w:pPr>
      <w:r>
        <w:rPr>
          <w:rFonts w:hint="eastAsia" w:ascii="仿宋_GB2312" w:eastAsia="仿宋_GB2312"/>
          <w:b/>
          <w:color w:val="000000"/>
          <w:sz w:val="32"/>
          <w:szCs w:val="32"/>
        </w:rPr>
        <w:t>（二）“三公”经费财政拨款支出决算具体情况说明</w:t>
      </w:r>
    </w:p>
    <w:p>
      <w:pPr>
        <w:spacing w:line="600" w:lineRule="exact"/>
        <w:ind w:firstLine="640"/>
        <w:rPr>
          <w:rFonts w:hint="eastAsia" w:eastAsiaTheme="minorEastAsia"/>
          <w:lang w:eastAsia="zh-CN"/>
        </w:rPr>
      </w:pPr>
      <w:r>
        <w:rPr>
          <w:rFonts w:hint="eastAsia" w:ascii="仿宋_GB2312" w:eastAsia="仿宋_GB2312"/>
          <w:color w:val="000000"/>
          <w:sz w:val="32"/>
          <w:szCs w:val="32"/>
        </w:rPr>
        <w:t>2017年度“三公”经费财政拨款支出决算中，因公出国（境）费支出决算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%；公务用车购置及运行维护费支出决算</w:t>
      </w:r>
      <w:r>
        <w:rPr>
          <w:rFonts w:hint="eastAsia" w:ascii="仿宋_GB2312" w:eastAsia="仿宋_GB2312"/>
          <w:color w:val="000000"/>
          <w:sz w:val="32"/>
          <w:szCs w:val="32"/>
          <w:lang w:val="en-US" w:eastAsia="zh-CN"/>
        </w:rPr>
        <w:t>16.94</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85</w:t>
      </w:r>
      <w:r>
        <w:rPr>
          <w:rFonts w:hint="eastAsia" w:ascii="仿宋_GB2312" w:eastAsia="仿宋_GB2312"/>
          <w:color w:val="000000"/>
          <w:sz w:val="32"/>
          <w:szCs w:val="32"/>
        </w:rPr>
        <w:t>%；公务接待费支出决算</w:t>
      </w:r>
      <w:r>
        <w:rPr>
          <w:rFonts w:hint="eastAsia" w:ascii="仿宋_GB2312" w:eastAsia="仿宋_GB2312"/>
          <w:color w:val="000000"/>
          <w:sz w:val="32"/>
          <w:szCs w:val="32"/>
          <w:lang w:val="en-US" w:eastAsia="zh-CN"/>
        </w:rPr>
        <w:t>2.99</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%。具体情况如下：</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4964430" cy="3713480"/>
            <wp:effectExtent l="4445" t="4445" r="22225" b="1587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rPr>
          <w:rFonts w:hint="eastAsia" w:ascii="仿宋_GB2312" w:eastAsia="仿宋_GB2312"/>
          <w:b/>
          <w:color w:val="000000"/>
          <w:sz w:val="32"/>
          <w:szCs w:val="32"/>
        </w:rPr>
      </w:pPr>
      <w:r>
        <w:rPr>
          <w:rFonts w:hint="eastAsia" w:ascii="仿宋_GB2312" w:eastAsia="仿宋_GB2312"/>
          <w:b/>
          <w:color w:val="000000"/>
          <w:sz w:val="32"/>
          <w:szCs w:val="32"/>
        </w:rPr>
        <w:t>1.因公出国（境）经费支出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w:t>
      </w:r>
    </w:p>
    <w:p>
      <w:pPr>
        <w:spacing w:line="60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2.公务用车购置及运行维护费支出</w:t>
      </w:r>
      <w:r>
        <w:rPr>
          <w:rFonts w:hint="eastAsia" w:ascii="仿宋_GB2312" w:eastAsia="仿宋_GB2312"/>
          <w:color w:val="000000"/>
          <w:sz w:val="32"/>
          <w:szCs w:val="32"/>
          <w:lang w:val="en-US" w:eastAsia="zh-CN"/>
        </w:rPr>
        <w:t>16.94</w:t>
      </w:r>
      <w:r>
        <w:rPr>
          <w:rFonts w:hint="eastAsia" w:ascii="仿宋_GB2312" w:eastAsia="仿宋_GB2312"/>
          <w:color w:val="000000"/>
          <w:sz w:val="32"/>
          <w:szCs w:val="32"/>
        </w:rPr>
        <w:t>万元。其中：</w:t>
      </w:r>
    </w:p>
    <w:p>
      <w:pPr>
        <w:spacing w:line="600" w:lineRule="exact"/>
        <w:ind w:firstLine="643" w:firstLineChars="200"/>
        <w:rPr>
          <w:rFonts w:hint="eastAsia" w:ascii="仿宋_GB2312" w:eastAsia="仿宋_GB2312"/>
          <w:b/>
          <w:color w:val="000000"/>
          <w:sz w:val="32"/>
          <w:szCs w:val="32"/>
        </w:rPr>
      </w:pP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万元。截至201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年12月底，单位共有公务用车</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w:t>
      </w:r>
    </w:p>
    <w:p>
      <w:pPr>
        <w:spacing w:line="600" w:lineRule="exact"/>
        <w:ind w:firstLine="640"/>
        <w:rPr>
          <w:rFonts w:ascii="仿宋_GB2312" w:hAnsi="仿宋_GB2312" w:eastAsia="仿宋_GB2312" w:cs="仿宋_GB2312"/>
          <w:color w:val="333333"/>
          <w:kern w:val="1"/>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16.94</w:t>
      </w:r>
      <w:r>
        <w:rPr>
          <w:rFonts w:hint="eastAsia" w:ascii="仿宋_GB2312" w:eastAsia="仿宋_GB2312"/>
          <w:color w:val="000000"/>
          <w:sz w:val="32"/>
          <w:szCs w:val="32"/>
        </w:rPr>
        <w:t>万元。主要</w:t>
      </w:r>
      <w:r>
        <w:rPr>
          <w:rFonts w:ascii="仿宋_GB2312" w:hAnsi="仿宋_GB2312" w:eastAsia="仿宋_GB2312" w:cs="仿宋_GB2312"/>
          <w:kern w:val="1"/>
          <w:sz w:val="32"/>
          <w:szCs w:val="32"/>
        </w:rPr>
        <w:t>用于</w:t>
      </w:r>
      <w:r>
        <w:rPr>
          <w:rFonts w:ascii="仿宋_GB2312" w:hAnsi="仿宋_GB2312" w:eastAsia="仿宋_GB2312" w:cs="仿宋_GB2312"/>
          <w:color w:val="333333"/>
          <w:kern w:val="1"/>
          <w:sz w:val="32"/>
          <w:szCs w:val="32"/>
        </w:rPr>
        <w:t>开展法制宣传、安置帮教、社区矫正、人民调解、司法鉴定、法律援助、法律服务等所需的公务用车燃料费、维修费、过路过桥费、保险费等支出。</w:t>
      </w:r>
    </w:p>
    <w:p>
      <w:pPr>
        <w:spacing w:line="600" w:lineRule="exact"/>
        <w:ind w:firstLine="640"/>
        <w:rPr>
          <w:rFonts w:ascii="仿宋_GB2312" w:eastAsia="仿宋_GB2312"/>
          <w:b/>
          <w:color w:val="000000"/>
          <w:sz w:val="32"/>
          <w:szCs w:val="32"/>
        </w:rPr>
      </w:pPr>
      <w:r>
        <w:rPr>
          <w:rFonts w:hint="eastAsia" w:ascii="仿宋_GB2312" w:eastAsia="仿宋_GB2312"/>
          <w:color w:val="000000"/>
          <w:sz w:val="32"/>
          <w:szCs w:val="32"/>
        </w:rPr>
        <w:t>公务用车购置及运行维护费支出决算比2016年减少</w:t>
      </w:r>
      <w:r>
        <w:rPr>
          <w:rFonts w:hint="eastAsia" w:ascii="仿宋_GB2312" w:eastAsia="仿宋_GB2312"/>
          <w:color w:val="000000"/>
          <w:sz w:val="32"/>
          <w:szCs w:val="32"/>
          <w:lang w:val="en-US" w:eastAsia="zh-CN"/>
        </w:rPr>
        <w:t>8.32</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33</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2016年公车改革后，2017年比2016年车辆少了3台车</w:t>
      </w:r>
      <w:r>
        <w:rPr>
          <w:rFonts w:hint="eastAsia" w:ascii="仿宋_GB2312" w:eastAsia="仿宋_GB2312"/>
          <w:color w:val="000000"/>
          <w:sz w:val="32"/>
          <w:szCs w:val="32"/>
        </w:rPr>
        <w:t>。</w:t>
      </w:r>
    </w:p>
    <w:p>
      <w:pPr>
        <w:spacing w:line="60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3.公务接待费支出</w:t>
      </w:r>
      <w:r>
        <w:rPr>
          <w:rFonts w:hint="eastAsia" w:ascii="仿宋_GB2312" w:eastAsia="仿宋_GB2312"/>
          <w:i w:val="0"/>
          <w:iCs w:val="0"/>
          <w:color w:val="000000"/>
          <w:sz w:val="32"/>
          <w:szCs w:val="32"/>
          <w:lang w:val="en-US" w:eastAsia="zh-CN"/>
        </w:rPr>
        <w:t>2.99</w:t>
      </w:r>
      <w:r>
        <w:rPr>
          <w:rFonts w:hint="eastAsia" w:ascii="仿宋_GB2312" w:eastAsia="仿宋_GB2312"/>
          <w:i w:val="0"/>
          <w:iCs w:val="0"/>
          <w:color w:val="000000"/>
          <w:sz w:val="32"/>
          <w:szCs w:val="32"/>
        </w:rPr>
        <w:t>万元。主要用于执行公务、开展业务活动开支的交通费、住宿费</w:t>
      </w:r>
      <w:r>
        <w:rPr>
          <w:rFonts w:hint="eastAsia" w:ascii="仿宋_GB2312" w:eastAsia="仿宋_GB2312"/>
          <w:color w:val="000000"/>
          <w:sz w:val="32"/>
          <w:szCs w:val="32"/>
        </w:rPr>
        <w:t>、用餐费等。其中：国内公务接待</w:t>
      </w:r>
      <w:r>
        <w:rPr>
          <w:rFonts w:hint="eastAsia" w:ascii="仿宋_GB2312" w:eastAsia="仿宋_GB2312"/>
          <w:color w:val="000000"/>
          <w:sz w:val="32"/>
          <w:szCs w:val="32"/>
          <w:lang w:val="en-US" w:eastAsia="zh-CN"/>
        </w:rPr>
        <w:t>36</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374</w:t>
      </w:r>
      <w:r>
        <w:rPr>
          <w:rFonts w:hint="eastAsia" w:ascii="仿宋_GB2312" w:eastAsia="仿宋_GB2312"/>
          <w:color w:val="000000"/>
          <w:sz w:val="32"/>
          <w:szCs w:val="32"/>
        </w:rPr>
        <w:t>人次，共计支出</w:t>
      </w:r>
      <w:r>
        <w:rPr>
          <w:rFonts w:hint="eastAsia" w:ascii="仿宋_GB2312" w:eastAsia="仿宋_GB2312"/>
          <w:color w:val="000000"/>
          <w:sz w:val="32"/>
          <w:szCs w:val="32"/>
          <w:lang w:val="en-US" w:eastAsia="zh-CN"/>
        </w:rPr>
        <w:t>2.99</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外事接待</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人，共计支出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b/>
          <w:color w:val="000000"/>
          <w:sz w:val="32"/>
          <w:szCs w:val="32"/>
        </w:rPr>
      </w:pPr>
      <w:r>
        <w:rPr>
          <w:rFonts w:hint="eastAsia" w:ascii="仿宋_GB2312" w:eastAsia="仿宋_GB2312"/>
          <w:color w:val="000000"/>
          <w:sz w:val="32"/>
          <w:szCs w:val="32"/>
        </w:rPr>
        <w:t>公务接待费支出决算比2016年减少</w:t>
      </w:r>
      <w:r>
        <w:rPr>
          <w:rFonts w:hint="eastAsia" w:ascii="仿宋_GB2312" w:eastAsia="仿宋_GB2312"/>
          <w:color w:val="000000"/>
          <w:sz w:val="32"/>
          <w:szCs w:val="32"/>
          <w:lang w:val="en-US" w:eastAsia="zh-CN"/>
        </w:rPr>
        <w:t>0.08</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严格遵守“八项规定”，严控接待标准和人数</w:t>
      </w:r>
      <w:r>
        <w:rPr>
          <w:rFonts w:hint="eastAsia" w:ascii="仿宋_GB2312" w:eastAsia="仿宋_GB2312"/>
          <w:color w:val="000000"/>
          <w:sz w:val="32"/>
          <w:szCs w:val="32"/>
        </w:rPr>
        <w:t>。</w:t>
      </w:r>
    </w:p>
    <w:p>
      <w:pPr>
        <w:spacing w:line="600" w:lineRule="exact"/>
        <w:ind w:firstLine="640"/>
        <w:rPr>
          <w:rFonts w:hint="eastAsia" w:ascii="黑体" w:eastAsia="黑体"/>
          <w:color w:val="000000"/>
          <w:sz w:val="32"/>
          <w:szCs w:val="32"/>
        </w:rPr>
      </w:pPr>
      <w:r>
        <w:rPr>
          <w:rFonts w:hint="eastAsia" w:ascii="黑体" w:eastAsia="黑体"/>
          <w:color w:val="000000"/>
          <w:sz w:val="32"/>
          <w:szCs w:val="32"/>
        </w:rPr>
        <w:t>八、政府性基金预算支出决算情况说明</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2017年度政府性基金预算拨款支出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hint="eastAsia" w:ascii="黑体" w:eastAsia="黑体"/>
          <w:color w:val="000000"/>
          <w:sz w:val="32"/>
          <w:szCs w:val="32"/>
        </w:rPr>
      </w:pPr>
      <w:r>
        <w:rPr>
          <w:rFonts w:hint="eastAsia" w:ascii="黑体" w:eastAsia="黑体"/>
          <w:color w:val="000000"/>
          <w:sz w:val="32"/>
          <w:szCs w:val="32"/>
        </w:rPr>
        <w:t>九、国有资本经营预算支出决算情况说明</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2017年度国有资本经营预算拨款支出</w:t>
      </w:r>
      <w:r>
        <w:rPr>
          <w:rFonts w:hint="eastAsia" w:ascii="仿宋_GB2312" w:eastAsia="仿宋_GB2312"/>
          <w:color w:val="000000"/>
          <w:sz w:val="32"/>
          <w:szCs w:val="32"/>
          <w:lang w:val="en-US" w:eastAsia="zh-CN"/>
        </w:rPr>
        <w:t>0万</w:t>
      </w:r>
      <w:r>
        <w:rPr>
          <w:rFonts w:hint="eastAsia" w:ascii="仿宋_GB2312" w:eastAsia="仿宋_GB2312"/>
          <w:color w:val="000000"/>
          <w:sz w:val="32"/>
          <w:szCs w:val="32"/>
        </w:rPr>
        <w:t>元。</w:t>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十、其他重要事项的情况说明</w:t>
      </w:r>
    </w:p>
    <w:p>
      <w:pPr>
        <w:spacing w:line="60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（一）机关运行经费支出情况</w:t>
      </w:r>
    </w:p>
    <w:p>
      <w:pPr>
        <w:spacing w:line="6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rPr>
        <w:t>2017年度，</w:t>
      </w:r>
      <w:r>
        <w:rPr>
          <w:rFonts w:hint="eastAsia" w:ascii="仿宋_GB2312" w:eastAsia="仿宋_GB2312"/>
          <w:color w:val="000000"/>
          <w:sz w:val="32"/>
          <w:szCs w:val="32"/>
          <w:lang w:eastAsia="zh-CN"/>
        </w:rPr>
        <w:t>司法局</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415.56</w:t>
      </w:r>
      <w:r>
        <w:rPr>
          <w:rFonts w:hint="eastAsia" w:ascii="仿宋_GB2312" w:eastAsia="仿宋_GB2312"/>
          <w:color w:val="000000"/>
          <w:sz w:val="32"/>
          <w:szCs w:val="32"/>
        </w:rPr>
        <w:t>万元，比2016年增加</w:t>
      </w:r>
      <w:r>
        <w:rPr>
          <w:rFonts w:hint="eastAsia" w:ascii="仿宋_GB2312" w:eastAsia="仿宋_GB2312"/>
          <w:color w:val="000000"/>
          <w:sz w:val="32"/>
          <w:szCs w:val="32"/>
          <w:lang w:val="en-US" w:eastAsia="zh-CN"/>
        </w:rPr>
        <w:t>261.37</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170</w:t>
      </w:r>
      <w:r>
        <w:rPr>
          <w:rFonts w:hint="eastAsia" w:ascii="仿宋_GB2312" w:eastAsia="仿宋_GB2312"/>
          <w:color w:val="000000"/>
          <w:sz w:val="32"/>
          <w:szCs w:val="32"/>
        </w:rPr>
        <w:t>%</w:t>
      </w:r>
      <w:r>
        <w:rPr>
          <w:rFonts w:hint="eastAsia" w:ascii="仿宋_GB2312" w:eastAsia="仿宋_GB2312"/>
          <w:color w:val="000000"/>
          <w:sz w:val="32"/>
          <w:szCs w:val="32"/>
          <w:lang w:eastAsia="zh-CN"/>
        </w:rPr>
        <w:t>，这是因为我局启用新的业务用房，以及统计指标与</w:t>
      </w:r>
      <w:r>
        <w:rPr>
          <w:rFonts w:hint="eastAsia" w:ascii="仿宋_GB2312" w:eastAsia="仿宋_GB2312"/>
          <w:color w:val="000000"/>
          <w:sz w:val="32"/>
          <w:szCs w:val="32"/>
          <w:lang w:val="en-US" w:eastAsia="zh-CN"/>
        </w:rPr>
        <w:t>2016年有所不同。</w:t>
      </w:r>
    </w:p>
    <w:p>
      <w:pPr>
        <w:autoSpaceDE w:val="0"/>
        <w:autoSpaceDN w:val="0"/>
        <w:adjustRightInd w:val="0"/>
        <w:spacing w:line="600" w:lineRule="exact"/>
        <w:ind w:firstLine="643" w:firstLineChars="200"/>
        <w:jc w:val="left"/>
        <w:rPr>
          <w:rFonts w:ascii="仿宋_GB2312" w:eastAsia="仿宋_GB2312"/>
          <w:b/>
          <w:color w:val="000000"/>
          <w:sz w:val="32"/>
          <w:szCs w:val="32"/>
        </w:rPr>
      </w:pPr>
      <w:r>
        <w:rPr>
          <w:rFonts w:hint="eastAsia" w:ascii="仿宋_GB2312" w:eastAsia="仿宋_GB2312"/>
          <w:b/>
          <w:color w:val="000000"/>
          <w:sz w:val="32"/>
          <w:szCs w:val="32"/>
        </w:rPr>
        <w:t>（二）政府采购支出情况</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2017年度，</w:t>
      </w:r>
      <w:r>
        <w:rPr>
          <w:rFonts w:hint="eastAsia" w:ascii="仿宋_GB2312" w:eastAsia="仿宋_GB2312"/>
          <w:color w:val="000000"/>
          <w:sz w:val="32"/>
          <w:szCs w:val="32"/>
          <w:lang w:eastAsia="zh-CN"/>
        </w:rPr>
        <w:t>司法局</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100.77</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100.77</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新业务用房的启用的设施设备、网络设备以及司法所规范化建设所需设备</w:t>
      </w:r>
      <w:r>
        <w:rPr>
          <w:rFonts w:hint="eastAsia" w:ascii="仿宋_GB2312" w:eastAsia="仿宋_GB2312"/>
          <w:color w:val="000000"/>
          <w:sz w:val="32"/>
          <w:szCs w:val="32"/>
        </w:rPr>
        <w:t>。授予中小企业合同金额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rPr>
          <w:rFonts w:ascii="仿宋_GB2312" w:eastAsia="仿宋_GB2312"/>
          <w:b/>
          <w:color w:val="000000"/>
          <w:sz w:val="32"/>
          <w:szCs w:val="32"/>
        </w:rPr>
      </w:pPr>
      <w:r>
        <w:rPr>
          <w:rFonts w:hint="eastAsia" w:ascii="仿宋_GB2312" w:eastAsia="仿宋_GB2312"/>
          <w:b/>
          <w:color w:val="000000"/>
          <w:sz w:val="32"/>
          <w:szCs w:val="32"/>
        </w:rPr>
        <w:t>（三）国有资产占有使用情况</w:t>
      </w:r>
    </w:p>
    <w:p>
      <w:pPr>
        <w:autoSpaceDE w:val="0"/>
        <w:autoSpaceDN w:val="0"/>
        <w:adjustRightInd w:val="0"/>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截至2017年12月31日，</w:t>
      </w:r>
      <w:r>
        <w:rPr>
          <w:rFonts w:hint="eastAsia" w:ascii="仿宋_GB2312" w:eastAsia="仿宋_GB2312"/>
          <w:color w:val="000000"/>
          <w:sz w:val="32"/>
          <w:szCs w:val="32"/>
          <w:lang w:eastAsia="zh-CN"/>
        </w:rPr>
        <w:t>司法局</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辆；单价50万元以上通用设备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台（套），单价100万元以上专用设备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rPr>
          <w:rFonts w:hint="eastAsia" w:ascii="仿宋_GB2312" w:eastAsia="仿宋_GB2312"/>
          <w:b/>
          <w:color w:val="000000"/>
          <w:sz w:val="32"/>
          <w:szCs w:val="32"/>
        </w:rPr>
      </w:pPr>
      <w:r>
        <w:rPr>
          <w:rFonts w:hint="eastAsia" w:ascii="仿宋_GB2312" w:eastAsia="仿宋_GB2312"/>
          <w:b/>
          <w:color w:val="000000"/>
          <w:sz w:val="32"/>
          <w:szCs w:val="32"/>
        </w:rPr>
        <w:t>（四）预算绩效情况</w:t>
      </w:r>
    </w:p>
    <w:p>
      <w:pPr>
        <w:spacing w:line="60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1.绩效目标管理情况。</w:t>
      </w:r>
    </w:p>
    <w:p>
      <w:pPr>
        <w:spacing w:line="600" w:lineRule="atLeas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按照预算绩效管理要求，本部门对2017年一般公共预算项目支出开展了绩效目标管理，共编制绩效目标</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个，涉及财政资金</w:t>
      </w:r>
      <w:r>
        <w:rPr>
          <w:rFonts w:hint="eastAsia" w:ascii="仿宋_GB2312" w:eastAsia="仿宋_GB2312"/>
          <w:color w:val="000000"/>
          <w:sz w:val="32"/>
          <w:szCs w:val="32"/>
          <w:lang w:val="en-US" w:eastAsia="zh-CN"/>
        </w:rPr>
        <w:t>1283.3</w:t>
      </w:r>
      <w:r>
        <w:rPr>
          <w:rFonts w:hint="eastAsia" w:ascii="仿宋_GB2312" w:eastAsia="仿宋_GB2312"/>
          <w:color w:val="000000"/>
          <w:sz w:val="32"/>
          <w:szCs w:val="32"/>
        </w:rPr>
        <w:t>万元，覆盖率达到</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rPr>
        <w:t>%。</w:t>
      </w:r>
    </w:p>
    <w:p>
      <w:pPr>
        <w:spacing w:line="600" w:lineRule="atLeas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2.部门整体支出绩效自评开展情况。</w:t>
      </w:r>
    </w:p>
    <w:p>
      <w:pPr>
        <w:spacing w:line="560" w:lineRule="exact"/>
        <w:ind w:firstLine="640"/>
        <w:rPr>
          <w:rFonts w:hint="eastAsia" w:ascii="仿宋_GB2312" w:hAnsi="仿宋_GB2312" w:eastAsia="仿宋_GB2312" w:cs="仿宋_GB2312"/>
          <w:color w:val="333333"/>
          <w:sz w:val="32"/>
          <w:szCs w:val="32"/>
          <w:lang w:eastAsia="zh-CN"/>
        </w:rPr>
      </w:pPr>
      <w:r>
        <w:rPr>
          <w:rFonts w:hint="eastAsia" w:ascii="仿宋_GB2312" w:eastAsia="仿宋_GB2312"/>
          <w:color w:val="000000"/>
          <w:sz w:val="32"/>
          <w:szCs w:val="32"/>
        </w:rPr>
        <w:t>按照预算绩效管理要求，本部门对2017年整体支出开展绩效自评，自评得分</w:t>
      </w:r>
      <w:r>
        <w:rPr>
          <w:rFonts w:hint="eastAsia" w:ascii="仿宋_GB2312" w:eastAsia="仿宋_GB2312"/>
          <w:color w:val="000000"/>
          <w:sz w:val="32"/>
          <w:szCs w:val="32"/>
          <w:lang w:val="en-US" w:eastAsia="zh-CN"/>
        </w:rPr>
        <w:t>84</w:t>
      </w:r>
      <w:r>
        <w:rPr>
          <w:rFonts w:hint="eastAsia" w:ascii="仿宋_GB2312" w:eastAsia="仿宋_GB2312"/>
          <w:color w:val="000000"/>
          <w:sz w:val="32"/>
          <w:szCs w:val="32"/>
        </w:rPr>
        <w:t>分，存在的问题：</w:t>
      </w:r>
      <w:r>
        <w:rPr>
          <w:rFonts w:hint="eastAsia" w:ascii="仿宋_GB2312" w:hAnsi="仿宋_GB2312" w:eastAsia="仿宋_GB2312" w:cs="仿宋_GB2312"/>
          <w:color w:val="333333"/>
          <w:sz w:val="32"/>
          <w:szCs w:val="32"/>
        </w:rPr>
        <w:t>单位财务人员</w:t>
      </w:r>
      <w:r>
        <w:rPr>
          <w:rFonts w:hint="eastAsia" w:ascii="仿宋_GB2312" w:hAnsi="仿宋_GB2312" w:eastAsia="仿宋_GB2312" w:cs="仿宋_GB2312"/>
          <w:color w:val="333333"/>
          <w:sz w:val="32"/>
          <w:szCs w:val="32"/>
          <w:lang w:eastAsia="zh-CN"/>
        </w:rPr>
        <w:t>人手少，现有人员</w:t>
      </w:r>
      <w:r>
        <w:rPr>
          <w:rFonts w:hint="eastAsia" w:ascii="仿宋_GB2312" w:hAnsi="仿宋_GB2312" w:eastAsia="仿宋_GB2312" w:cs="仿宋_GB2312"/>
          <w:color w:val="333333"/>
          <w:sz w:val="32"/>
          <w:szCs w:val="32"/>
        </w:rPr>
        <w:t>年龄</w:t>
      </w:r>
      <w:r>
        <w:rPr>
          <w:rFonts w:hint="eastAsia" w:ascii="仿宋_GB2312" w:hAnsi="仿宋_GB2312" w:eastAsia="仿宋_GB2312" w:cs="仿宋_GB2312"/>
          <w:color w:val="333333"/>
          <w:sz w:val="32"/>
          <w:szCs w:val="32"/>
          <w:lang w:eastAsia="zh-CN"/>
        </w:rPr>
        <w:t>偏</w:t>
      </w:r>
      <w:r>
        <w:rPr>
          <w:rFonts w:hint="eastAsia" w:ascii="仿宋_GB2312" w:hAnsi="仿宋_GB2312" w:eastAsia="仿宋_GB2312" w:cs="仿宋_GB2312"/>
          <w:color w:val="333333"/>
          <w:sz w:val="32"/>
          <w:szCs w:val="32"/>
        </w:rPr>
        <w:t>大，工作量大，</w:t>
      </w:r>
      <w:r>
        <w:rPr>
          <w:rFonts w:hint="eastAsia" w:ascii="仿宋_GB2312" w:hAnsi="仿宋_GB2312" w:eastAsia="仿宋_GB2312" w:cs="仿宋_GB2312"/>
          <w:color w:val="333333"/>
          <w:sz w:val="32"/>
          <w:szCs w:val="32"/>
          <w:lang w:eastAsia="zh-CN"/>
        </w:rPr>
        <w:t>自身能力限制了对新的财务知识、</w:t>
      </w:r>
      <w:r>
        <w:rPr>
          <w:rFonts w:hint="eastAsia" w:ascii="仿宋_GB2312" w:hAnsi="仿宋_GB2312" w:eastAsia="仿宋_GB2312" w:cs="仿宋_GB2312"/>
          <w:color w:val="333333"/>
          <w:sz w:val="32"/>
          <w:szCs w:val="32"/>
        </w:rPr>
        <w:t>新的</w:t>
      </w:r>
      <w:r>
        <w:rPr>
          <w:rFonts w:hint="eastAsia" w:ascii="仿宋_GB2312" w:hAnsi="仿宋_GB2312" w:eastAsia="仿宋_GB2312" w:cs="仿宋_GB2312"/>
          <w:color w:val="333333"/>
          <w:sz w:val="32"/>
          <w:szCs w:val="32"/>
          <w:lang w:eastAsia="zh-CN"/>
        </w:rPr>
        <w:t>政策、</w:t>
      </w:r>
      <w:r>
        <w:rPr>
          <w:rFonts w:hint="eastAsia" w:ascii="仿宋_GB2312" w:hAnsi="仿宋_GB2312" w:eastAsia="仿宋_GB2312" w:cs="仿宋_GB2312"/>
          <w:color w:val="333333"/>
          <w:sz w:val="32"/>
          <w:szCs w:val="32"/>
        </w:rPr>
        <w:t>绩效考核知识</w:t>
      </w:r>
      <w:r>
        <w:rPr>
          <w:rFonts w:hint="eastAsia" w:ascii="仿宋_GB2312" w:hAnsi="仿宋_GB2312" w:eastAsia="仿宋_GB2312" w:cs="仿宋_GB2312"/>
          <w:color w:val="333333"/>
          <w:sz w:val="32"/>
          <w:szCs w:val="32"/>
          <w:lang w:eastAsia="zh-CN"/>
        </w:rPr>
        <w:t>的理解</w:t>
      </w:r>
      <w:r>
        <w:rPr>
          <w:rFonts w:hint="eastAsia" w:ascii="仿宋_GB2312" w:hAnsi="仿宋_GB2312" w:eastAsia="仿宋_GB2312" w:cs="仿宋_GB2312"/>
          <w:color w:val="333333"/>
          <w:sz w:val="32"/>
          <w:szCs w:val="32"/>
        </w:rPr>
        <w:t>，使部门内部绩效考核不够</w:t>
      </w:r>
      <w:r>
        <w:rPr>
          <w:rFonts w:hint="eastAsia" w:ascii="仿宋_GB2312" w:hAnsi="仿宋_GB2312" w:eastAsia="仿宋_GB2312" w:cs="仿宋_GB2312"/>
          <w:color w:val="333333"/>
          <w:sz w:val="32"/>
          <w:szCs w:val="32"/>
          <w:lang w:eastAsia="zh-CN"/>
        </w:rPr>
        <w:t>完善、明确、</w:t>
      </w:r>
      <w:r>
        <w:rPr>
          <w:rFonts w:hint="eastAsia" w:ascii="仿宋_GB2312" w:hAnsi="仿宋_GB2312" w:eastAsia="仿宋_GB2312" w:cs="仿宋_GB2312"/>
          <w:color w:val="333333"/>
          <w:sz w:val="32"/>
          <w:szCs w:val="32"/>
        </w:rPr>
        <w:t>精细。</w:t>
      </w:r>
      <w:r>
        <w:rPr>
          <w:rFonts w:hint="eastAsia" w:ascii="仿宋_GB2312" w:eastAsia="仿宋_GB2312"/>
          <w:color w:val="000000"/>
          <w:sz w:val="32"/>
          <w:szCs w:val="32"/>
        </w:rPr>
        <w:t>下一步改进措施：</w:t>
      </w:r>
      <w:r>
        <w:rPr>
          <w:rFonts w:hint="eastAsia" w:ascii="仿宋_GB2312" w:eastAsia="仿宋_GB2312"/>
          <w:color w:val="000000"/>
          <w:sz w:val="32"/>
          <w:szCs w:val="32"/>
          <w:lang w:eastAsia="zh-CN"/>
        </w:rPr>
        <w:t>一是</w:t>
      </w:r>
      <w:r>
        <w:rPr>
          <w:rFonts w:hint="eastAsia" w:ascii="仿宋_GB2312" w:hAnsi="仿宋_GB2312" w:eastAsia="仿宋_GB2312" w:cs="仿宋_GB2312"/>
          <w:color w:val="333333"/>
          <w:sz w:val="32"/>
          <w:szCs w:val="32"/>
        </w:rPr>
        <w:t>建议加强</w:t>
      </w:r>
      <w:r>
        <w:rPr>
          <w:rFonts w:hint="eastAsia" w:ascii="仿宋_GB2312" w:hAnsi="仿宋_GB2312" w:eastAsia="仿宋_GB2312" w:cs="仿宋_GB2312"/>
          <w:color w:val="333333"/>
          <w:sz w:val="32"/>
          <w:szCs w:val="32"/>
          <w:lang w:eastAsia="zh-CN"/>
        </w:rPr>
        <w:t>充实本单位的财务人员。二是</w:t>
      </w:r>
      <w:r>
        <w:rPr>
          <w:rFonts w:hint="eastAsia" w:ascii="仿宋_GB2312" w:hAnsi="仿宋_GB2312" w:eastAsia="仿宋_GB2312" w:cs="仿宋_GB2312"/>
          <w:color w:val="333333"/>
          <w:sz w:val="32"/>
          <w:szCs w:val="32"/>
        </w:rPr>
        <w:t>对各单位财务人员</w:t>
      </w:r>
      <w:r>
        <w:rPr>
          <w:rFonts w:hint="eastAsia" w:ascii="仿宋_GB2312" w:hAnsi="仿宋_GB2312" w:eastAsia="仿宋_GB2312" w:cs="仿宋_GB2312"/>
          <w:color w:val="333333"/>
          <w:sz w:val="32"/>
          <w:szCs w:val="32"/>
          <w:lang w:eastAsia="zh-CN"/>
        </w:rPr>
        <w:t>进行</w:t>
      </w:r>
      <w:r>
        <w:rPr>
          <w:rFonts w:hint="eastAsia" w:ascii="仿宋_GB2312" w:hAnsi="仿宋_GB2312" w:eastAsia="仿宋_GB2312" w:cs="仿宋_GB2312"/>
          <w:color w:val="333333"/>
          <w:sz w:val="32"/>
          <w:szCs w:val="32"/>
        </w:rPr>
        <w:t>业务培训，</w:t>
      </w:r>
      <w:r>
        <w:rPr>
          <w:rFonts w:hint="eastAsia" w:ascii="仿宋_GB2312" w:hAnsi="仿宋_GB2312" w:eastAsia="仿宋_GB2312" w:cs="仿宋_GB2312"/>
          <w:color w:val="333333"/>
          <w:sz w:val="32"/>
          <w:szCs w:val="32"/>
          <w:lang w:eastAsia="zh-CN"/>
        </w:rPr>
        <w:t>促进</w:t>
      </w:r>
      <w:r>
        <w:rPr>
          <w:rFonts w:hint="eastAsia" w:ascii="仿宋_GB2312" w:hAnsi="仿宋_GB2312" w:eastAsia="仿宋_GB2312" w:cs="仿宋_GB2312"/>
          <w:color w:val="333333"/>
          <w:sz w:val="32"/>
          <w:szCs w:val="32"/>
        </w:rPr>
        <w:t>各单位财务工作</w:t>
      </w:r>
      <w:r>
        <w:rPr>
          <w:rFonts w:hint="eastAsia" w:ascii="仿宋_GB2312" w:hAnsi="仿宋_GB2312" w:eastAsia="仿宋_GB2312" w:cs="仿宋_GB2312"/>
          <w:color w:val="333333"/>
          <w:sz w:val="32"/>
          <w:szCs w:val="32"/>
          <w:lang w:eastAsia="zh-CN"/>
        </w:rPr>
        <w:t>人员</w:t>
      </w:r>
      <w:r>
        <w:rPr>
          <w:rFonts w:hint="eastAsia" w:ascii="仿宋_GB2312" w:hAnsi="仿宋_GB2312" w:eastAsia="仿宋_GB2312" w:cs="仿宋_GB2312"/>
          <w:color w:val="333333"/>
          <w:sz w:val="32"/>
          <w:szCs w:val="32"/>
        </w:rPr>
        <w:t>相互交流学习。</w:t>
      </w:r>
      <w:r>
        <w:rPr>
          <w:rFonts w:hint="eastAsia" w:ascii="仿宋_GB2312" w:hAnsi="仿宋_GB2312" w:eastAsia="仿宋_GB2312" w:cs="仿宋_GB2312"/>
          <w:color w:val="333333"/>
          <w:sz w:val="32"/>
          <w:szCs w:val="32"/>
          <w:lang w:eastAsia="zh-CN"/>
        </w:rPr>
        <w:t>三是</w:t>
      </w:r>
      <w:r>
        <w:rPr>
          <w:rFonts w:hint="eastAsia" w:ascii="仿宋_GB2312" w:hAnsi="仿宋_GB2312" w:eastAsia="仿宋_GB2312" w:cs="仿宋_GB2312"/>
          <w:color w:val="333333"/>
          <w:sz w:val="32"/>
          <w:szCs w:val="32"/>
        </w:rPr>
        <w:t>加强预算执行和支出绩效管理</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进一步完善本部门内部控制制度和绩效评价制度</w:t>
      </w:r>
      <w:r>
        <w:rPr>
          <w:rFonts w:hint="eastAsia" w:ascii="仿宋_GB2312" w:hAnsi="仿宋_GB2312" w:eastAsia="仿宋_GB2312" w:cs="仿宋_GB2312"/>
          <w:color w:val="333333"/>
          <w:sz w:val="32"/>
          <w:szCs w:val="32"/>
          <w:lang w:eastAsia="zh-CN"/>
        </w:rPr>
        <w:t>。</w:t>
      </w:r>
    </w:p>
    <w:p>
      <w:pPr>
        <w:ind w:firstLine="1600" w:firstLineChars="500"/>
        <w:jc w:val="both"/>
        <w:rPr>
          <w:rFonts w:hint="eastAsia" w:ascii="黑体" w:hAnsi="黑体" w:eastAsia="黑体"/>
          <w:color w:val="000000"/>
          <w:sz w:val="32"/>
          <w:szCs w:val="32"/>
        </w:rPr>
      </w:pPr>
      <w:r>
        <w:rPr>
          <w:rFonts w:hint="eastAsia" w:ascii="黑体" w:hAnsi="黑体" w:eastAsia="黑体"/>
          <w:color w:val="000000"/>
          <w:sz w:val="32"/>
          <w:szCs w:val="32"/>
        </w:rPr>
        <w:t>2017年部门整体支出绩效评价得分表</w:t>
      </w:r>
    </w:p>
    <w:tbl>
      <w:tblPr>
        <w:tblStyle w:val="7"/>
        <w:tblW w:w="9498" w:type="dxa"/>
        <w:tblInd w:w="-176" w:type="dxa"/>
        <w:tblLayout w:type="fixed"/>
        <w:tblCellMar>
          <w:top w:w="0" w:type="dxa"/>
          <w:left w:w="108" w:type="dxa"/>
          <w:bottom w:w="0" w:type="dxa"/>
          <w:right w:w="108" w:type="dxa"/>
        </w:tblCellMar>
      </w:tblPr>
      <w:tblGrid>
        <w:gridCol w:w="1702"/>
        <w:gridCol w:w="2268"/>
        <w:gridCol w:w="3402"/>
        <w:gridCol w:w="2126"/>
      </w:tblGrid>
      <w:tr>
        <w:tblPrEx>
          <w:tblLayout w:type="fixed"/>
          <w:tblCellMar>
            <w:top w:w="0" w:type="dxa"/>
            <w:left w:w="108" w:type="dxa"/>
            <w:bottom w:w="0" w:type="dxa"/>
            <w:right w:w="108" w:type="dxa"/>
          </w:tblCellMar>
        </w:tblPrEx>
        <w:trPr>
          <w:trHeight w:val="240" w:hRule="atLeast"/>
        </w:trPr>
        <w:tc>
          <w:tcPr>
            <w:tcW w:w="17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2126" w:type="dxa"/>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得分</w:t>
            </w:r>
          </w:p>
        </w:tc>
      </w:tr>
      <w:tr>
        <w:tblPrEx>
          <w:tblLayout w:type="fixed"/>
          <w:tblCellMar>
            <w:top w:w="0" w:type="dxa"/>
            <w:left w:w="108" w:type="dxa"/>
            <w:bottom w:w="0" w:type="dxa"/>
            <w:right w:w="108" w:type="dxa"/>
          </w:tblCellMar>
        </w:tblPrEx>
        <w:trPr>
          <w:trHeight w:val="520" w:hRule="atLeast"/>
        </w:trPr>
        <w:tc>
          <w:tcPr>
            <w:tcW w:w="1702"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部门决策（25分）</w:t>
            </w:r>
          </w:p>
        </w:tc>
        <w:tc>
          <w:tcPr>
            <w:tcW w:w="226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目标任务（15分）</w:t>
            </w: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相关性（5分）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13" w:hRule="atLeast"/>
        </w:trPr>
        <w:tc>
          <w:tcPr>
            <w:tcW w:w="170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明确性（5分）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20" w:hRule="atLeast"/>
        </w:trPr>
        <w:tc>
          <w:tcPr>
            <w:tcW w:w="170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合理性（5分）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4.5</w:t>
            </w:r>
          </w:p>
        </w:tc>
      </w:tr>
      <w:tr>
        <w:tblPrEx>
          <w:tblLayout w:type="fixed"/>
          <w:tblCellMar>
            <w:top w:w="0" w:type="dxa"/>
            <w:left w:w="108" w:type="dxa"/>
            <w:bottom w:w="0" w:type="dxa"/>
            <w:right w:w="108" w:type="dxa"/>
          </w:tblCellMar>
        </w:tblPrEx>
        <w:trPr>
          <w:trHeight w:val="269" w:hRule="atLeast"/>
        </w:trPr>
        <w:tc>
          <w:tcPr>
            <w:tcW w:w="1702"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预算编制（10分）</w:t>
            </w: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测算依据（5分）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r>
      <w:tr>
        <w:tblPrEx>
          <w:tblLayout w:type="fixed"/>
        </w:tblPrEx>
        <w:trPr>
          <w:trHeight w:val="231" w:hRule="atLeast"/>
        </w:trPr>
        <w:tc>
          <w:tcPr>
            <w:tcW w:w="170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目标管理（5分）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77" w:hRule="atLeast"/>
        </w:trPr>
        <w:tc>
          <w:tcPr>
            <w:tcW w:w="1702"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综合管理（30分）</w:t>
            </w: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专项资金分配时限（2分）</w:t>
            </w: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省级财力专项预算分配时限（1分）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r>
      <w:tr>
        <w:tblPrEx>
          <w:tblLayout w:type="fixed"/>
          <w:tblCellMar>
            <w:top w:w="0" w:type="dxa"/>
            <w:left w:w="108" w:type="dxa"/>
            <w:bottom w:w="0" w:type="dxa"/>
            <w:right w:w="108" w:type="dxa"/>
          </w:tblCellMar>
        </w:tblPrEx>
        <w:trPr>
          <w:trHeight w:val="413"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中央专款分配合规率（1分）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r>
      <w:tr>
        <w:tblPrEx>
          <w:tblLayout w:type="fixed"/>
          <w:tblCellMar>
            <w:top w:w="0" w:type="dxa"/>
            <w:left w:w="108" w:type="dxa"/>
            <w:bottom w:w="0" w:type="dxa"/>
            <w:right w:w="108" w:type="dxa"/>
          </w:tblCellMar>
        </w:tblPrEx>
        <w:trPr>
          <w:trHeight w:val="277"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中期评估（2分）</w:t>
            </w: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执行中期评估（2分）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r>
      <w:tr>
        <w:tblPrEx>
          <w:tblLayout w:type="fixed"/>
          <w:tblCellMar>
            <w:top w:w="0" w:type="dxa"/>
            <w:left w:w="108" w:type="dxa"/>
            <w:bottom w:w="0" w:type="dxa"/>
            <w:right w:w="108" w:type="dxa"/>
          </w:tblCellMar>
        </w:tblPrEx>
        <w:trPr>
          <w:trHeight w:val="381"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绩效监控（5分）</w:t>
            </w: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预算执行进度监控（2分）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r>
      <w:tr>
        <w:tblPrEx>
          <w:tblLayout w:type="fixed"/>
          <w:tblCellMar>
            <w:top w:w="0" w:type="dxa"/>
            <w:left w:w="108" w:type="dxa"/>
            <w:bottom w:w="0" w:type="dxa"/>
            <w:right w:w="108" w:type="dxa"/>
          </w:tblCellMar>
        </w:tblPrEx>
        <w:trPr>
          <w:trHeight w:val="273"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绩效目标动态监控（3分）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Layout w:type="fixed"/>
        </w:tblPrEx>
        <w:trPr>
          <w:trHeight w:val="235"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非税收入执收情况（2分）</w:t>
            </w: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非税收入征收情况（1分）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r>
      <w:tr>
        <w:tblPrEx>
          <w:tblLayout w:type="fixed"/>
          <w:tblCellMar>
            <w:top w:w="0" w:type="dxa"/>
            <w:left w:w="108" w:type="dxa"/>
            <w:bottom w:w="0" w:type="dxa"/>
            <w:right w:w="108" w:type="dxa"/>
          </w:tblCellMar>
        </w:tblPrEx>
        <w:trPr>
          <w:trHeight w:val="325"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非税收入上缴情况（1分）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r>
      <w:tr>
        <w:tblPrEx>
          <w:tblLayout w:type="fixed"/>
          <w:tblCellMar>
            <w:top w:w="0" w:type="dxa"/>
            <w:left w:w="108" w:type="dxa"/>
            <w:bottom w:w="0" w:type="dxa"/>
            <w:right w:w="108" w:type="dxa"/>
          </w:tblCellMar>
        </w:tblPrEx>
        <w:trPr>
          <w:trHeight w:val="287"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资产管理（6分）</w:t>
            </w: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资产管理信息化情况（2分）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Layout w:type="fixed"/>
          <w:tblCellMar>
            <w:top w:w="0" w:type="dxa"/>
            <w:left w:w="108" w:type="dxa"/>
            <w:bottom w:w="0" w:type="dxa"/>
            <w:right w:w="108" w:type="dxa"/>
          </w:tblCellMar>
        </w:tblPrEx>
        <w:trPr>
          <w:trHeight w:val="235"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行政事业单位资产报告情况（2分）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Layout w:type="fixed"/>
          <w:tblCellMar>
            <w:top w:w="0" w:type="dxa"/>
            <w:left w:w="108" w:type="dxa"/>
            <w:bottom w:w="0" w:type="dxa"/>
            <w:right w:w="108" w:type="dxa"/>
          </w:tblCellMar>
        </w:tblPrEx>
        <w:trPr>
          <w:trHeight w:val="353"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资产管理与预算管理相结合（2分）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Layout w:type="fixed"/>
          <w:tblCellMar>
            <w:top w:w="0" w:type="dxa"/>
            <w:left w:w="108" w:type="dxa"/>
            <w:bottom w:w="0" w:type="dxa"/>
            <w:right w:w="108" w:type="dxa"/>
          </w:tblCellMar>
        </w:tblPrEx>
        <w:trPr>
          <w:trHeight w:val="272" w:hRule="atLeast"/>
        </w:trPr>
        <w:tc>
          <w:tcPr>
            <w:tcW w:w="1702"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内控制度管理（2分）</w:t>
            </w: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内部控制度健全完整（2分）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Layout w:type="fixed"/>
        </w:tblPrEx>
        <w:trPr>
          <w:trHeight w:val="221" w:hRule="atLeast"/>
        </w:trPr>
        <w:tc>
          <w:tcPr>
            <w:tcW w:w="170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信息公开（6分）</w:t>
            </w: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预算公开（2分）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Layout w:type="fixed"/>
          <w:tblCellMar>
            <w:top w:w="0" w:type="dxa"/>
            <w:left w:w="108" w:type="dxa"/>
            <w:bottom w:w="0" w:type="dxa"/>
            <w:right w:w="108" w:type="dxa"/>
          </w:tblCellMar>
        </w:tblPrEx>
        <w:trPr>
          <w:trHeight w:val="197" w:hRule="atLeast"/>
        </w:trPr>
        <w:tc>
          <w:tcPr>
            <w:tcW w:w="170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决算公开（2分）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Layout w:type="fixed"/>
          <w:tblCellMar>
            <w:top w:w="0" w:type="dxa"/>
            <w:left w:w="108" w:type="dxa"/>
            <w:bottom w:w="0" w:type="dxa"/>
            <w:right w:w="108" w:type="dxa"/>
          </w:tblCellMar>
        </w:tblPrEx>
        <w:trPr>
          <w:trHeight w:val="287" w:hRule="atLeast"/>
        </w:trPr>
        <w:tc>
          <w:tcPr>
            <w:tcW w:w="170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绩效信息公开（2分）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Layout w:type="fixed"/>
          <w:tblCellMar>
            <w:top w:w="0" w:type="dxa"/>
            <w:left w:w="108" w:type="dxa"/>
            <w:bottom w:w="0" w:type="dxa"/>
            <w:right w:w="108" w:type="dxa"/>
          </w:tblCellMar>
        </w:tblPrEx>
        <w:trPr>
          <w:trHeight w:val="405" w:hRule="atLeast"/>
        </w:trPr>
        <w:tc>
          <w:tcPr>
            <w:tcW w:w="170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绩效评价（5分）</w:t>
            </w: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绩效评价开展（2分）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Layout w:type="fixed"/>
          <w:tblCellMar>
            <w:top w:w="0" w:type="dxa"/>
            <w:left w:w="108" w:type="dxa"/>
            <w:bottom w:w="0" w:type="dxa"/>
            <w:right w:w="108" w:type="dxa"/>
          </w:tblCellMar>
        </w:tblPrEx>
        <w:trPr>
          <w:trHeight w:val="127" w:hRule="atLeast"/>
        </w:trPr>
        <w:tc>
          <w:tcPr>
            <w:tcW w:w="170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评价结果应用（3分）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Layout w:type="fixed"/>
          <w:tblCellMar>
            <w:top w:w="0" w:type="dxa"/>
            <w:left w:w="108" w:type="dxa"/>
            <w:bottom w:w="0" w:type="dxa"/>
            <w:right w:w="108" w:type="dxa"/>
          </w:tblCellMar>
        </w:tblPrEx>
        <w:trPr>
          <w:trHeight w:val="231" w:hRule="atLeast"/>
        </w:trPr>
        <w:tc>
          <w:tcPr>
            <w:tcW w:w="1702"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部门绩效情况（45分）</w:t>
            </w: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履职成效（20分）</w:t>
            </w: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部门特性指标</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16</w:t>
            </w:r>
          </w:p>
        </w:tc>
      </w:tr>
      <w:tr>
        <w:tblPrEx>
          <w:tblLayout w:type="fixed"/>
        </w:tblPrEx>
        <w:trPr>
          <w:trHeight w:val="180" w:hRule="atLeast"/>
        </w:trPr>
        <w:tc>
          <w:tcPr>
            <w:tcW w:w="1702"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126"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40" w:hRule="atLeast"/>
        </w:trPr>
        <w:tc>
          <w:tcPr>
            <w:tcW w:w="1702"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126"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40" w:hRule="atLeast"/>
        </w:trPr>
        <w:tc>
          <w:tcPr>
            <w:tcW w:w="1702"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126"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157" w:hRule="atLeast"/>
        </w:trPr>
        <w:tc>
          <w:tcPr>
            <w:tcW w:w="1702"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可持续发展能力（15分）</w:t>
            </w: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重点改革（重点工作）完成情况（5分）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r>
      <w:tr>
        <w:tblPrEx>
          <w:tblLayout w:type="fixed"/>
          <w:tblCellMar>
            <w:top w:w="0" w:type="dxa"/>
            <w:left w:w="108" w:type="dxa"/>
            <w:bottom w:w="0" w:type="dxa"/>
            <w:right w:w="108" w:type="dxa"/>
          </w:tblCellMar>
        </w:tblPrEx>
        <w:trPr>
          <w:trHeight w:val="320" w:hRule="atLeast"/>
        </w:trPr>
        <w:tc>
          <w:tcPr>
            <w:tcW w:w="1702"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科技（制度、方法、机制等）创新（5分）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r>
      <w:tr>
        <w:tblPrEx>
          <w:tblLayout w:type="fixed"/>
          <w:tblCellMar>
            <w:top w:w="0" w:type="dxa"/>
            <w:left w:w="108" w:type="dxa"/>
            <w:bottom w:w="0" w:type="dxa"/>
            <w:right w:w="108" w:type="dxa"/>
          </w:tblCellMar>
        </w:tblPrEx>
        <w:trPr>
          <w:trHeight w:val="385" w:hRule="atLeast"/>
        </w:trPr>
        <w:tc>
          <w:tcPr>
            <w:tcW w:w="1702"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人才培养（5分）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r>
      <w:tr>
        <w:tblPrEx>
          <w:tblLayout w:type="fixed"/>
        </w:tblPrEx>
        <w:trPr>
          <w:trHeight w:val="432" w:hRule="atLeast"/>
        </w:trPr>
        <w:tc>
          <w:tcPr>
            <w:tcW w:w="1702"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满意度（10分）</w:t>
            </w: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协作部门满意度（3分）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2.5</w:t>
            </w:r>
          </w:p>
        </w:tc>
      </w:tr>
      <w:tr>
        <w:tblPrEx>
          <w:tblLayout w:type="fixed"/>
          <w:tblCellMar>
            <w:top w:w="0" w:type="dxa"/>
            <w:left w:w="108" w:type="dxa"/>
            <w:bottom w:w="0" w:type="dxa"/>
            <w:right w:w="108" w:type="dxa"/>
          </w:tblCellMar>
        </w:tblPrEx>
        <w:trPr>
          <w:trHeight w:val="396" w:hRule="atLeast"/>
        </w:trPr>
        <w:tc>
          <w:tcPr>
            <w:tcW w:w="1702"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管理对象满意度（3分）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2.5</w:t>
            </w:r>
          </w:p>
        </w:tc>
      </w:tr>
      <w:tr>
        <w:tblPrEx>
          <w:tblLayout w:type="fixed"/>
          <w:tblCellMar>
            <w:top w:w="0" w:type="dxa"/>
            <w:left w:w="108" w:type="dxa"/>
            <w:bottom w:w="0" w:type="dxa"/>
            <w:right w:w="108" w:type="dxa"/>
          </w:tblCellMar>
        </w:tblPrEx>
        <w:trPr>
          <w:trHeight w:val="411" w:hRule="atLeast"/>
        </w:trPr>
        <w:tc>
          <w:tcPr>
            <w:tcW w:w="170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社会公众满意度（4分）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3.5</w:t>
            </w:r>
          </w:p>
        </w:tc>
      </w:tr>
      <w:tr>
        <w:tblPrEx>
          <w:tblLayout w:type="fixed"/>
          <w:tblCellMar>
            <w:top w:w="0" w:type="dxa"/>
            <w:left w:w="108" w:type="dxa"/>
            <w:bottom w:w="0" w:type="dxa"/>
            <w:right w:w="108" w:type="dxa"/>
          </w:tblCellMar>
        </w:tblPrEx>
        <w:trPr>
          <w:trHeight w:val="411" w:hRule="atLeast"/>
        </w:trPr>
        <w:tc>
          <w:tcPr>
            <w:tcW w:w="170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总体评价得分</w:t>
            </w:r>
          </w:p>
        </w:tc>
        <w:tc>
          <w:tcPr>
            <w:tcW w:w="779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84</w:t>
            </w:r>
          </w:p>
        </w:tc>
      </w:tr>
    </w:tbl>
    <w:p>
      <w:pPr>
        <w:spacing w:line="60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3.部门自行组织绩效评价开展情况。</w:t>
      </w:r>
    </w:p>
    <w:p>
      <w:pPr>
        <w:spacing w:line="600" w:lineRule="atLeas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司法局无</w:t>
      </w:r>
      <w:r>
        <w:rPr>
          <w:rFonts w:hint="eastAsia" w:ascii="仿宋_GB2312" w:eastAsia="仿宋_GB2312"/>
          <w:color w:val="000000"/>
          <w:sz w:val="32"/>
          <w:szCs w:val="32"/>
        </w:rPr>
        <w:t>下属单位。本部门对</w:t>
      </w:r>
      <w:r>
        <w:rPr>
          <w:rFonts w:hint="eastAsia" w:ascii="仿宋_GB2312" w:eastAsia="仿宋_GB2312"/>
          <w:color w:val="000000"/>
          <w:sz w:val="32"/>
          <w:szCs w:val="32"/>
          <w:lang w:eastAsia="zh-CN"/>
        </w:rPr>
        <w:t>司法所规范化建设</w:t>
      </w:r>
      <w:r>
        <w:rPr>
          <w:rFonts w:hint="eastAsia" w:ascii="仿宋_GB2312" w:eastAsia="仿宋_GB2312"/>
          <w:color w:val="000000"/>
          <w:sz w:val="32"/>
          <w:szCs w:val="32"/>
        </w:rPr>
        <w:t>项目开展了绩效评价，得分为</w:t>
      </w:r>
      <w:r>
        <w:rPr>
          <w:rFonts w:hint="eastAsia" w:ascii="仿宋_GB2312" w:eastAsia="仿宋_GB2312"/>
          <w:color w:val="000000"/>
          <w:sz w:val="32"/>
          <w:szCs w:val="32"/>
          <w:lang w:val="en-US" w:eastAsia="zh-CN"/>
        </w:rPr>
        <w:t>80</w:t>
      </w:r>
      <w:r>
        <w:rPr>
          <w:rFonts w:hint="eastAsia" w:ascii="仿宋_GB2312" w:eastAsia="仿宋_GB2312"/>
          <w:color w:val="000000"/>
          <w:sz w:val="32"/>
          <w:szCs w:val="32"/>
        </w:rPr>
        <w:t>分，存在的问题：一是</w:t>
      </w:r>
      <w:r>
        <w:rPr>
          <w:rFonts w:hint="eastAsia" w:ascii="仿宋_GB2312" w:eastAsia="仿宋_GB2312"/>
          <w:color w:val="000000"/>
          <w:sz w:val="32"/>
          <w:szCs w:val="32"/>
          <w:lang w:eastAsia="zh-CN"/>
        </w:rPr>
        <w:t>司法所人员编制不足，不能达到一所一人；</w:t>
      </w:r>
      <w:r>
        <w:rPr>
          <w:rFonts w:hint="eastAsia" w:ascii="仿宋_GB2312" w:eastAsia="仿宋_GB2312"/>
          <w:color w:val="000000"/>
          <w:sz w:val="32"/>
          <w:szCs w:val="32"/>
        </w:rPr>
        <w:t>二是</w:t>
      </w:r>
      <w:r>
        <w:rPr>
          <w:rFonts w:hint="eastAsia" w:ascii="仿宋_GB2312" w:eastAsia="仿宋_GB2312"/>
          <w:color w:val="000000"/>
          <w:sz w:val="32"/>
          <w:szCs w:val="32"/>
          <w:lang w:eastAsia="zh-CN"/>
        </w:rPr>
        <w:t>司法所建设要充分听取基层意见，适不适合建设，怎样建</w:t>
      </w:r>
      <w:r>
        <w:rPr>
          <w:rFonts w:hint="eastAsia" w:ascii="仿宋_GB2312" w:eastAsia="仿宋_GB2312"/>
          <w:color w:val="000000"/>
          <w:sz w:val="32"/>
          <w:szCs w:val="32"/>
        </w:rPr>
        <w:t>。下一步改进措施：一是</w:t>
      </w:r>
      <w:r>
        <w:rPr>
          <w:rFonts w:hint="eastAsia" w:ascii="仿宋_GB2312" w:eastAsia="仿宋_GB2312"/>
          <w:color w:val="000000"/>
          <w:sz w:val="32"/>
          <w:szCs w:val="32"/>
          <w:lang w:eastAsia="zh-CN"/>
        </w:rPr>
        <w:t>积极向组织人事部门争取增加编制；二</w:t>
      </w:r>
      <w:r>
        <w:rPr>
          <w:rFonts w:hint="eastAsia" w:ascii="仿宋_GB2312" w:eastAsia="仿宋_GB2312"/>
          <w:color w:val="000000"/>
          <w:sz w:val="32"/>
          <w:szCs w:val="32"/>
        </w:rPr>
        <w:t>是</w:t>
      </w:r>
      <w:r>
        <w:rPr>
          <w:rFonts w:hint="eastAsia" w:ascii="仿宋_GB2312" w:eastAsia="仿宋_GB2312"/>
          <w:color w:val="000000"/>
          <w:sz w:val="32"/>
          <w:szCs w:val="32"/>
          <w:lang w:eastAsia="zh-CN"/>
        </w:rPr>
        <w:t>积极向上级主管部门建议改进建设目标可行性方案。</w:t>
      </w:r>
    </w:p>
    <w:p>
      <w:pPr>
        <w:ind w:firstLine="2240" w:firstLineChars="700"/>
        <w:jc w:val="both"/>
        <w:rPr>
          <w:rFonts w:hint="eastAsia" w:ascii="黑体" w:hAnsi="黑体" w:eastAsia="黑体"/>
          <w:color w:val="000000"/>
          <w:sz w:val="32"/>
          <w:szCs w:val="32"/>
        </w:rPr>
      </w:pPr>
      <w:r>
        <w:rPr>
          <w:rFonts w:hint="eastAsia" w:ascii="黑体" w:hAnsi="黑体" w:eastAsia="黑体"/>
          <w:color w:val="000000"/>
          <w:sz w:val="32"/>
          <w:szCs w:val="32"/>
        </w:rPr>
        <w:t>2017年项目支出绩效评价得分表</w:t>
      </w:r>
    </w:p>
    <w:tbl>
      <w:tblPr>
        <w:tblStyle w:val="7"/>
        <w:tblW w:w="9888" w:type="dxa"/>
        <w:jc w:val="center"/>
        <w:tblInd w:w="4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2113"/>
        <w:gridCol w:w="3535"/>
        <w:gridCol w:w="131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1618" w:type="dxa"/>
            <w:vAlign w:val="center"/>
          </w:tcPr>
          <w:p>
            <w:pPr>
              <w:widowControl/>
              <w:spacing w:line="260" w:lineRule="exact"/>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单位名称/</w:t>
            </w:r>
          </w:p>
          <w:p>
            <w:pPr>
              <w:widowControl/>
              <w:spacing w:line="260" w:lineRule="exact"/>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项目名称</w:t>
            </w:r>
          </w:p>
        </w:tc>
        <w:tc>
          <w:tcPr>
            <w:tcW w:w="8270" w:type="dxa"/>
            <w:gridSpan w:val="4"/>
            <w:vAlign w:val="center"/>
          </w:tcPr>
          <w:p>
            <w:pPr>
              <w:widowControl/>
              <w:spacing w:line="260" w:lineRule="exact"/>
              <w:jc w:val="center"/>
              <w:rPr>
                <w:rFonts w:hint="eastAsia" w:ascii="宋体" w:hAnsi="宋体" w:eastAsia="宋体" w:cs="宋体"/>
                <w:b/>
                <w:bCs/>
                <w:color w:val="000000"/>
                <w:kern w:val="0"/>
                <w:sz w:val="18"/>
                <w:szCs w:val="18"/>
                <w:lang w:eastAsia="zh-CN"/>
              </w:rPr>
            </w:pPr>
            <w:r>
              <w:rPr>
                <w:rFonts w:hint="eastAsia" w:ascii="宋体" w:hAnsi="宋体" w:cs="宋体"/>
                <w:b/>
                <w:bCs/>
                <w:color w:val="000000"/>
                <w:kern w:val="0"/>
                <w:sz w:val="18"/>
                <w:szCs w:val="18"/>
                <w:lang w:eastAsia="zh-CN"/>
              </w:rPr>
              <w:t>司法所规范化建设项目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1618" w:type="dxa"/>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一级</w:t>
            </w:r>
          </w:p>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指标</w:t>
            </w:r>
          </w:p>
        </w:tc>
        <w:tc>
          <w:tcPr>
            <w:tcW w:w="2113" w:type="dxa"/>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二级</w:t>
            </w:r>
          </w:p>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指标</w:t>
            </w:r>
          </w:p>
        </w:tc>
        <w:tc>
          <w:tcPr>
            <w:tcW w:w="3535" w:type="dxa"/>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1311" w:type="dxa"/>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1311" w:type="dxa"/>
            <w:vAlign w:val="center"/>
          </w:tcPr>
          <w:p>
            <w:pPr>
              <w:widowControl/>
              <w:spacing w:line="260" w:lineRule="exact"/>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18" w:type="dxa"/>
            <w:vMerge w:val="restart"/>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（20分）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项目决策</w:t>
            </w:r>
          </w:p>
        </w:tc>
        <w:tc>
          <w:tcPr>
            <w:tcW w:w="2113" w:type="dxa"/>
            <w:vMerge w:val="restart"/>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（10分）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科学决策</w:t>
            </w: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必要性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（政策依据)</w:t>
            </w:r>
          </w:p>
        </w:tc>
        <w:tc>
          <w:tcPr>
            <w:tcW w:w="1311"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11" w:type="dxa"/>
            <w:vAlign w:val="top"/>
          </w:tcPr>
          <w:p>
            <w:pPr>
              <w:widowControl/>
              <w:spacing w:line="260" w:lineRule="exact"/>
              <w:jc w:val="center"/>
              <w:rPr>
                <w:rFonts w:hint="eastAsia" w:ascii="宋体" w:hAnsi="宋体" w:eastAsia="宋体" w:cs="宋体"/>
                <w:color w:val="auto"/>
                <w:kern w:val="0"/>
                <w:sz w:val="15"/>
                <w:szCs w:val="15"/>
                <w:lang w:val="en-US" w:eastAsia="zh-CN"/>
              </w:rPr>
            </w:pPr>
            <w:r>
              <w:rPr>
                <w:rFonts w:hint="eastAsia" w:ascii="宋体" w:hAnsi="宋体" w:cs="宋体"/>
                <w:color w:val="auto"/>
                <w:kern w:val="0"/>
                <w:sz w:val="15"/>
                <w:szCs w:val="15"/>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vMerge w:val="continue"/>
            <w:vAlign w:val="center"/>
          </w:tcPr>
          <w:p>
            <w:pPr>
              <w:widowControl/>
              <w:spacing w:line="260" w:lineRule="exact"/>
              <w:jc w:val="left"/>
              <w:rPr>
                <w:rFonts w:ascii="宋体" w:hAnsi="宋体" w:cs="宋体"/>
                <w:color w:val="000000"/>
                <w:kern w:val="0"/>
                <w:sz w:val="20"/>
                <w:szCs w:val="20"/>
              </w:rPr>
            </w:pP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可行性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（政策完善）</w:t>
            </w:r>
          </w:p>
        </w:tc>
        <w:tc>
          <w:tcPr>
            <w:tcW w:w="1311"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11" w:type="dxa"/>
            <w:vAlign w:val="top"/>
          </w:tcPr>
          <w:p>
            <w:pPr>
              <w:widowControl/>
              <w:spacing w:line="260" w:lineRule="exact"/>
              <w:jc w:val="center"/>
              <w:rPr>
                <w:rFonts w:hint="eastAsia" w:ascii="宋体" w:hAnsi="宋体" w:eastAsia="宋体" w:cs="宋体"/>
                <w:color w:val="auto"/>
                <w:kern w:val="0"/>
                <w:sz w:val="15"/>
                <w:szCs w:val="15"/>
                <w:lang w:val="en-US" w:eastAsia="zh-CN"/>
              </w:rPr>
            </w:pPr>
            <w:r>
              <w:rPr>
                <w:rFonts w:hint="eastAsia" w:ascii="宋体" w:hAnsi="宋体" w:cs="宋体"/>
                <w:color w:val="auto"/>
                <w:kern w:val="0"/>
                <w:sz w:val="15"/>
                <w:szCs w:val="15"/>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vMerge w:val="restart"/>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绩效目标    </w:t>
            </w: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明确性</w:t>
            </w:r>
          </w:p>
        </w:tc>
        <w:tc>
          <w:tcPr>
            <w:tcW w:w="1311"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11" w:type="dxa"/>
            <w:vAlign w:val="top"/>
          </w:tcPr>
          <w:p>
            <w:pPr>
              <w:widowControl/>
              <w:spacing w:line="260" w:lineRule="exact"/>
              <w:jc w:val="center"/>
              <w:rPr>
                <w:rFonts w:hint="eastAsia" w:ascii="宋体" w:hAnsi="宋体" w:eastAsia="宋体" w:cs="宋体"/>
                <w:color w:val="auto"/>
                <w:kern w:val="0"/>
                <w:sz w:val="15"/>
                <w:szCs w:val="15"/>
                <w:lang w:val="en-US" w:eastAsia="zh-CN"/>
              </w:rPr>
            </w:pPr>
            <w:r>
              <w:rPr>
                <w:rFonts w:hint="eastAsia" w:ascii="宋体" w:hAnsi="宋体" w:cs="宋体"/>
                <w:color w:val="auto"/>
                <w:kern w:val="0"/>
                <w:sz w:val="15"/>
                <w:szCs w:val="15"/>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vMerge w:val="continue"/>
            <w:vAlign w:val="center"/>
          </w:tcPr>
          <w:p>
            <w:pPr>
              <w:widowControl/>
              <w:spacing w:line="260" w:lineRule="exact"/>
              <w:jc w:val="left"/>
              <w:rPr>
                <w:rFonts w:ascii="宋体" w:hAnsi="宋体" w:cs="宋体"/>
                <w:color w:val="000000"/>
                <w:kern w:val="0"/>
                <w:sz w:val="20"/>
                <w:szCs w:val="20"/>
              </w:rPr>
            </w:pP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合理性</w:t>
            </w:r>
          </w:p>
        </w:tc>
        <w:tc>
          <w:tcPr>
            <w:tcW w:w="1311"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11" w:type="dxa"/>
            <w:vAlign w:val="top"/>
          </w:tcPr>
          <w:p>
            <w:pPr>
              <w:widowControl/>
              <w:spacing w:line="260" w:lineRule="exact"/>
              <w:jc w:val="center"/>
              <w:rPr>
                <w:rFonts w:hint="eastAsia" w:ascii="宋体" w:hAnsi="宋体" w:eastAsia="宋体" w:cs="宋体"/>
                <w:color w:val="auto"/>
                <w:kern w:val="0"/>
                <w:sz w:val="15"/>
                <w:szCs w:val="15"/>
                <w:lang w:val="en-US" w:eastAsia="zh-CN"/>
              </w:rPr>
            </w:pPr>
            <w:r>
              <w:rPr>
                <w:rFonts w:hint="eastAsia" w:ascii="宋体" w:hAnsi="宋体" w:cs="宋体"/>
                <w:color w:val="auto"/>
                <w:kern w:val="0"/>
                <w:sz w:val="15"/>
                <w:szCs w:val="15"/>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618" w:type="dxa"/>
            <w:vMerge w:val="restart"/>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（10分）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项目管理</w:t>
            </w:r>
          </w:p>
        </w:tc>
        <w:tc>
          <w:tcPr>
            <w:tcW w:w="2113" w:type="dxa"/>
            <w:vMerge w:val="restart"/>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（7分）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资金管理</w:t>
            </w: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资金分配</w:t>
            </w:r>
          </w:p>
        </w:tc>
        <w:tc>
          <w:tcPr>
            <w:tcW w:w="1311"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311" w:type="dxa"/>
            <w:vAlign w:val="top"/>
          </w:tcPr>
          <w:p>
            <w:pPr>
              <w:widowControl/>
              <w:spacing w:line="260" w:lineRule="exact"/>
              <w:jc w:val="center"/>
              <w:rPr>
                <w:rFonts w:hint="eastAsia" w:ascii="宋体" w:hAnsi="宋体" w:eastAsia="宋体" w:cs="宋体"/>
                <w:color w:val="auto"/>
                <w:kern w:val="0"/>
                <w:sz w:val="15"/>
                <w:szCs w:val="15"/>
                <w:lang w:val="en-US" w:eastAsia="zh-CN"/>
              </w:rPr>
            </w:pPr>
            <w:r>
              <w:rPr>
                <w:rFonts w:hint="eastAsia" w:ascii="宋体" w:hAnsi="宋体" w:cs="宋体"/>
                <w:color w:val="auto"/>
                <w:kern w:val="0"/>
                <w:sz w:val="15"/>
                <w:szCs w:val="15"/>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vMerge w:val="continue"/>
            <w:textDirection w:val="tbRlV"/>
            <w:vAlign w:val="center"/>
          </w:tcPr>
          <w:p>
            <w:pPr>
              <w:widowControl/>
              <w:spacing w:line="260" w:lineRule="exact"/>
              <w:jc w:val="center"/>
              <w:rPr>
                <w:rFonts w:ascii="宋体" w:hAnsi="宋体" w:cs="宋体"/>
                <w:color w:val="000000"/>
                <w:kern w:val="0"/>
                <w:sz w:val="20"/>
                <w:szCs w:val="20"/>
              </w:rPr>
            </w:pP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资金使用</w:t>
            </w:r>
          </w:p>
        </w:tc>
        <w:tc>
          <w:tcPr>
            <w:tcW w:w="1311" w:type="dxa"/>
            <w:vAlign w:val="center"/>
          </w:tcPr>
          <w:p>
            <w:pPr>
              <w:widowControl/>
              <w:spacing w:line="26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c>
          <w:tcPr>
            <w:tcW w:w="1311" w:type="dxa"/>
            <w:vAlign w:val="top"/>
          </w:tcPr>
          <w:p>
            <w:pPr>
              <w:widowControl/>
              <w:spacing w:line="260" w:lineRule="exact"/>
              <w:jc w:val="center"/>
              <w:rPr>
                <w:rFonts w:hint="eastAsia" w:ascii="宋体" w:hAnsi="宋体" w:eastAsia="宋体" w:cs="宋体"/>
                <w:color w:val="auto"/>
                <w:kern w:val="0"/>
                <w:sz w:val="15"/>
                <w:szCs w:val="15"/>
                <w:lang w:val="en-US" w:eastAsia="zh-CN"/>
              </w:rPr>
            </w:pPr>
            <w:r>
              <w:rPr>
                <w:rFonts w:hint="eastAsia" w:ascii="宋体" w:hAnsi="宋体" w:cs="宋体"/>
                <w:color w:val="auto"/>
                <w:kern w:val="0"/>
                <w:sz w:val="15"/>
                <w:szCs w:val="15"/>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（3分）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项目执行</w:t>
            </w: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执行规范</w:t>
            </w:r>
          </w:p>
        </w:tc>
        <w:tc>
          <w:tcPr>
            <w:tcW w:w="1311"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311" w:type="dxa"/>
            <w:vAlign w:val="top"/>
          </w:tcPr>
          <w:p>
            <w:pPr>
              <w:widowControl/>
              <w:spacing w:line="260" w:lineRule="exact"/>
              <w:jc w:val="center"/>
              <w:rPr>
                <w:rFonts w:hint="eastAsia" w:ascii="宋体" w:hAnsi="宋体" w:eastAsia="宋体" w:cs="宋体"/>
                <w:color w:val="000000"/>
                <w:kern w:val="0"/>
                <w:sz w:val="15"/>
                <w:szCs w:val="15"/>
                <w:lang w:val="en-US" w:eastAsia="zh-CN"/>
              </w:rPr>
            </w:pPr>
            <w:r>
              <w:rPr>
                <w:rFonts w:hint="eastAsia" w:ascii="宋体" w:hAnsi="宋体" w:cs="宋体"/>
                <w:color w:val="000000"/>
                <w:kern w:val="0"/>
                <w:sz w:val="15"/>
                <w:szCs w:val="15"/>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618" w:type="dxa"/>
            <w:vMerge w:val="restart"/>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（特性指标70分）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项目绩效  </w:t>
            </w:r>
          </w:p>
        </w:tc>
        <w:tc>
          <w:tcPr>
            <w:tcW w:w="2113" w:type="dxa"/>
            <w:vMerge w:val="restart"/>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项目完成</w:t>
            </w: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完成数量</w:t>
            </w:r>
          </w:p>
        </w:tc>
        <w:tc>
          <w:tcPr>
            <w:tcW w:w="1311"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5 </w:t>
            </w:r>
          </w:p>
        </w:tc>
        <w:tc>
          <w:tcPr>
            <w:tcW w:w="1311" w:type="dxa"/>
            <w:vAlign w:val="top"/>
          </w:tcPr>
          <w:p>
            <w:pPr>
              <w:widowControl/>
              <w:spacing w:line="260" w:lineRule="exact"/>
              <w:jc w:val="center"/>
              <w:rPr>
                <w:rFonts w:hint="eastAsia" w:ascii="宋体" w:hAnsi="宋体" w:eastAsia="宋体" w:cs="宋体"/>
                <w:color w:val="000000"/>
                <w:kern w:val="0"/>
                <w:sz w:val="15"/>
                <w:szCs w:val="15"/>
                <w:lang w:val="en-US" w:eastAsia="zh-CN"/>
              </w:rPr>
            </w:pPr>
            <w:r>
              <w:rPr>
                <w:rFonts w:hint="eastAsia" w:ascii="宋体" w:hAnsi="宋体" w:cs="宋体"/>
                <w:color w:val="000000"/>
                <w:kern w:val="0"/>
                <w:sz w:val="15"/>
                <w:szCs w:val="15"/>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vMerge w:val="continue"/>
            <w:vAlign w:val="center"/>
          </w:tcPr>
          <w:p>
            <w:pPr>
              <w:widowControl/>
              <w:spacing w:line="260" w:lineRule="exact"/>
              <w:jc w:val="left"/>
              <w:rPr>
                <w:rFonts w:ascii="宋体" w:hAnsi="宋体" w:cs="宋体"/>
                <w:color w:val="000000"/>
                <w:kern w:val="0"/>
                <w:sz w:val="20"/>
                <w:szCs w:val="20"/>
              </w:rPr>
            </w:pP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完成质量</w:t>
            </w:r>
          </w:p>
        </w:tc>
        <w:tc>
          <w:tcPr>
            <w:tcW w:w="1311"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5 </w:t>
            </w:r>
          </w:p>
        </w:tc>
        <w:tc>
          <w:tcPr>
            <w:tcW w:w="1311" w:type="dxa"/>
            <w:vAlign w:val="top"/>
          </w:tcPr>
          <w:p>
            <w:pPr>
              <w:widowControl/>
              <w:spacing w:line="260" w:lineRule="exact"/>
              <w:jc w:val="center"/>
              <w:rPr>
                <w:rFonts w:hint="eastAsia" w:ascii="宋体" w:hAnsi="宋体" w:eastAsia="宋体" w:cs="宋体"/>
                <w:color w:val="000000"/>
                <w:kern w:val="0"/>
                <w:sz w:val="15"/>
                <w:szCs w:val="15"/>
                <w:lang w:val="en-US" w:eastAsia="zh-CN"/>
              </w:rPr>
            </w:pPr>
            <w:r>
              <w:rPr>
                <w:rFonts w:hint="eastAsia" w:ascii="宋体" w:hAnsi="宋体" w:cs="宋体"/>
                <w:color w:val="000000"/>
                <w:kern w:val="0"/>
                <w:sz w:val="15"/>
                <w:szCs w:val="15"/>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90"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vMerge w:val="continue"/>
            <w:vAlign w:val="center"/>
          </w:tcPr>
          <w:p>
            <w:pPr>
              <w:widowControl/>
              <w:spacing w:line="260" w:lineRule="exact"/>
              <w:jc w:val="left"/>
              <w:rPr>
                <w:rFonts w:ascii="宋体" w:hAnsi="宋体" w:cs="宋体"/>
                <w:color w:val="000000"/>
                <w:kern w:val="0"/>
                <w:sz w:val="20"/>
                <w:szCs w:val="20"/>
              </w:rPr>
            </w:pP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完成时效</w:t>
            </w:r>
          </w:p>
        </w:tc>
        <w:tc>
          <w:tcPr>
            <w:tcW w:w="1311"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11" w:type="dxa"/>
            <w:vAlign w:val="top"/>
          </w:tcPr>
          <w:p>
            <w:pPr>
              <w:widowControl/>
              <w:spacing w:line="260" w:lineRule="exact"/>
              <w:jc w:val="center"/>
              <w:rPr>
                <w:rFonts w:hint="eastAsia" w:ascii="宋体" w:hAnsi="宋体" w:eastAsia="宋体" w:cs="宋体"/>
                <w:color w:val="000000"/>
                <w:kern w:val="0"/>
                <w:sz w:val="15"/>
                <w:szCs w:val="15"/>
                <w:lang w:val="en-US" w:eastAsia="zh-CN"/>
              </w:rPr>
            </w:pPr>
            <w:r>
              <w:rPr>
                <w:rFonts w:hint="eastAsia" w:ascii="宋体" w:hAnsi="宋体" w:cs="宋体"/>
                <w:color w:val="000000"/>
                <w:kern w:val="0"/>
                <w:sz w:val="15"/>
                <w:szCs w:val="15"/>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vMerge w:val="continue"/>
            <w:vAlign w:val="center"/>
          </w:tcPr>
          <w:p>
            <w:pPr>
              <w:widowControl/>
              <w:spacing w:line="260" w:lineRule="exact"/>
              <w:jc w:val="left"/>
              <w:rPr>
                <w:rFonts w:ascii="宋体" w:hAnsi="宋体" w:cs="宋体"/>
                <w:color w:val="000000"/>
                <w:kern w:val="0"/>
                <w:sz w:val="20"/>
                <w:szCs w:val="20"/>
              </w:rPr>
            </w:pP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完成成本</w:t>
            </w:r>
          </w:p>
        </w:tc>
        <w:tc>
          <w:tcPr>
            <w:tcW w:w="1311"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11" w:type="dxa"/>
            <w:vAlign w:val="top"/>
          </w:tcPr>
          <w:p>
            <w:pPr>
              <w:widowControl/>
              <w:spacing w:line="260" w:lineRule="exact"/>
              <w:jc w:val="center"/>
              <w:rPr>
                <w:rFonts w:hint="eastAsia" w:ascii="宋体" w:hAnsi="宋体" w:eastAsia="宋体" w:cs="宋体"/>
                <w:color w:val="000000"/>
                <w:kern w:val="0"/>
                <w:sz w:val="15"/>
                <w:szCs w:val="15"/>
                <w:lang w:val="en-US" w:eastAsia="zh-CN"/>
              </w:rPr>
            </w:pPr>
            <w:r>
              <w:rPr>
                <w:rFonts w:hint="eastAsia" w:ascii="宋体" w:hAnsi="宋体" w:cs="宋体"/>
                <w:color w:val="000000"/>
                <w:kern w:val="0"/>
                <w:sz w:val="15"/>
                <w:szCs w:val="15"/>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vMerge w:val="restart"/>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项目效益</w:t>
            </w: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经济效益（可选项）</w:t>
            </w:r>
          </w:p>
        </w:tc>
        <w:tc>
          <w:tcPr>
            <w:tcW w:w="1311" w:type="dxa"/>
            <w:vMerge w:val="restart"/>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1311" w:type="dxa"/>
            <w:vAlign w:val="top"/>
          </w:tcPr>
          <w:p>
            <w:pPr>
              <w:widowControl/>
              <w:spacing w:line="260" w:lineRule="exact"/>
              <w:jc w:val="center"/>
              <w:rPr>
                <w:rFonts w:hint="eastAsia" w:ascii="宋体" w:hAnsi="宋体" w:eastAsia="宋体" w:cs="宋体"/>
                <w:color w:val="000000"/>
                <w:kern w:val="0"/>
                <w:sz w:val="15"/>
                <w:szCs w:val="15"/>
                <w:lang w:val="en-US" w:eastAsia="zh-CN"/>
              </w:rPr>
            </w:pPr>
            <w:r>
              <w:rPr>
                <w:rFonts w:hint="eastAsia" w:ascii="宋体" w:hAnsi="宋体" w:cs="宋体"/>
                <w:color w:val="000000"/>
                <w:kern w:val="0"/>
                <w:sz w:val="15"/>
                <w:szCs w:val="15"/>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vMerge w:val="continue"/>
            <w:vAlign w:val="center"/>
          </w:tcPr>
          <w:p>
            <w:pPr>
              <w:widowControl/>
              <w:spacing w:line="260" w:lineRule="exact"/>
              <w:jc w:val="left"/>
              <w:rPr>
                <w:rFonts w:ascii="宋体" w:hAnsi="宋体" w:cs="宋体"/>
                <w:color w:val="000000"/>
                <w:kern w:val="0"/>
                <w:sz w:val="20"/>
                <w:szCs w:val="20"/>
              </w:rPr>
            </w:pP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社会效益（可选项）</w:t>
            </w:r>
          </w:p>
        </w:tc>
        <w:tc>
          <w:tcPr>
            <w:tcW w:w="1311" w:type="dxa"/>
            <w:vMerge w:val="continue"/>
            <w:vAlign w:val="center"/>
          </w:tcPr>
          <w:p>
            <w:pPr>
              <w:widowControl/>
              <w:spacing w:line="260" w:lineRule="exact"/>
              <w:jc w:val="left"/>
              <w:rPr>
                <w:rFonts w:ascii="宋体" w:hAnsi="宋体" w:cs="宋体"/>
                <w:color w:val="000000"/>
                <w:kern w:val="0"/>
                <w:sz w:val="20"/>
                <w:szCs w:val="20"/>
              </w:rPr>
            </w:pPr>
          </w:p>
        </w:tc>
        <w:tc>
          <w:tcPr>
            <w:tcW w:w="1311" w:type="dxa"/>
            <w:vAlign w:val="top"/>
          </w:tcPr>
          <w:p>
            <w:pPr>
              <w:widowControl/>
              <w:spacing w:line="260" w:lineRule="exact"/>
              <w:jc w:val="center"/>
              <w:rPr>
                <w:rFonts w:hint="eastAsia" w:ascii="宋体" w:hAnsi="宋体" w:eastAsia="宋体" w:cs="宋体"/>
                <w:color w:val="000000"/>
                <w:kern w:val="0"/>
                <w:sz w:val="15"/>
                <w:szCs w:val="15"/>
                <w:lang w:val="en-US" w:eastAsia="zh-CN"/>
              </w:rPr>
            </w:pPr>
            <w:r>
              <w:rPr>
                <w:rFonts w:hint="eastAsia" w:ascii="宋体" w:hAnsi="宋体" w:cs="宋体"/>
                <w:color w:val="000000"/>
                <w:kern w:val="0"/>
                <w:sz w:val="15"/>
                <w:szCs w:val="15"/>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vMerge w:val="continue"/>
            <w:vAlign w:val="center"/>
          </w:tcPr>
          <w:p>
            <w:pPr>
              <w:widowControl/>
              <w:spacing w:line="260" w:lineRule="exact"/>
              <w:jc w:val="left"/>
              <w:rPr>
                <w:rFonts w:ascii="宋体" w:hAnsi="宋体" w:cs="宋体"/>
                <w:color w:val="000000"/>
                <w:kern w:val="0"/>
                <w:sz w:val="20"/>
                <w:szCs w:val="20"/>
              </w:rPr>
            </w:pP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生态效益（可选项）</w:t>
            </w:r>
          </w:p>
        </w:tc>
        <w:tc>
          <w:tcPr>
            <w:tcW w:w="1311" w:type="dxa"/>
            <w:vMerge w:val="continue"/>
            <w:vAlign w:val="center"/>
          </w:tcPr>
          <w:p>
            <w:pPr>
              <w:widowControl/>
              <w:spacing w:line="260" w:lineRule="exact"/>
              <w:jc w:val="left"/>
              <w:rPr>
                <w:rFonts w:ascii="宋体" w:hAnsi="宋体" w:cs="宋体"/>
                <w:color w:val="000000"/>
                <w:kern w:val="0"/>
                <w:sz w:val="20"/>
                <w:szCs w:val="20"/>
              </w:rPr>
            </w:pPr>
          </w:p>
        </w:tc>
        <w:tc>
          <w:tcPr>
            <w:tcW w:w="1311" w:type="dxa"/>
            <w:vAlign w:val="top"/>
          </w:tcPr>
          <w:p>
            <w:pPr>
              <w:widowControl/>
              <w:spacing w:line="260" w:lineRule="exact"/>
              <w:jc w:val="center"/>
              <w:rPr>
                <w:rFonts w:hint="eastAsia" w:ascii="宋体" w:hAnsi="宋体" w:eastAsia="宋体" w:cs="宋体"/>
                <w:color w:val="000000"/>
                <w:kern w:val="0"/>
                <w:sz w:val="15"/>
                <w:szCs w:val="15"/>
                <w:lang w:val="en-US" w:eastAsia="zh-CN"/>
              </w:rPr>
            </w:pPr>
            <w:r>
              <w:rPr>
                <w:rFonts w:hint="eastAsia" w:ascii="宋体" w:hAnsi="宋体" w:cs="宋体"/>
                <w:color w:val="000000"/>
                <w:kern w:val="0"/>
                <w:sz w:val="15"/>
                <w:szCs w:val="15"/>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vMerge w:val="continue"/>
            <w:vAlign w:val="center"/>
          </w:tcPr>
          <w:p>
            <w:pPr>
              <w:widowControl/>
              <w:spacing w:line="260" w:lineRule="exact"/>
              <w:jc w:val="left"/>
              <w:rPr>
                <w:rFonts w:ascii="宋体" w:hAnsi="宋体" w:cs="宋体"/>
                <w:color w:val="000000"/>
                <w:kern w:val="0"/>
                <w:sz w:val="20"/>
                <w:szCs w:val="20"/>
              </w:rPr>
            </w:pP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可持续效益（可选项）</w:t>
            </w:r>
          </w:p>
        </w:tc>
        <w:tc>
          <w:tcPr>
            <w:tcW w:w="1311" w:type="dxa"/>
            <w:vMerge w:val="continue"/>
            <w:vAlign w:val="center"/>
          </w:tcPr>
          <w:p>
            <w:pPr>
              <w:widowControl/>
              <w:spacing w:line="260" w:lineRule="exact"/>
              <w:jc w:val="left"/>
              <w:rPr>
                <w:rFonts w:ascii="宋体" w:hAnsi="宋体" w:cs="宋体"/>
                <w:color w:val="000000"/>
                <w:kern w:val="0"/>
                <w:sz w:val="20"/>
                <w:szCs w:val="20"/>
              </w:rPr>
            </w:pPr>
          </w:p>
        </w:tc>
        <w:tc>
          <w:tcPr>
            <w:tcW w:w="1311" w:type="dxa"/>
            <w:vAlign w:val="top"/>
          </w:tcPr>
          <w:p>
            <w:pPr>
              <w:widowControl/>
              <w:spacing w:line="260" w:lineRule="exact"/>
              <w:jc w:val="center"/>
              <w:rPr>
                <w:rFonts w:hint="eastAsia" w:ascii="宋体" w:hAnsi="宋体" w:eastAsia="宋体" w:cs="宋体"/>
                <w:color w:val="000000"/>
                <w:kern w:val="0"/>
                <w:sz w:val="15"/>
                <w:szCs w:val="15"/>
                <w:lang w:val="en-US" w:eastAsia="zh-CN"/>
              </w:rPr>
            </w:pPr>
            <w:r>
              <w:rPr>
                <w:rFonts w:hint="eastAsia" w:ascii="宋体" w:hAnsi="宋体" w:cs="宋体"/>
                <w:color w:val="000000"/>
                <w:kern w:val="0"/>
                <w:sz w:val="15"/>
                <w:szCs w:val="15"/>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8"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vMerge w:val="continue"/>
            <w:vAlign w:val="center"/>
          </w:tcPr>
          <w:p>
            <w:pPr>
              <w:widowControl/>
              <w:spacing w:line="260" w:lineRule="exact"/>
              <w:jc w:val="left"/>
              <w:rPr>
                <w:rFonts w:ascii="宋体" w:hAnsi="宋体" w:cs="宋体"/>
                <w:color w:val="000000"/>
                <w:kern w:val="0"/>
                <w:sz w:val="20"/>
                <w:szCs w:val="20"/>
              </w:rPr>
            </w:pP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公平效率（可选项）</w:t>
            </w:r>
          </w:p>
        </w:tc>
        <w:tc>
          <w:tcPr>
            <w:tcW w:w="1311" w:type="dxa"/>
            <w:vMerge w:val="continue"/>
            <w:vAlign w:val="center"/>
          </w:tcPr>
          <w:p>
            <w:pPr>
              <w:widowControl/>
              <w:spacing w:line="260" w:lineRule="exact"/>
              <w:jc w:val="left"/>
              <w:rPr>
                <w:rFonts w:ascii="宋体" w:hAnsi="宋体" w:cs="宋体"/>
                <w:color w:val="000000"/>
                <w:kern w:val="0"/>
                <w:sz w:val="20"/>
                <w:szCs w:val="20"/>
              </w:rPr>
            </w:pPr>
          </w:p>
        </w:tc>
        <w:tc>
          <w:tcPr>
            <w:tcW w:w="1311" w:type="dxa"/>
            <w:vAlign w:val="top"/>
          </w:tcPr>
          <w:p>
            <w:pPr>
              <w:widowControl/>
              <w:spacing w:line="260" w:lineRule="exact"/>
              <w:jc w:val="center"/>
              <w:rPr>
                <w:rFonts w:hint="eastAsia" w:ascii="宋体" w:hAnsi="宋体" w:eastAsia="宋体" w:cs="宋体"/>
                <w:color w:val="000000"/>
                <w:kern w:val="0"/>
                <w:sz w:val="15"/>
                <w:szCs w:val="15"/>
                <w:lang w:val="en-US" w:eastAsia="zh-CN"/>
              </w:rPr>
            </w:pPr>
            <w:r>
              <w:rPr>
                <w:rFonts w:hint="eastAsia" w:ascii="宋体" w:hAnsi="宋体" w:cs="宋体"/>
                <w:color w:val="000000"/>
                <w:kern w:val="0"/>
                <w:sz w:val="15"/>
                <w:szCs w:val="15"/>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vMerge w:val="continue"/>
            <w:vAlign w:val="center"/>
          </w:tcPr>
          <w:p>
            <w:pPr>
              <w:widowControl/>
              <w:spacing w:line="260" w:lineRule="exact"/>
              <w:jc w:val="left"/>
              <w:rPr>
                <w:rFonts w:ascii="宋体" w:hAnsi="宋体" w:cs="宋体"/>
                <w:color w:val="000000"/>
                <w:kern w:val="0"/>
                <w:sz w:val="20"/>
                <w:szCs w:val="20"/>
              </w:rPr>
            </w:pP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使用效率（可选项）</w:t>
            </w:r>
          </w:p>
        </w:tc>
        <w:tc>
          <w:tcPr>
            <w:tcW w:w="1311" w:type="dxa"/>
            <w:vMerge w:val="continue"/>
            <w:vAlign w:val="center"/>
          </w:tcPr>
          <w:p>
            <w:pPr>
              <w:widowControl/>
              <w:spacing w:line="260" w:lineRule="exact"/>
              <w:jc w:val="left"/>
              <w:rPr>
                <w:rFonts w:ascii="宋体" w:hAnsi="宋体" w:cs="宋体"/>
                <w:color w:val="000000"/>
                <w:kern w:val="0"/>
                <w:sz w:val="20"/>
                <w:szCs w:val="20"/>
              </w:rPr>
            </w:pPr>
          </w:p>
        </w:tc>
        <w:tc>
          <w:tcPr>
            <w:tcW w:w="1311" w:type="dxa"/>
            <w:vAlign w:val="top"/>
          </w:tcPr>
          <w:p>
            <w:pPr>
              <w:widowControl/>
              <w:spacing w:line="260" w:lineRule="exact"/>
              <w:jc w:val="center"/>
              <w:rPr>
                <w:rFonts w:hint="eastAsia" w:ascii="宋体" w:hAnsi="宋体" w:eastAsia="宋体" w:cs="宋体"/>
                <w:color w:val="000000"/>
                <w:kern w:val="0"/>
                <w:sz w:val="15"/>
                <w:szCs w:val="15"/>
                <w:lang w:val="en-US" w:eastAsia="zh-CN"/>
              </w:rPr>
            </w:pPr>
            <w:r>
              <w:rPr>
                <w:rFonts w:hint="eastAsia" w:ascii="宋体" w:hAnsi="宋体" w:cs="宋体"/>
                <w:color w:val="000000"/>
                <w:kern w:val="0"/>
                <w:sz w:val="15"/>
                <w:szCs w:val="15"/>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vMerge w:val="continue"/>
            <w:vAlign w:val="center"/>
          </w:tcPr>
          <w:p>
            <w:pPr>
              <w:widowControl/>
              <w:spacing w:line="260" w:lineRule="exact"/>
              <w:jc w:val="left"/>
              <w:rPr>
                <w:rFonts w:ascii="宋体" w:hAnsi="宋体" w:cs="宋体"/>
                <w:color w:val="000000"/>
                <w:kern w:val="0"/>
                <w:sz w:val="20"/>
                <w:szCs w:val="20"/>
              </w:rPr>
            </w:pP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服务对象满意度    </w:t>
            </w:r>
          </w:p>
        </w:tc>
        <w:tc>
          <w:tcPr>
            <w:tcW w:w="1311"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311" w:type="dxa"/>
            <w:vAlign w:val="top"/>
          </w:tcPr>
          <w:p>
            <w:pPr>
              <w:widowControl/>
              <w:spacing w:line="260" w:lineRule="exact"/>
              <w:jc w:val="center"/>
              <w:rPr>
                <w:rFonts w:hint="eastAsia" w:ascii="宋体" w:hAnsi="宋体" w:eastAsia="宋体" w:cs="宋体"/>
                <w:color w:val="000000"/>
                <w:kern w:val="0"/>
                <w:sz w:val="15"/>
                <w:szCs w:val="15"/>
                <w:lang w:val="en-US" w:eastAsia="zh-CN"/>
              </w:rPr>
            </w:pPr>
            <w:r>
              <w:rPr>
                <w:rFonts w:hint="eastAsia" w:ascii="宋体" w:hAnsi="宋体" w:cs="宋体"/>
                <w:color w:val="000000"/>
                <w:kern w:val="0"/>
                <w:sz w:val="15"/>
                <w:szCs w:val="15"/>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1618" w:type="dxa"/>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总分</w:t>
            </w:r>
          </w:p>
        </w:tc>
        <w:tc>
          <w:tcPr>
            <w:tcW w:w="8270" w:type="dxa"/>
            <w:gridSpan w:val="4"/>
            <w:vAlign w:val="center"/>
          </w:tcPr>
          <w:p>
            <w:pPr>
              <w:widowControl/>
              <w:spacing w:line="260" w:lineRule="exact"/>
              <w:jc w:val="center"/>
              <w:rPr>
                <w:rFonts w:hint="eastAsia" w:ascii="宋体" w:hAnsi="宋体" w:eastAsia="宋体" w:cs="宋体"/>
                <w:color w:val="000000"/>
                <w:kern w:val="0"/>
                <w:sz w:val="15"/>
                <w:szCs w:val="15"/>
                <w:lang w:val="en-US" w:eastAsia="zh-CN"/>
              </w:rPr>
            </w:pPr>
            <w:r>
              <w:rPr>
                <w:rFonts w:hint="eastAsia" w:ascii="宋体" w:hAnsi="宋体" w:cs="宋体"/>
                <w:color w:val="000000"/>
                <w:kern w:val="0"/>
                <w:sz w:val="15"/>
                <w:szCs w:val="15"/>
                <w:lang w:val="en-US" w:eastAsia="zh-CN"/>
              </w:rPr>
              <w:t>80</w:t>
            </w:r>
          </w:p>
        </w:tc>
      </w:tr>
    </w:tbl>
    <w:p>
      <w:pPr>
        <w:autoSpaceDE w:val="0"/>
        <w:autoSpaceDN w:val="0"/>
        <w:adjustRightInd w:val="0"/>
        <w:spacing w:line="600" w:lineRule="exact"/>
        <w:ind w:firstLine="640" w:firstLineChars="200"/>
        <w:jc w:val="left"/>
        <w:rPr>
          <w:rFonts w:hint="eastAsia" w:ascii="黑体" w:eastAsia="黑体"/>
          <w:color w:val="000000"/>
          <w:sz w:val="32"/>
          <w:szCs w:val="32"/>
        </w:rPr>
      </w:pPr>
      <w:r>
        <w:rPr>
          <w:rFonts w:hint="eastAsia" w:ascii="黑体" w:eastAsia="黑体"/>
          <w:color w:val="000000"/>
          <w:sz w:val="32"/>
          <w:szCs w:val="32"/>
        </w:rPr>
        <w:t>十一、名词解释</w:t>
      </w:r>
    </w:p>
    <w:p>
      <w:pPr>
        <w:pStyle w:val="8"/>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1.财政拨款收入：指从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pPr>
        <w:pStyle w:val="8"/>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 xml:space="preserve">.年初结转和结余：指以前年度尚未完成、结转到本年按有关规定继续使用的资金。 </w:t>
      </w:r>
    </w:p>
    <w:p>
      <w:pPr>
        <w:spacing w:line="600" w:lineRule="exact"/>
        <w:ind w:firstLine="641"/>
        <w:rPr>
          <w:rFonts w:ascii="仿宋_GB2312" w:hAnsi="仿宋_GB2312" w:eastAsia="仿宋_GB2312" w:cs="Times New Roman"/>
          <w:kern w:val="1"/>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、年末结转和结余：</w:t>
      </w:r>
      <w:r>
        <w:rPr>
          <w:rFonts w:ascii="仿宋_GB2312" w:hAnsi="仿宋_GB2312" w:eastAsia="仿宋_GB2312" w:cs="Times New Roman"/>
          <w:kern w:val="1"/>
          <w:sz w:val="32"/>
          <w:szCs w:val="32"/>
        </w:rPr>
        <w:t>指本年度或以前年度预算安排、因客观条件发生变化无法按原计划实施，需延迟到以后年度按有关规定继续使用的资金。</w:t>
      </w:r>
    </w:p>
    <w:p>
      <w:pPr>
        <w:spacing w:line="600" w:lineRule="exact"/>
        <w:ind w:firstLine="641"/>
        <w:rPr>
          <w:rFonts w:hint="eastAsia" w:ascii="仿宋_GB2312" w:hAnsi="仿宋_GB2312" w:eastAsia="仿宋_GB2312" w:cs="Times New Roman"/>
          <w:kern w:val="1"/>
          <w:sz w:val="32"/>
          <w:szCs w:val="32"/>
        </w:rPr>
      </w:pPr>
      <w:r>
        <w:rPr>
          <w:rFonts w:hint="eastAsia" w:ascii="仿宋_GB2312" w:hAnsi="仿宋_GB2312" w:eastAsia="仿宋_GB2312" w:cs="Times New Roman"/>
          <w:kern w:val="1"/>
          <w:sz w:val="32"/>
          <w:szCs w:val="32"/>
          <w:lang w:val="en-US" w:eastAsia="zh-CN"/>
        </w:rPr>
        <w:t>4.</w:t>
      </w:r>
      <w:r>
        <w:rPr>
          <w:rFonts w:hint="eastAsia" w:ascii="仿宋_GB2312" w:hAnsi="仿宋_GB2312" w:eastAsia="仿宋_GB2312" w:cs="Times New Roman"/>
          <w:kern w:val="1"/>
          <w:sz w:val="32"/>
          <w:szCs w:val="32"/>
        </w:rPr>
        <w:t>公共安全（类）司法（款）</w:t>
      </w:r>
      <w:r>
        <w:rPr>
          <w:rFonts w:ascii="仿宋_GB2312" w:hAnsi="仿宋_GB2312" w:eastAsia="仿宋_GB2312" w:cs="Times New Roman"/>
          <w:kern w:val="1"/>
          <w:sz w:val="32"/>
          <w:szCs w:val="32"/>
        </w:rPr>
        <w:t>：指</w:t>
      </w:r>
      <w:r>
        <w:rPr>
          <w:rFonts w:hint="eastAsia" w:ascii="仿宋_GB2312" w:hAnsi="仿宋_GB2312" w:eastAsia="仿宋_GB2312" w:cs="Times New Roman"/>
          <w:kern w:val="1"/>
          <w:sz w:val="32"/>
          <w:szCs w:val="32"/>
        </w:rPr>
        <w:t>司法行政事务支出。</w:t>
      </w:r>
    </w:p>
    <w:p>
      <w:pPr>
        <w:spacing w:line="600" w:lineRule="exact"/>
        <w:ind w:firstLine="641"/>
        <w:rPr>
          <w:rFonts w:ascii="仿宋_GB2312" w:hAnsi="仿宋_GB2312" w:eastAsia="仿宋_GB2312" w:cs="Times New Roman"/>
          <w:kern w:val="1"/>
          <w:sz w:val="32"/>
          <w:szCs w:val="32"/>
        </w:rPr>
      </w:pPr>
      <w:r>
        <w:rPr>
          <w:rFonts w:hint="eastAsia" w:ascii="仿宋_GB2312" w:hAnsi="仿宋_GB2312" w:eastAsia="仿宋_GB2312" w:cs="Times New Roman"/>
          <w:kern w:val="1"/>
          <w:sz w:val="32"/>
          <w:szCs w:val="32"/>
          <w:lang w:val="en-US" w:eastAsia="zh-CN"/>
        </w:rPr>
        <w:t>5</w:t>
      </w:r>
      <w:r>
        <w:rPr>
          <w:rFonts w:ascii="仿宋_GB2312" w:hAnsi="仿宋_GB2312" w:eastAsia="仿宋_GB2312" w:cs="Times New Roman"/>
          <w:kern w:val="1"/>
          <w:sz w:val="32"/>
          <w:szCs w:val="32"/>
        </w:rPr>
        <w:t>.公共安全</w:t>
      </w:r>
      <w:r>
        <w:rPr>
          <w:rFonts w:hint="eastAsia" w:ascii="仿宋_GB2312" w:hAnsi="仿宋_GB2312" w:eastAsia="仿宋_GB2312" w:cs="Times New Roman"/>
          <w:kern w:val="1"/>
          <w:sz w:val="32"/>
          <w:szCs w:val="32"/>
        </w:rPr>
        <w:t>（类）</w:t>
      </w:r>
      <w:r>
        <w:rPr>
          <w:rFonts w:ascii="仿宋_GB2312" w:hAnsi="仿宋_GB2312" w:eastAsia="仿宋_GB2312" w:cs="Times New Roman"/>
          <w:kern w:val="1"/>
          <w:sz w:val="32"/>
          <w:szCs w:val="32"/>
        </w:rPr>
        <w:t>司法</w:t>
      </w:r>
      <w:r>
        <w:rPr>
          <w:rFonts w:hint="eastAsia" w:ascii="仿宋_GB2312" w:hAnsi="仿宋_GB2312" w:eastAsia="仿宋_GB2312" w:cs="Times New Roman"/>
          <w:kern w:val="1"/>
          <w:sz w:val="32"/>
          <w:szCs w:val="32"/>
        </w:rPr>
        <w:t>（款）</w:t>
      </w:r>
      <w:r>
        <w:rPr>
          <w:rFonts w:ascii="仿宋_GB2312" w:hAnsi="仿宋_GB2312" w:eastAsia="仿宋_GB2312" w:cs="Times New Roman"/>
          <w:kern w:val="1"/>
          <w:sz w:val="32"/>
          <w:szCs w:val="32"/>
        </w:rPr>
        <w:t>行政运行</w:t>
      </w:r>
      <w:r>
        <w:rPr>
          <w:rFonts w:hint="eastAsia" w:ascii="仿宋_GB2312" w:hAnsi="仿宋_GB2312" w:eastAsia="仿宋_GB2312" w:cs="Times New Roman"/>
          <w:kern w:val="1"/>
          <w:sz w:val="32"/>
          <w:szCs w:val="32"/>
        </w:rPr>
        <w:t>（项）</w:t>
      </w:r>
      <w:r>
        <w:rPr>
          <w:rFonts w:ascii="仿宋_GB2312" w:hAnsi="仿宋_GB2312" w:eastAsia="仿宋_GB2312" w:cs="Times New Roman"/>
          <w:kern w:val="1"/>
          <w:sz w:val="32"/>
          <w:szCs w:val="32"/>
        </w:rPr>
        <w:t>：指反映行政单位(包括实行公务员管理的事业单位)的基本支出。</w:t>
      </w:r>
    </w:p>
    <w:p>
      <w:pPr>
        <w:spacing w:line="600" w:lineRule="exact"/>
        <w:ind w:firstLine="641"/>
        <w:rPr>
          <w:rFonts w:ascii="仿宋_GB2312" w:hAnsi="仿宋_GB2312" w:eastAsia="仿宋_GB2312" w:cs="Times New Roman"/>
          <w:kern w:val="1"/>
          <w:sz w:val="32"/>
          <w:szCs w:val="32"/>
        </w:rPr>
      </w:pPr>
      <w:r>
        <w:rPr>
          <w:rFonts w:hint="eastAsia" w:ascii="仿宋_GB2312" w:hAnsi="仿宋_GB2312" w:eastAsia="仿宋_GB2312" w:cs="Times New Roman"/>
          <w:kern w:val="1"/>
          <w:sz w:val="32"/>
          <w:szCs w:val="32"/>
          <w:lang w:val="en-US" w:eastAsia="zh-CN"/>
        </w:rPr>
        <w:t>6</w:t>
      </w:r>
      <w:r>
        <w:rPr>
          <w:rFonts w:ascii="仿宋_GB2312" w:hAnsi="仿宋_GB2312" w:eastAsia="仿宋_GB2312" w:cs="Times New Roman"/>
          <w:kern w:val="1"/>
          <w:sz w:val="32"/>
          <w:szCs w:val="32"/>
        </w:rPr>
        <w:t>.公共安全</w:t>
      </w:r>
      <w:r>
        <w:rPr>
          <w:rFonts w:hint="eastAsia" w:ascii="仿宋_GB2312" w:hAnsi="仿宋_GB2312" w:eastAsia="仿宋_GB2312" w:cs="Times New Roman"/>
          <w:kern w:val="1"/>
          <w:sz w:val="32"/>
          <w:szCs w:val="32"/>
        </w:rPr>
        <w:t>（类）</w:t>
      </w:r>
      <w:r>
        <w:rPr>
          <w:rFonts w:ascii="仿宋_GB2312" w:hAnsi="仿宋_GB2312" w:eastAsia="仿宋_GB2312" w:cs="Times New Roman"/>
          <w:kern w:val="1"/>
          <w:sz w:val="32"/>
          <w:szCs w:val="32"/>
        </w:rPr>
        <w:t>司法</w:t>
      </w:r>
      <w:r>
        <w:rPr>
          <w:rFonts w:hint="eastAsia" w:ascii="仿宋_GB2312" w:hAnsi="仿宋_GB2312" w:eastAsia="仿宋_GB2312" w:cs="Times New Roman"/>
          <w:kern w:val="1"/>
          <w:sz w:val="32"/>
          <w:szCs w:val="32"/>
        </w:rPr>
        <w:t>（款）</w:t>
      </w:r>
      <w:r>
        <w:rPr>
          <w:rFonts w:hint="eastAsia" w:ascii="仿宋_GB2312" w:hAnsi="仿宋_GB2312" w:eastAsia="仿宋_GB2312" w:cs="Times New Roman"/>
          <w:kern w:val="1"/>
          <w:sz w:val="32"/>
          <w:szCs w:val="32"/>
          <w:lang w:eastAsia="zh-CN"/>
        </w:rPr>
        <w:t>一般行政管理事务</w:t>
      </w:r>
      <w:r>
        <w:rPr>
          <w:rFonts w:hint="eastAsia" w:ascii="仿宋_GB2312" w:hAnsi="仿宋_GB2312" w:eastAsia="仿宋_GB2312" w:cs="Times New Roman"/>
          <w:kern w:val="1"/>
          <w:sz w:val="32"/>
          <w:szCs w:val="32"/>
        </w:rPr>
        <w:t>（项）</w:t>
      </w:r>
      <w:r>
        <w:rPr>
          <w:rFonts w:ascii="仿宋_GB2312" w:hAnsi="仿宋_GB2312" w:eastAsia="仿宋_GB2312" w:cs="Times New Roman"/>
          <w:kern w:val="1"/>
          <w:sz w:val="32"/>
          <w:szCs w:val="32"/>
        </w:rPr>
        <w:t>：指司法行政</w:t>
      </w:r>
      <w:r>
        <w:rPr>
          <w:rFonts w:hint="eastAsia" w:ascii="仿宋_GB2312" w:hAnsi="仿宋_GB2312" w:eastAsia="仿宋_GB2312" w:cs="Times New Roman"/>
          <w:kern w:val="1"/>
          <w:sz w:val="32"/>
          <w:szCs w:val="32"/>
          <w:lang w:eastAsia="zh-CN"/>
        </w:rPr>
        <w:t>单位未单独设置项级科目的其他项目</w:t>
      </w:r>
      <w:r>
        <w:rPr>
          <w:rFonts w:ascii="仿宋_GB2312" w:hAnsi="仿宋_GB2312" w:eastAsia="仿宋_GB2312" w:cs="Times New Roman"/>
          <w:kern w:val="1"/>
          <w:sz w:val="32"/>
          <w:szCs w:val="32"/>
        </w:rPr>
        <w:t>支出。</w:t>
      </w:r>
    </w:p>
    <w:p>
      <w:pPr>
        <w:spacing w:line="600" w:lineRule="exact"/>
        <w:ind w:firstLine="641"/>
        <w:rPr>
          <w:rFonts w:ascii="仿宋_GB2312" w:hAnsi="仿宋_GB2312" w:eastAsia="仿宋_GB2312" w:cs="Times New Roman"/>
          <w:kern w:val="1"/>
          <w:sz w:val="32"/>
          <w:szCs w:val="32"/>
        </w:rPr>
      </w:pPr>
      <w:r>
        <w:rPr>
          <w:rFonts w:hint="eastAsia" w:ascii="仿宋_GB2312" w:hAnsi="仿宋_GB2312" w:eastAsia="仿宋_GB2312" w:cs="Times New Roman"/>
          <w:kern w:val="1"/>
          <w:sz w:val="32"/>
          <w:szCs w:val="32"/>
          <w:lang w:val="en-US" w:eastAsia="zh-CN"/>
        </w:rPr>
        <w:t>7</w:t>
      </w:r>
      <w:r>
        <w:rPr>
          <w:rFonts w:ascii="仿宋_GB2312" w:hAnsi="仿宋_GB2312" w:eastAsia="仿宋_GB2312" w:cs="Times New Roman"/>
          <w:kern w:val="1"/>
          <w:sz w:val="32"/>
          <w:szCs w:val="32"/>
        </w:rPr>
        <w:t>.公共安全</w:t>
      </w:r>
      <w:r>
        <w:rPr>
          <w:rFonts w:hint="eastAsia" w:ascii="仿宋_GB2312" w:hAnsi="仿宋_GB2312" w:eastAsia="仿宋_GB2312" w:cs="Times New Roman"/>
          <w:kern w:val="1"/>
          <w:sz w:val="32"/>
          <w:szCs w:val="32"/>
        </w:rPr>
        <w:t>（类）</w:t>
      </w:r>
      <w:r>
        <w:rPr>
          <w:rFonts w:ascii="仿宋_GB2312" w:hAnsi="仿宋_GB2312" w:eastAsia="仿宋_GB2312" w:cs="Times New Roman"/>
          <w:kern w:val="1"/>
          <w:sz w:val="32"/>
          <w:szCs w:val="32"/>
        </w:rPr>
        <w:t>司法</w:t>
      </w:r>
      <w:r>
        <w:rPr>
          <w:rFonts w:hint="eastAsia" w:ascii="仿宋_GB2312" w:hAnsi="仿宋_GB2312" w:eastAsia="仿宋_GB2312" w:cs="Times New Roman"/>
          <w:kern w:val="1"/>
          <w:sz w:val="32"/>
          <w:szCs w:val="32"/>
        </w:rPr>
        <w:t>（款）</w:t>
      </w:r>
      <w:r>
        <w:rPr>
          <w:rFonts w:ascii="仿宋_GB2312" w:hAnsi="仿宋_GB2312" w:eastAsia="仿宋_GB2312" w:cs="Times New Roman"/>
          <w:kern w:val="1"/>
          <w:sz w:val="32"/>
          <w:szCs w:val="32"/>
        </w:rPr>
        <w:t>法律援助</w:t>
      </w:r>
      <w:r>
        <w:rPr>
          <w:rFonts w:hint="eastAsia" w:ascii="仿宋_GB2312" w:hAnsi="仿宋_GB2312" w:eastAsia="仿宋_GB2312" w:cs="Times New Roman"/>
          <w:kern w:val="1"/>
          <w:sz w:val="32"/>
          <w:szCs w:val="32"/>
        </w:rPr>
        <w:t>（项）</w:t>
      </w:r>
      <w:r>
        <w:rPr>
          <w:rFonts w:ascii="仿宋_GB2312" w:hAnsi="仿宋_GB2312" w:eastAsia="仿宋_GB2312" w:cs="Times New Roman"/>
          <w:kern w:val="1"/>
          <w:sz w:val="32"/>
          <w:szCs w:val="32"/>
        </w:rPr>
        <w:t>：指法律援助机构用于开展法律援助工作的支出。</w:t>
      </w:r>
    </w:p>
    <w:p>
      <w:pPr>
        <w:spacing w:line="600" w:lineRule="exact"/>
        <w:ind w:firstLine="641"/>
        <w:rPr>
          <w:rFonts w:hint="eastAsia" w:ascii="仿宋_GB2312" w:hAnsi="仿宋_GB2312" w:eastAsia="仿宋_GB2312" w:cs="Times New Roman"/>
          <w:kern w:val="1"/>
          <w:sz w:val="32"/>
          <w:szCs w:val="32"/>
        </w:rPr>
      </w:pPr>
      <w:r>
        <w:rPr>
          <w:rFonts w:ascii="仿宋_GB2312" w:hAnsi="仿宋_GB2312" w:eastAsia="仿宋_GB2312" w:cs="Times New Roman"/>
          <w:kern w:val="1"/>
          <w:sz w:val="32"/>
          <w:szCs w:val="32"/>
        </w:rPr>
        <w:t>8.社会保障和就业</w:t>
      </w:r>
      <w:r>
        <w:rPr>
          <w:rFonts w:hint="eastAsia" w:ascii="仿宋_GB2312" w:hAnsi="仿宋_GB2312" w:eastAsia="仿宋_GB2312" w:cs="Times New Roman"/>
          <w:kern w:val="1"/>
          <w:sz w:val="32"/>
          <w:szCs w:val="32"/>
        </w:rPr>
        <w:t>（类）行政事业单位离退休（款）未归口管理的行政单位离退休（项）：</w:t>
      </w:r>
      <w:r>
        <w:rPr>
          <w:rFonts w:ascii="仿宋_GB2312" w:hAnsi="仿宋_GB2312" w:eastAsia="仿宋_GB2312" w:cs="Times New Roman"/>
          <w:kern w:val="1"/>
          <w:sz w:val="32"/>
          <w:szCs w:val="32"/>
        </w:rPr>
        <w:t>指</w:t>
      </w:r>
      <w:r>
        <w:rPr>
          <w:rFonts w:hint="eastAsia" w:ascii="仿宋_GB2312" w:hAnsi="仿宋_GB2312" w:eastAsia="仿宋_GB2312" w:cs="Times New Roman"/>
          <w:kern w:val="1"/>
          <w:sz w:val="32"/>
          <w:szCs w:val="32"/>
        </w:rPr>
        <w:t>未实行归口管理的行政单位(包括实行公务员管理的事业单位)开支的离退休经费。</w:t>
      </w:r>
    </w:p>
    <w:p>
      <w:pPr>
        <w:spacing w:line="600" w:lineRule="exact"/>
        <w:ind w:firstLine="641"/>
        <w:rPr>
          <w:rFonts w:hint="eastAsia" w:ascii="仿宋_GB2312" w:hAnsi="仿宋_GB2312" w:eastAsia="仿宋_GB2312" w:cs="Times New Roman"/>
          <w:kern w:val="1"/>
          <w:sz w:val="32"/>
          <w:szCs w:val="32"/>
          <w:lang w:eastAsia="zh-CN"/>
        </w:rPr>
      </w:pPr>
      <w:r>
        <w:rPr>
          <w:rFonts w:hint="eastAsia" w:ascii="仿宋_GB2312" w:hAnsi="仿宋_GB2312" w:eastAsia="仿宋_GB2312" w:cs="Times New Roman"/>
          <w:kern w:val="1"/>
          <w:sz w:val="32"/>
          <w:szCs w:val="32"/>
          <w:lang w:val="en-US" w:eastAsia="zh-CN"/>
        </w:rPr>
        <w:t>9.</w:t>
      </w:r>
      <w:r>
        <w:rPr>
          <w:rFonts w:ascii="仿宋_GB2312" w:hAnsi="仿宋_GB2312" w:eastAsia="仿宋_GB2312" w:cs="Times New Roman"/>
          <w:kern w:val="1"/>
          <w:sz w:val="32"/>
          <w:szCs w:val="32"/>
        </w:rPr>
        <w:t>社会保障和就业</w:t>
      </w:r>
      <w:r>
        <w:rPr>
          <w:rFonts w:hint="eastAsia" w:ascii="仿宋_GB2312" w:hAnsi="仿宋_GB2312" w:eastAsia="仿宋_GB2312" w:cs="Times New Roman"/>
          <w:kern w:val="1"/>
          <w:sz w:val="32"/>
          <w:szCs w:val="32"/>
        </w:rPr>
        <w:t>（类）行政事业单位离退休（款）</w:t>
      </w:r>
      <w:r>
        <w:rPr>
          <w:rFonts w:hint="eastAsia" w:ascii="仿宋_GB2312" w:hAnsi="仿宋_GB2312" w:eastAsia="仿宋_GB2312" w:cs="Times New Roman"/>
          <w:kern w:val="1"/>
          <w:sz w:val="32"/>
          <w:szCs w:val="32"/>
          <w:lang w:eastAsia="zh-CN"/>
        </w:rPr>
        <w:t>机关事业单位基本养老保险缴费支出</w:t>
      </w:r>
      <w:r>
        <w:rPr>
          <w:rFonts w:hint="eastAsia" w:ascii="仿宋_GB2312" w:hAnsi="仿宋_GB2312" w:eastAsia="仿宋_GB2312" w:cs="Times New Roman"/>
          <w:kern w:val="1"/>
          <w:sz w:val="32"/>
          <w:szCs w:val="32"/>
        </w:rPr>
        <w:t>（项）：</w:t>
      </w:r>
      <w:r>
        <w:rPr>
          <w:rFonts w:hint="eastAsia" w:ascii="仿宋_GB2312" w:hAnsi="仿宋_GB2312" w:eastAsia="仿宋_GB2312" w:cs="Times New Roman"/>
          <w:kern w:val="1"/>
          <w:sz w:val="32"/>
          <w:szCs w:val="32"/>
          <w:lang w:eastAsia="zh-CN"/>
        </w:rPr>
        <w:t>指司法行政机关事业单位缴纳的基本养老保险费。</w:t>
      </w:r>
    </w:p>
    <w:p>
      <w:pPr>
        <w:spacing w:line="600" w:lineRule="exact"/>
        <w:ind w:firstLine="641"/>
        <w:rPr>
          <w:rFonts w:hint="eastAsia" w:ascii="仿宋_GB2312" w:hAnsi="仿宋_GB2312" w:eastAsia="仿宋_GB2312" w:cs="Times New Roman"/>
          <w:kern w:val="1"/>
          <w:sz w:val="32"/>
          <w:szCs w:val="32"/>
        </w:rPr>
      </w:pPr>
      <w:r>
        <w:rPr>
          <w:rFonts w:ascii="仿宋_GB2312" w:hAnsi="仿宋_GB2312" w:eastAsia="仿宋_GB2312" w:cs="Times New Roman"/>
          <w:kern w:val="1"/>
          <w:sz w:val="32"/>
          <w:szCs w:val="32"/>
        </w:rPr>
        <w:t>1</w:t>
      </w:r>
      <w:r>
        <w:rPr>
          <w:rFonts w:hint="eastAsia" w:ascii="仿宋_GB2312" w:hAnsi="仿宋_GB2312" w:eastAsia="仿宋_GB2312" w:cs="Times New Roman"/>
          <w:kern w:val="1"/>
          <w:sz w:val="32"/>
          <w:szCs w:val="32"/>
          <w:lang w:val="en-US" w:eastAsia="zh-CN"/>
        </w:rPr>
        <w:t>0</w:t>
      </w:r>
      <w:r>
        <w:rPr>
          <w:rFonts w:ascii="仿宋_GB2312" w:hAnsi="仿宋_GB2312" w:eastAsia="仿宋_GB2312" w:cs="Times New Roman"/>
          <w:kern w:val="1"/>
          <w:sz w:val="32"/>
          <w:szCs w:val="32"/>
        </w:rPr>
        <w:t>.社会保障和就业</w:t>
      </w:r>
      <w:r>
        <w:rPr>
          <w:rFonts w:hint="eastAsia" w:ascii="仿宋_GB2312" w:hAnsi="仿宋_GB2312" w:eastAsia="仿宋_GB2312" w:cs="Times New Roman"/>
          <w:kern w:val="1"/>
          <w:sz w:val="32"/>
          <w:szCs w:val="32"/>
        </w:rPr>
        <w:t>（类）抚恤（款）死亡抚恤（项）：指反映按规定用于病故人员</w:t>
      </w:r>
      <w:r>
        <w:rPr>
          <w:rFonts w:hint="eastAsia" w:ascii="仿宋_GB2312" w:hAnsi="仿宋_GB2312" w:eastAsia="仿宋_GB2312" w:cs="Times New Roman"/>
          <w:kern w:val="1"/>
          <w:sz w:val="32"/>
          <w:szCs w:val="32"/>
          <w:lang w:eastAsia="zh-CN"/>
        </w:rPr>
        <w:t>遗</w:t>
      </w:r>
      <w:r>
        <w:rPr>
          <w:rFonts w:hint="eastAsia" w:ascii="仿宋_GB2312" w:hAnsi="仿宋_GB2312" w:eastAsia="仿宋_GB2312" w:cs="Times New Roman"/>
          <w:kern w:val="1"/>
          <w:sz w:val="32"/>
          <w:szCs w:val="32"/>
        </w:rPr>
        <w:t>属的一次性和定期抚恤金</w:t>
      </w:r>
      <w:r>
        <w:rPr>
          <w:rFonts w:hint="eastAsia" w:ascii="仿宋_GB2312" w:hAnsi="仿宋_GB2312" w:eastAsia="仿宋_GB2312" w:cs="Times New Roman"/>
          <w:kern w:val="1"/>
          <w:sz w:val="32"/>
          <w:szCs w:val="32"/>
          <w:lang w:eastAsia="zh-CN"/>
        </w:rPr>
        <w:t>，退休人员的各项抚恤金和</w:t>
      </w:r>
      <w:r>
        <w:rPr>
          <w:rFonts w:hint="eastAsia" w:ascii="仿宋_GB2312" w:hAnsi="仿宋_GB2312" w:eastAsia="仿宋_GB2312" w:cs="Times New Roman"/>
          <w:kern w:val="1"/>
          <w:sz w:val="32"/>
          <w:szCs w:val="32"/>
        </w:rPr>
        <w:t>丧葬补助费。</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11.</w:t>
      </w:r>
      <w:r>
        <w:rPr>
          <w:rFonts w:hint="eastAsia" w:ascii="仿宋_GB2312" w:eastAsia="仿宋_GB2312"/>
          <w:color w:val="000000"/>
          <w:sz w:val="32"/>
          <w:szCs w:val="32"/>
          <w:lang w:eastAsia="zh-CN"/>
        </w:rPr>
        <w:t>住房保障支出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住房改革支出</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住房公积金</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行政事业单位按人力资源和社会保障部、财政部规定的基本工资和津贴补贴以及规定比例为职工缴纳的住房公积金。</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13</w:t>
      </w:r>
      <w:r>
        <w:rPr>
          <w:rFonts w:hint="eastAsia" w:ascii="仿宋_GB2312" w:eastAsia="仿宋_GB2312"/>
          <w:color w:val="000000"/>
          <w:sz w:val="32"/>
          <w:szCs w:val="32"/>
        </w:rPr>
        <w:t xml:space="preserve">.项目支出：指在基本支出之外为完成特定行政任务和事业发展目标所发生的支出。 </w:t>
      </w:r>
    </w:p>
    <w:p>
      <w:pPr>
        <w:pStyle w:val="8"/>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14</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8"/>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15</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numPr>
          <w:ilvl w:val="0"/>
          <w:numId w:val="0"/>
        </w:numPr>
        <w:spacing w:line="560" w:lineRule="exact"/>
        <w:rPr>
          <w:rFonts w:hint="eastAsia" w:ascii="仿宋_GB2312" w:hAnsi="仿宋_GB2312" w:eastAsia="仿宋_GB2312" w:cs="仿宋_GB2312"/>
          <w:color w:val="333333"/>
          <w:sz w:val="32"/>
          <w:szCs w:val="32"/>
          <w:lang w:eastAsia="zh-CN"/>
        </w:rPr>
      </w:pPr>
    </w:p>
    <w:p>
      <w:pPr>
        <w:spacing w:line="600" w:lineRule="exact"/>
        <w:ind w:firstLine="640"/>
        <w:rPr>
          <w:rFonts w:hint="eastAsia" w:ascii="仿宋_GB2312" w:eastAsia="仿宋_GB2312"/>
          <w:color w:val="000000"/>
          <w:sz w:val="32"/>
          <w:szCs w:val="32"/>
        </w:rPr>
      </w:pPr>
    </w:p>
    <w:p>
      <w:pPr>
        <w:rPr>
          <w:rFonts w:hint="eastAsia" w:eastAsiaTheme="minorEastAsia"/>
          <w:lang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1A0F3C52" w:usb2="00000010"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Jd0zCAgAA1g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i0l3TM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D4AC7"/>
    <w:rsid w:val="0C0817DF"/>
    <w:rsid w:val="0FCF1A10"/>
    <w:rsid w:val="1BD67583"/>
    <w:rsid w:val="33587BE7"/>
    <w:rsid w:val="38E15DC6"/>
    <w:rsid w:val="43F05CC5"/>
    <w:rsid w:val="55B705A7"/>
    <w:rsid w:val="5A11245A"/>
    <w:rsid w:val="5AEE6DF7"/>
    <w:rsid w:val="5C063798"/>
    <w:rsid w:val="63927B26"/>
    <w:rsid w:val="684D4AC7"/>
    <w:rsid w:val="6A451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kern w:val="0"/>
      <w:sz w:val="3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qFormat/>
    <w:uiPriority w:val="22"/>
    <w:rPr>
      <w:b/>
      <w:bCs/>
    </w:rPr>
  </w:style>
  <w:style w:type="paragraph" w:customStyle="1" w:styleId="8">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2017年财政收入结构图</a:t>
            </a:r>
          </a:p>
        </c:rich>
      </c:tx>
      <c:layout/>
      <c:overlay val="0"/>
      <c:spPr>
        <a:noFill/>
        <a:ln>
          <a:noFill/>
        </a:ln>
        <a:effectLst/>
      </c:spPr>
    </c:title>
    <c:autoTitleDeleted val="0"/>
    <c:plotArea>
      <c:layout/>
      <c:pieChart>
        <c:varyColors val="1"/>
        <c:ser>
          <c:idx val="0"/>
          <c:order val="0"/>
          <c:tx>
            <c:strRef>
              <c:f>[工作簿1]Sheet1!$B$1</c:f>
              <c:strCache>
                <c:ptCount val="1"/>
                <c:pt idx="0">
                  <c:v>2017年总收入额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1283.3万元, 100%</a:t>
                    </a:r>
                  </a:p>
                </c:rich>
              </c:tx>
              <c:dLblPos val="bestFit"/>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[工作簿1]Sheet1!$A$2:$A$14</c15:sqref>
                  </c15:fullRef>
                </c:ext>
              </c:extLst>
              <c:f>([工作簿1]Sheet1!$A$2:$A$3,[工作簿1]Sheet1!$A$10:$A$14)</c:f>
              <c:strCache>
                <c:ptCount val="7"/>
                <c:pt idx="0">
                  <c:v>一般公共预算财政拨款收入</c:v>
                </c:pt>
                <c:pt idx="1">
                  <c:v>政府性基金收入</c:v>
                </c:pt>
              </c:strCache>
            </c:strRef>
          </c:cat>
          <c:val>
            <c:numRef>
              <c:extLst>
                <c:ext xmlns:c15="http://schemas.microsoft.com/office/drawing/2012/chart" uri="{02D57815-91ED-43cb-92C2-25804820EDAC}">
                  <c15:fullRef>
                    <c15:sqref>Sheet1!$B$2:$B$14</c15:sqref>
                  </c15:fullRef>
                </c:ext>
              </c:extLst>
              <c:f>([工作簿1]Sheet1!$B$2:$B$3,[工作簿1]Sheet1!$B$10:$B$14)</c:f>
              <c:numCache>
                <c:formatCode>General</c:formatCode>
                <c:ptCount val="7"/>
                <c:pt idx="0">
                  <c:v>1283.3</c:v>
                </c:pt>
                <c:pt idx="1">
                  <c:v>0</c:v>
                </c:pt>
              </c:numCache>
            </c:numRef>
          </c:val>
        </c:ser>
        <c:dLbls>
          <c:showLegendKey val="0"/>
          <c:showVal val="0"/>
          <c:showCatName val="0"/>
          <c:showSerName val="0"/>
          <c:showPercent val="0"/>
          <c:showBubbleSize val="0"/>
          <c:showLeaderLines val="1"/>
        </c:dLbls>
        <c:firstSliceAng val="0"/>
        <c:extLst>
          <c:ext xmlns:c15="http://schemas.microsoft.com/office/drawing/2012/chart" uri="{02D57815-91ED-43cb-92C2-25804820EDAC}">
            <c15:filteredPieSeries>
              <c15:ser>
                <c:idx val="1"/>
                <c:order val="1"/>
                <c:tx>
                  <c:strRef>
                    <c:extLst>
                      <c:ext uri="{02D57815-91ED-43cb-92C2-25804820EDAC}">
                        <c15:formulaRef>
                          <c15:sqref>[工作簿1]Sheet1!$C$1</c15:sqref>
                        </c15:formulaRef>
                      </c:ext>
                    </c:extLst>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elete val="1"/>
                </c:dLbls>
                <c:cat>
                  <c:strRef>
                    <c:extLst>
                      <c:ext uri="{02D57815-91ED-43cb-92C2-25804820EDAC}">
                        <c15:fullRef>
                          <c15:sqref>[工作簿1]Sheet1!$A$2:$A$14</c15:sqref>
                        </c15:fullRef>
                        <c15:formulaRef>
                          <c15:sqref>([工作簿1]Sheet1!$A$2:$A$3,[工作簿1]Sheet1!$A$10:$A$14)</c15:sqref>
                        </c15:formulaRef>
                      </c:ext>
                    </c:extLst>
                    <c:strCache>
                      <c:ptCount val="7"/>
                      <c:pt idx="0">
                        <c:v>一般公共预算财政拨款收入</c:v>
                      </c:pt>
                      <c:pt idx="1">
                        <c:v>政府性基金收入</c:v>
                      </c:pt>
                    </c:strCache>
                  </c:strRef>
                </c:cat>
                <c:val>
                  <c:numRef>
                    <c:extLst>
                      <c:ext uri="{02D57815-91ED-43cb-92C2-25804820EDAC}">
                        <c15:fullRef>
                          <c15:sqref>Sheet1!$C$2:$C$14</c15:sqref>
                        </c15:fullRef>
                        <c15:formulaRef>
                          <c15:sqref>{#N/A,#N/A,#N/A,#N/A,#N/A,#N/A,#N/A}</c15:sqref>
                        </c15:formulaRef>
                      </c:ext>
                    </c:extLst>
                    <c:numCache>
                      <c:formatCode>General</c:formatCode>
                      <c:ptCount val="7"/>
                    </c:numCache>
                  </c:numRef>
                </c:val>
              </c15:ser>
            </c15:filteredPieSeries>
            <c15:filteredPieSeries>
              <c15:ser>
                <c:idx val="2"/>
                <c:order val="2"/>
                <c:tx>
                  <c:strRef>
                    <c:extLst>
                      <c:ext uri="{02D57815-91ED-43cb-92C2-25804820EDAC}">
                        <c15:formulaRef>
                          <c15:sqref>[工作簿1]Sheet1!$D$1</c15:sqref>
                        </c15:formulaRef>
                      </c:ext>
                    </c:extLst>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elete val="1"/>
                </c:dLbls>
                <c:cat>
                  <c:strRef>
                    <c:extLst>
                      <c:ext uri="{02D57815-91ED-43cb-92C2-25804820EDAC}">
                        <c15:fullRef>
                          <c15:sqref>[工作簿1]Sheet1!$A$2:$A$14</c15:sqref>
                        </c15:fullRef>
                        <c15:formulaRef>
                          <c15:sqref>([工作簿1]Sheet1!$A$2:$A$3,[工作簿1]Sheet1!$A$10:$A$14)</c15:sqref>
                        </c15:formulaRef>
                      </c:ext>
                    </c:extLst>
                    <c:strCache>
                      <c:ptCount val="7"/>
                      <c:pt idx="0">
                        <c:v>一般公共预算财政拨款收入</c:v>
                      </c:pt>
                      <c:pt idx="1">
                        <c:v>政府性基金收入</c:v>
                      </c:pt>
                    </c:strCache>
                  </c:strRef>
                </c:cat>
                <c:val>
                  <c:numRef>
                    <c:extLst>
                      <c:ext uri="{02D57815-91ED-43cb-92C2-25804820EDAC}">
                        <c15:fullRef>
                          <c15:sqref>Sheet1!$D$2:$D$14</c15:sqref>
                        </c15:fullRef>
                        <c15:formulaRef>
                          <c15:sqref>{#N/A,#N/A,#N/A,#N/A,#N/A,#N/A,#N/A}</c15:sqref>
                        </c15:formulaRef>
                      </c:ext>
                    </c:extLst>
                    <c:numCache>
                      <c:formatCode>General</c:formatCode>
                      <c:ptCount val="7"/>
                    </c:numCache>
                  </c:numRef>
                </c:val>
              </c15:ser>
            </c15:filteredPieSeries>
            <c15:filteredPieSeries>
              <c15:ser>
                <c:idx val="3"/>
                <c:order val="3"/>
                <c:tx>
                  <c:strRef>
                    <c:extLst>
                      <c:ext uri="{02D57815-91ED-43cb-92C2-25804820EDAC}">
                        <c15:formulaRef>
                          <c15:sqref>[工作簿1]Sheet1!$E$1</c15:sqref>
                        </c15:formulaRef>
                      </c:ext>
                    </c:extLst>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elete val="1"/>
                </c:dLbls>
                <c:cat>
                  <c:strRef>
                    <c:extLst>
                      <c:ext uri="{02D57815-91ED-43cb-92C2-25804820EDAC}">
                        <c15:fullRef>
                          <c15:sqref>[工作簿1]Sheet1!$A$2:$A$14</c15:sqref>
                        </c15:fullRef>
                        <c15:formulaRef>
                          <c15:sqref>([工作簿1]Sheet1!$A$2:$A$3,[工作簿1]Sheet1!$A$10:$A$14)</c15:sqref>
                        </c15:formulaRef>
                      </c:ext>
                    </c:extLst>
                    <c:strCache>
                      <c:ptCount val="7"/>
                      <c:pt idx="0">
                        <c:v>一般公共预算财政拨款收入</c:v>
                      </c:pt>
                      <c:pt idx="1">
                        <c:v>政府性基金收入</c:v>
                      </c:pt>
                    </c:strCache>
                  </c:strRef>
                </c:cat>
                <c:val>
                  <c:numRef>
                    <c:extLst>
                      <c:ext uri="{02D57815-91ED-43cb-92C2-25804820EDAC}">
                        <c15:fullRef>
                          <c15:sqref>Sheet1!$E$2:$E$14</c15:sqref>
                        </c15:fullRef>
                        <c15:formulaRef>
                          <c15:sqref>{#N/A,#N/A,#N/A,#N/A,#N/A,#N/A,#N/A}</c15:sqref>
                        </c15:formulaRef>
                      </c:ext>
                    </c:extLst>
                    <c:numCache>
                      <c:formatCode>General</c:formatCode>
                      <c:ptCount val="7"/>
                    </c:numCache>
                  </c:numRef>
                </c:val>
              </c15:ser>
            </c15:filteredPieSeries>
            <c15:filteredPieSeries>
              <c15:ser>
                <c:idx val="4"/>
                <c:order val="4"/>
                <c:tx>
                  <c:strRef>
                    <c:extLst>
                      <c:ext uri="{02D57815-91ED-43cb-92C2-25804820EDAC}">
                        <c15:formulaRef>
                          <c15:sqref>[工作簿1]Sheet1!$F$1</c15:sqref>
                        </c15:formulaRef>
                      </c:ext>
                    </c:extLst>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elete val="1"/>
                </c:dLbls>
                <c:cat>
                  <c:strRef>
                    <c:extLst>
                      <c:ext uri="{02D57815-91ED-43cb-92C2-25804820EDAC}">
                        <c15:fullRef>
                          <c15:sqref>[工作簿1]Sheet1!$A$2:$A$14</c15:sqref>
                        </c15:fullRef>
                        <c15:formulaRef>
                          <c15:sqref>([工作簿1]Sheet1!$A$2:$A$3,[工作簿1]Sheet1!$A$10:$A$14)</c15:sqref>
                        </c15:formulaRef>
                      </c:ext>
                    </c:extLst>
                    <c:strCache>
                      <c:ptCount val="7"/>
                      <c:pt idx="0">
                        <c:v>一般公共预算财政拨款收入</c:v>
                      </c:pt>
                      <c:pt idx="1">
                        <c:v>政府性基金收入</c:v>
                      </c:pt>
                    </c:strCache>
                  </c:strRef>
                </c:cat>
                <c:val>
                  <c:numRef>
                    <c:extLst>
                      <c:ext uri="{02D57815-91ED-43cb-92C2-25804820EDAC}">
                        <c15:fullRef>
                          <c15:sqref>Sheet1!$F$2:$F$14</c15:sqref>
                        </c15:fullRef>
                        <c15:formulaRef>
                          <c15:sqref>{#N/A,#N/A,#N/A,#N/A,#N/A,#N/A,#N/A}</c15:sqref>
                        </c15:formulaRef>
                      </c:ext>
                    </c:extLst>
                    <c:numCache>
                      <c:formatCode>General</c:formatCode>
                      <c:ptCount val="7"/>
                    </c:numCache>
                  </c:numRef>
                </c:val>
              </c15:ser>
            </c15:filteredPieSeries>
            <c15:filteredPieSeries>
              <c15:ser>
                <c:idx val="5"/>
                <c:order val="5"/>
                <c:tx>
                  <c:strRef>
                    <c:extLst>
                      <c:ext uri="{02D57815-91ED-43cb-92C2-25804820EDAC}">
                        <c15:formulaRef>
                          <c15:sqref>[工作簿1]Sheet1!$G$1</c15:sqref>
                        </c15:formulaRef>
                      </c:ext>
                    </c:extLst>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elete val="1"/>
                </c:dLbls>
                <c:cat>
                  <c:strRef>
                    <c:extLst>
                      <c:ext uri="{02D57815-91ED-43cb-92C2-25804820EDAC}">
                        <c15:fullRef>
                          <c15:sqref>[工作簿1]Sheet1!$A$2:$A$14</c15:sqref>
                        </c15:fullRef>
                        <c15:formulaRef>
                          <c15:sqref>([工作簿1]Sheet1!$A$2:$A$3,[工作簿1]Sheet1!$A$10:$A$14)</c15:sqref>
                        </c15:formulaRef>
                      </c:ext>
                    </c:extLst>
                    <c:strCache>
                      <c:ptCount val="7"/>
                      <c:pt idx="0">
                        <c:v>一般公共预算财政拨款收入</c:v>
                      </c:pt>
                      <c:pt idx="1">
                        <c:v>政府性基金收入</c:v>
                      </c:pt>
                    </c:strCache>
                  </c:strRef>
                </c:cat>
                <c:val>
                  <c:numRef>
                    <c:extLst>
                      <c:ext uri="{02D57815-91ED-43cb-92C2-25804820EDAC}">
                        <c15:fullRef>
                          <c15:sqref>Sheet1!$G$2:$G$14</c15:sqref>
                        </c15:fullRef>
                        <c15:formulaRef>
                          <c15:sqref>{#N/A,#N/A,#N/A,#N/A,#N/A,#N/A,#N/A}</c15:sqref>
                        </c15:formulaRef>
                      </c:ext>
                    </c:extLst>
                    <c:numCache>
                      <c:formatCode>General</c:formatCode>
                      <c:ptCount val="7"/>
                    </c:numCache>
                  </c:numRef>
                </c:val>
              </c15:ser>
            </c15:filteredPieSeries>
          </c:ext>
        </c:extLst>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2">
        <a:lumMod val="90000"/>
      </a:schemeClr>
    </a:solidFill>
    <a:ln w="9525" cap="sq" cmpd="sng" algn="ctr">
      <a:solidFill>
        <a:schemeClr val="tx1"/>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1222.86万元, 95%</a:t>
                    </a:r>
                  </a:p>
                </c:rich>
              </c:tx>
              <c:dLblPos val="bestFit"/>
              <c:showLegendKey val="0"/>
              <c:showVal val="1"/>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59万元, 5%</a:t>
                    </a:r>
                  </a:p>
                </c:rich>
              </c:tx>
              <c:dLblPos val="bestFit"/>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1222.86</c:v>
                </c:pt>
                <c:pt idx="1">
                  <c:v>59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财政拨款收入、支出变动图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2017年</c:v>
                </c:pt>
              </c:strCache>
            </c:strRef>
          </c:tx>
          <c:spPr>
            <a:solidFill>
              <a:schemeClr val="accent1"/>
            </a:solidFill>
            <a:ln>
              <a:noFill/>
            </a:ln>
            <a:effectLst/>
          </c:spPr>
          <c:invertIfNegative val="0"/>
          <c:dLbls>
            <c:dLbl>
              <c:idx val="0"/>
              <c:layout>
                <c:manualLayout>
                  <c:x val="-0.00203141928494041"/>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1283.3万元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1281.86万元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财政拨款收入</c:v>
                </c:pt>
                <c:pt idx="1">
                  <c:v>财政拨款支出</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1283.3</c:v>
                </c:pt>
                <c:pt idx="1">
                  <c:v>1281.86</c:v>
                </c:pt>
              </c:numCache>
            </c:numRef>
          </c:val>
        </c:ser>
        <c:ser>
          <c:idx val="1"/>
          <c:order val="1"/>
          <c:tx>
            <c:strRef>
              <c:f>Sheet1!$C$1</c:f>
              <c:strCache>
                <c:ptCount val="1"/>
                <c:pt idx="0">
                  <c:v>2016年</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1055.04万元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1055.04万元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财政拨款收入</c:v>
                </c:pt>
                <c:pt idx="1">
                  <c:v>财政拨款支出</c:v>
                </c:pt>
              </c:strCache>
            </c:strRef>
          </c:cat>
          <c:val>
            <c:numRef>
              <c:extLst>
                <c:ext xmlns:c15="http://schemas.microsoft.com/office/drawing/2012/chart" uri="{02D57815-91ED-43cb-92C2-25804820EDAC}">
                  <c15:fullRef>
                    <c15:sqref>Sheet1!$C$2:$C$5</c15:sqref>
                  </c15:fullRef>
                </c:ext>
              </c:extLst>
              <c:f>Sheet1!$C$2:$C$3</c:f>
              <c:numCache>
                <c:formatCode>General</c:formatCode>
                <c:ptCount val="2"/>
                <c:pt idx="0">
                  <c:v>1055.04</c:v>
                </c:pt>
                <c:pt idx="1">
                  <c:v>1055.04</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extLst>
                <c:ext xmlns:c15="http://schemas.microsoft.com/office/drawing/2012/chart" uri="{02D57815-91ED-43cb-92C2-25804820EDAC}">
                  <c15:fullRef>
                    <c15:sqref>Sheet1!$A$2:$A$5</c15:sqref>
                  </c15:fullRef>
                </c:ext>
              </c:extLst>
              <c:f>Sheet1!$A$2:$A$3</c:f>
              <c:strCache>
                <c:ptCount val="2"/>
                <c:pt idx="0">
                  <c:v>财政拨款收入</c:v>
                </c:pt>
                <c:pt idx="1">
                  <c:v>财政拨款支出</c:v>
                </c:pt>
              </c:strCache>
            </c:strRef>
          </c:cat>
        </c:ser>
        <c:dLbls>
          <c:showLegendKey val="0"/>
          <c:showVal val="0"/>
          <c:showCatName val="0"/>
          <c:showSerName val="0"/>
          <c:showPercent val="0"/>
          <c:showBubbleSize val="0"/>
        </c:dLbls>
        <c:gapWidth val="219"/>
        <c:overlap val="-27"/>
        <c:axId val="816818892"/>
        <c:axId val="756180181"/>
      </c:barChart>
      <c:catAx>
        <c:axId val="8168188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6180181"/>
        <c:crosses val="autoZero"/>
        <c:auto val="1"/>
        <c:lblAlgn val="ctr"/>
        <c:lblOffset val="100"/>
        <c:noMultiLvlLbl val="0"/>
      </c:catAx>
      <c:valAx>
        <c:axId val="75618018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6818892"/>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财政拨款收入、支出变动图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2017年</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1281.86万元</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一般公共财政预算财政拨款支出 </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1281.86</c:v>
                </c:pt>
              </c:numCache>
            </c:numRef>
          </c:val>
        </c:ser>
        <c:ser>
          <c:idx val="1"/>
          <c:order val="1"/>
          <c:tx>
            <c:strRef>
              <c:f>Sheet1!$C$1</c:f>
              <c:strCache>
                <c:ptCount val="1"/>
                <c:pt idx="0">
                  <c:v>2016年</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1055.04万元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一般公共财政预算财政拨款支出 </c:v>
                </c:pt>
              </c:strCache>
            </c:strRef>
          </c:cat>
          <c:val>
            <c:numRef>
              <c:extLst>
                <c:ext xmlns:c15="http://schemas.microsoft.com/office/drawing/2012/chart" uri="{02D57815-91ED-43cb-92C2-25804820EDAC}">
                  <c15:fullRef>
                    <c15:sqref>Sheet1!$C$2:$C$5</c15:sqref>
                  </c15:fullRef>
                </c:ext>
              </c:extLst>
              <c:f>Sheet1!$C$2:$C$3</c:f>
              <c:numCache>
                <c:formatCode>General</c:formatCode>
                <c:ptCount val="2"/>
                <c:pt idx="0">
                  <c:v>1055.04</c:v>
                </c:pt>
              </c:numCache>
            </c:numRef>
          </c:val>
        </c:ser>
        <c:dLbls>
          <c:showLegendKey val="0"/>
          <c:showVal val="0"/>
          <c:showCatName val="0"/>
          <c:showSerName val="0"/>
          <c:showPercent val="0"/>
          <c:showBubbleSize val="0"/>
        </c:dLbls>
        <c:gapWidth val="219"/>
        <c:overlap val="-27"/>
        <c:axId val="816818892"/>
        <c:axId val="756180181"/>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Sheet1!$A$2:$A$5</c15:sqref>
                        </c15:fullRef>
                        <c15:formulaRef>
                          <c15:sqref>Sheet1!$A$2:$A$3</c15:sqref>
                        </c15:formulaRef>
                      </c:ext>
                    </c:extLst>
                    <c:strCache>
                      <c:ptCount val="2"/>
                      <c:pt idx="0">
                        <c:v>一般公共财政预算财政拨款支出 </c:v>
                      </c:pt>
                    </c:strCache>
                  </c:strRef>
                </c:cat>
              </c15:ser>
            </c15:filteredBarSeries>
          </c:ext>
        </c:extLst>
      </c:barChart>
      <c:catAx>
        <c:axId val="8168188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6180181"/>
        <c:crosses val="autoZero"/>
        <c:auto val="1"/>
        <c:lblAlgn val="ctr"/>
        <c:lblOffset val="100"/>
        <c:noMultiLvlLbl val="0"/>
      </c:catAx>
      <c:valAx>
        <c:axId val="75618018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681889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1108.29万元, 86%</a:t>
                    </a:r>
                  </a:p>
                </c:rich>
              </c:tx>
              <c:dLblPos val="bestFit"/>
              <c:showLegendKey val="0"/>
              <c:showVal val="1"/>
              <c:showCatName val="0"/>
              <c:showSerName val="0"/>
              <c:showPercent val="1"/>
              <c:showBubbleSize val="0"/>
              <c:extLst>
                <c:ext xmlns:c15="http://schemas.microsoft.com/office/drawing/2012/chart" uri="{CE6537A1-D6FC-4f65-9D91-7224C49458BB}"/>
              </c:extLst>
            </c:dLbl>
            <c:dLbl>
              <c:idx val="1"/>
              <c:layout>
                <c:manualLayout>
                  <c:x val="0.0137647599720854"/>
                  <c:y val="0.098289909703374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121.48万元, 10%</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52.09万元, 4%</a:t>
                    </a:r>
                  </a:p>
                </c:rich>
              </c:tx>
              <c:dLblPos val="bestFit"/>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公共安全支出</c:v>
                </c:pt>
                <c:pt idx="1">
                  <c:v>社会保障和就业支出</c:v>
                </c:pt>
                <c:pt idx="2">
                  <c:v>住房保障支出</c:v>
                </c:pt>
              </c:strCache>
            </c:strRef>
          </c:cat>
          <c:val>
            <c:numRef>
              <c:f>Sheet1!$B$2:$B$4</c:f>
              <c:numCache>
                <c:formatCode>General</c:formatCode>
                <c:ptCount val="3"/>
                <c:pt idx="0">
                  <c:v>1108.29</c:v>
                </c:pt>
                <c:pt idx="1">
                  <c:v>121.48</c:v>
                </c:pt>
                <c:pt idx="2">
                  <c:v>52.09</c:v>
                </c:pt>
              </c:numCache>
            </c:numRef>
          </c:val>
        </c:ser>
        <c:dLbls>
          <c:showLegendKey val="0"/>
          <c:showVal val="1"/>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16.94万元, 85%</a:t>
                    </a:r>
                  </a:p>
                </c:rich>
              </c:tx>
              <c:dLblPos val="bestFit"/>
              <c:showLegendKey val="0"/>
              <c:showVal val="1"/>
              <c:showCatName val="0"/>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2.99万元, 15%</a:t>
                    </a:r>
                  </a:p>
                </c:rich>
              </c:tx>
              <c:dLblPos val="bestFit"/>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16.94</c:v>
                </c:pt>
                <c:pt idx="2">
                  <c:v>2.99</c:v>
                </c:pt>
              </c:numCache>
            </c:numRef>
          </c:val>
        </c:ser>
        <c:dLbls>
          <c:showLegendKey val="0"/>
          <c:showVal val="1"/>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2018-09-13T08:29:00Z</dcterms:created>
  <dc:creator>Administrator</dc:creator>
  <cp:lastModifiedBy>Administrator</cp:lastModifiedBy>
  <cp:lastPrinted>2018-09-29T01:33:54Z</cp:lastPrinted>
  <dcterms:modified xsi:type="dcterms:W3CDTF">2018-09-29T01:35:12Z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