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Style w:val="6"/>
          <w:rFonts w:ascii="黑体" w:hAnsi="黑体" w:eastAsia="黑体"/>
          <w:b w:val="0"/>
        </w:rPr>
      </w:pPr>
      <w:bookmarkStart w:id="0" w:name="_Toc15396614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6"/>
          <w:rFonts w:hint="eastAsia" w:ascii="黑体" w:hAnsi="黑体" w:eastAsia="黑体"/>
          <w:b w:val="0"/>
        </w:rPr>
        <w:t>四部分 附件</w:t>
      </w:r>
      <w:bookmarkEnd w:id="0"/>
    </w:p>
    <w:p>
      <w:pPr>
        <w:spacing w:line="600" w:lineRule="exact"/>
        <w:jc w:val="center"/>
        <w:outlineLvl w:val="0"/>
        <w:rPr>
          <w:rStyle w:val="6"/>
        </w:rPr>
      </w:pPr>
    </w:p>
    <w:p>
      <w:pPr>
        <w:pStyle w:val="3"/>
        <w:rPr>
          <w:rStyle w:val="6"/>
          <w:rFonts w:hint="eastAsia" w:ascii="仿宋" w:hAnsi="仿宋" w:eastAsia="仿宋"/>
          <w:b w:val="0"/>
          <w:bCs w:val="0"/>
          <w:sz w:val="32"/>
          <w:szCs w:val="32"/>
        </w:rPr>
      </w:pPr>
      <w:bookmarkStart w:id="1" w:name="_Toc15396615"/>
      <w:r>
        <w:rPr>
          <w:rStyle w:val="6"/>
          <w:rFonts w:hint="eastAsia" w:ascii="仿宋" w:hAnsi="仿宋" w:eastAsia="仿宋"/>
          <w:b w:val="0"/>
          <w:bCs w:val="0"/>
          <w:sz w:val="32"/>
          <w:szCs w:val="32"/>
        </w:rPr>
        <w:t>附件1</w:t>
      </w:r>
      <w:bookmarkEnd w:id="1"/>
    </w:p>
    <w:p>
      <w:pPr>
        <w:widowControl/>
        <w:shd w:val="clear" w:color="auto" w:fill="FFFFFF"/>
        <w:spacing w:line="5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  <w:t>黄家乡人民政府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201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年部门整体支出绩效报告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atLeast"/>
        <w:ind w:firstLine="72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一、部门（单位）概况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（一）机构组成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32"/>
          <w:sz w:val="32"/>
          <w:szCs w:val="32"/>
          <w:lang w:eastAsia="zh-CN"/>
        </w:rPr>
        <w:t>黄家乡人民政府</w:t>
      </w:r>
      <w:r>
        <w:rPr>
          <w:rFonts w:hint="eastAsia" w:eastAsia="仿宋_GB2312"/>
          <w:color w:val="000000"/>
          <w:kern w:val="32"/>
          <w:sz w:val="32"/>
          <w:szCs w:val="32"/>
        </w:rPr>
        <w:t>为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大竹</w:t>
      </w:r>
      <w:r>
        <w:rPr>
          <w:rFonts w:hint="eastAsia" w:eastAsia="仿宋_GB2312"/>
          <w:color w:val="000000"/>
          <w:kern w:val="32"/>
          <w:sz w:val="32"/>
          <w:szCs w:val="32"/>
        </w:rPr>
        <w:t>县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人民政府管辖的一级政府</w:t>
      </w:r>
      <w:r>
        <w:rPr>
          <w:rFonts w:hint="eastAsia" w:eastAsia="仿宋_GB2312"/>
          <w:color w:val="000000"/>
          <w:kern w:val="32"/>
          <w:sz w:val="32"/>
          <w:szCs w:val="32"/>
        </w:rPr>
        <w:t>，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一级</w:t>
      </w:r>
      <w:r>
        <w:rPr>
          <w:rFonts w:hint="eastAsia" w:eastAsia="仿宋_GB2312"/>
          <w:color w:val="000000"/>
          <w:kern w:val="32"/>
          <w:sz w:val="32"/>
          <w:szCs w:val="32"/>
        </w:rPr>
        <w:t>预算单位。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下属二级预算单位5个，其中行政单位3个，事业单位2个。即黄家乡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党政办、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黄家乡经济管理发展办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黄家乡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和黄家乡社会事务服务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中心、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黄家乡农技站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机构职能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贯彻党的路线、方针、政策，执行本级党代会、人代会的决议和上级党委、政府的决定和命令，承担促进经济发展、加强社会管理、搞好公共服务、维护社会稳定和巩固基层政权等职能，推动物质文明、政治文明、精神文明协调发展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（三）人员概况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现有编制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个。其中：行政编制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个，工勤编制2 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事业编制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个。在职人员总数 27 人，其中：行政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人，工勤 2 人，事业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离退休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，遗属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二、部门财政资金收支情况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（一）部门财政资金收入情况</w:t>
      </w:r>
    </w:p>
    <w:p>
      <w:pPr>
        <w:spacing w:line="578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黄家乡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拨款收入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785.64万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元，其中：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一般公共服务支出222.73万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文化体育与传媒支出15.42万元，社会保障与就业支出110.18万元，医疗卫生与计划生育支出16.22万元，节能环保28万元，城乡社区支出45.36万元，农林水支出286.5万元，交通运输支出3.02万元</w:t>
      </w:r>
      <w:r>
        <w:rPr>
          <w:rFonts w:hint="eastAsia" w:ascii="仿宋_GB2312" w:eastAsia="仿宋_GB2312"/>
          <w:color w:val="000000"/>
          <w:sz w:val="32"/>
          <w:szCs w:val="32"/>
        </w:rPr>
        <w:t>，住房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保障支出21.81万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其他支出：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5万元，国有资本经营支出31.4万元。</w:t>
      </w:r>
    </w:p>
    <w:p>
      <w:pPr>
        <w:numPr>
          <w:ilvl w:val="0"/>
          <w:numId w:val="1"/>
        </w:numPr>
        <w:spacing w:line="578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zh-CN"/>
        </w:rPr>
        <w:t>部门财政资金支出情况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color w:val="000000"/>
          <w:sz w:val="32"/>
          <w:szCs w:val="32"/>
        </w:rPr>
        <w:t>财政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</w:rPr>
        <w:t>支出共计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785.64万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基本支出344.27万元（含人员经费267.57万元，公用经费76.69万元）；项目支出409.97万元（含政府性基金预算支出5万元）。国有资本经营支出31.4万元。</w:t>
      </w:r>
    </w:p>
    <w:p>
      <w:pPr>
        <w:widowControl/>
        <w:numPr>
          <w:ilvl w:val="0"/>
          <w:numId w:val="2"/>
        </w:numPr>
        <w:shd w:val="clear" w:color="auto" w:fill="FFFFFF"/>
        <w:spacing w:line="540" w:lineRule="atLeast"/>
        <w:ind w:firstLine="72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整体预算绩效管理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atLeast"/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管理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1、预算管理：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按照县财政的要求及时组织财务人员进行预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编制，对本年度相应用款进行及时清理和处理，做到账账相符、账实相符、账证相符,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先有预算再有支出的原则，及时处理相关事务；对绩效目标进行季度梳理和年度分析，及时上报相关报表；对专项预算提前细化，分科目上报，做到收支平衡。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结果应用情况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上级相关规定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要求，</w:t>
      </w:r>
      <w:r>
        <w:rPr>
          <w:rFonts w:hint="eastAsia" w:ascii="仿宋_GB2312" w:eastAsia="仿宋_GB2312"/>
          <w:color w:val="000000"/>
          <w:sz w:val="32"/>
          <w:szCs w:val="32"/>
        </w:rPr>
        <w:t>对银行存款、现金和其他资产定期盘点、清查，妥善管理；完善财务审批和管理制度，明确岗位职责；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</w:rPr>
        <w:t>办公用品购置、使用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保管方面，实行先审批后购置原则，做到节俭、实用、有效。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同时，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及时上报相关用款计划，待财政审核通过后，严格按计划执行，各季度执行情况良好。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（1）行政运转保障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财政拨款支出主要用于保障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乡政府机关和事业单位等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部门机构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正常运转、完成日常工作任务以及承担本乡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事业发展相关工作。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基本支出，是用于保障政府机关、事业单位等机构正常运转的日常支出，包括基本工资、津贴补贴等人员经费以及办公费、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印刷费、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水电费、办公设备购置等日常公用经费。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项目支出，是用于保障政府机关、事业单位等机构为完成特定的行政工作任务或事业发展目标，用于专项业务工作的经费支出。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（2）机关厉行节约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我乡“三公”经费财政拨款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8.51万元，其中：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因公出国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（境）支出决算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公务用车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购置及运行维护费支出决算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支出决算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8.51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</w:rPr>
        <w:t>脱贫攻坚、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环境整治、交通安全、信访维稳</w:t>
      </w:r>
      <w:r>
        <w:rPr>
          <w:rFonts w:hint="eastAsia" w:ascii="仿宋_GB2312" w:eastAsia="仿宋_GB2312"/>
          <w:color w:val="000000"/>
          <w:sz w:val="32"/>
          <w:szCs w:val="32"/>
        </w:rPr>
        <w:t>、党建、计生、财政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接待所发生的费用。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（3）机关节能降耗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严格按照勤俭节约的原则，水、电、气、节能降耗情况均处理下降趋势等。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4）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综合管理情况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严格执行机关财务管理规章制度，实行会计核算和账务管理制度公开，政府采购制度公开公示，并接受群众监督等。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）整体绩效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绩效管理严格按照上级部门要求，开展自评工作，对评价结果及时总结上报。</w:t>
      </w:r>
    </w:p>
    <w:p>
      <w:pPr>
        <w:widowControl/>
        <w:shd w:val="clear" w:color="auto" w:fill="FFFFFF"/>
        <w:spacing w:line="540" w:lineRule="atLeast"/>
        <w:ind w:firstLine="72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四、评价结论及建议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（一）评价结论。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按照年度工作目标在资金使用的相关性和效率上按照相关要求，保民生、保重点、保发展、强化监督和抽、巡查，确保资金按照预算规定执行使用，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部门预算执行情况良好，无不良记录及违规违纪行为，预算支出和决算支出情况相符。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（二）存在问题。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一是预算经费支出明细科目存在误差；二是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预算少，有些必要开支没有纳入预算，如场镇街道的卫生保洁及畜禽防治经费、协议员工作经费等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</w:t>
      </w:r>
    </w:p>
    <w:p>
      <w:pPr>
        <w:widowControl/>
        <w:adjustRightInd w:val="0"/>
        <w:snapToGrid w:val="0"/>
        <w:spacing w:line="540" w:lineRule="exact"/>
        <w:ind w:firstLine="643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（三）改进建议。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加快完善相应制度建设和账务处理能力，提升工作效率。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继续加强厉行节约教育和监督实施。提高财政资金使用效率。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继续加强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村社</w:t>
      </w:r>
      <w:r>
        <w:rPr>
          <w:rFonts w:hint="eastAsia" w:ascii="仿宋_GB2312" w:eastAsia="仿宋_GB2312"/>
          <w:color w:val="000000"/>
          <w:sz w:val="32"/>
          <w:szCs w:val="32"/>
        </w:rPr>
        <w:t>财务管理和财务人员培训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，提高村组干部管理能力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积极主动向县有关部门汇报，争取资金，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确保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我乡各项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工作顺利开展，推动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各项社会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事业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建康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发展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BC88"/>
    <w:multiLevelType w:val="singleLevel"/>
    <w:tmpl w:val="0408BC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771B49"/>
    <w:multiLevelType w:val="singleLevel"/>
    <w:tmpl w:val="14771B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天</cp:lastModifiedBy>
  <dcterms:modified xsi:type="dcterms:W3CDTF">2019-12-03T01:54:48Z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