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48"/>
          <w:szCs w:val="48"/>
        </w:rPr>
      </w:pPr>
      <w:bookmarkStart w:id="1" w:name="_Toc15378441"/>
      <w:bookmarkStart w:id="2" w:name="_Toc15396597"/>
      <w:bookmarkStart w:id="3" w:name="_Toc15377193"/>
      <w:bookmarkStart w:id="4" w:name="_Toc15396475"/>
      <w:bookmarkStart w:id="5" w:name="_Toc15377425"/>
      <w:r>
        <w:rPr>
          <w:rFonts w:ascii="黑体" w:hAnsi="黑体" w:eastAsia="黑体"/>
          <w:color w:val="000000"/>
          <w:sz w:val="48"/>
          <w:szCs w:val="48"/>
        </w:rPr>
        <w:t>201</w:t>
      </w:r>
      <w:r>
        <w:rPr>
          <w:rFonts w:hint="eastAsia" w:ascii="黑体" w:hAnsi="黑体" w:eastAsia="黑体"/>
          <w:color w:val="000000"/>
          <w:sz w:val="48"/>
          <w:szCs w:val="48"/>
        </w:rPr>
        <w:t>8</w:t>
      </w:r>
      <w:r>
        <w:rPr>
          <w:rFonts w:hint="eastAsia" w:ascii="方正小标宋简体" w:hAnsi="宋体" w:eastAsia="方正小标宋简体"/>
          <w:color w:val="000000"/>
          <w:sz w:val="48"/>
          <w:szCs w:val="48"/>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48"/>
          <w:szCs w:val="48"/>
        </w:rPr>
      </w:pPr>
      <w:bookmarkStart w:id="6" w:name="_Toc15396598"/>
      <w:bookmarkStart w:id="7" w:name="_Toc15378442"/>
      <w:bookmarkStart w:id="8" w:name="_Toc15396476"/>
      <w:bookmarkStart w:id="9" w:name="_Toc15377426"/>
      <w:bookmarkStart w:id="10" w:name="_Toc15377194"/>
      <w:r>
        <w:rPr>
          <w:rFonts w:hint="eastAsia" w:ascii="方正小标宋简体" w:hAnsi="宋体" w:eastAsia="方正小标宋简体"/>
          <w:color w:val="000000"/>
          <w:sz w:val="48"/>
          <w:szCs w:val="48"/>
          <w:lang w:val="en-US" w:eastAsia="zh-CN"/>
        </w:rPr>
        <w:t>大竹县</w:t>
      </w:r>
      <w:bookmarkEnd w:id="0"/>
      <w:bookmarkStart w:id="11" w:name="_Toc15306268"/>
      <w:r>
        <w:rPr>
          <w:rFonts w:hint="eastAsia" w:ascii="方正小标宋简体" w:hAnsi="宋体" w:eastAsia="方正小标宋简体"/>
          <w:color w:val="000000"/>
          <w:sz w:val="48"/>
          <w:szCs w:val="48"/>
          <w:lang w:val="en-US" w:eastAsia="zh-CN"/>
        </w:rPr>
        <w:t>房屋征收局</w:t>
      </w:r>
      <w:r>
        <w:rPr>
          <w:rFonts w:hint="eastAsia" w:ascii="方正小标宋简体" w:hAnsi="宋体" w:eastAsia="方正小标宋简体"/>
          <w:color w:val="000000"/>
          <w:sz w:val="48"/>
          <w:szCs w:val="48"/>
        </w:rPr>
        <w:t>决算</w:t>
      </w:r>
      <w:bookmarkEnd w:id="6"/>
      <w:bookmarkEnd w:id="7"/>
      <w:bookmarkEnd w:id="8"/>
      <w:bookmarkEnd w:id="9"/>
      <w:bookmarkEnd w:id="10"/>
      <w:bookmarkEnd w:id="11"/>
      <w:r>
        <w:rPr>
          <w:rFonts w:hint="eastAsia" w:ascii="方正小标宋简体" w:hAnsi="宋体" w:eastAsia="方正小标宋简体"/>
          <w:color w:val="000000"/>
          <w:sz w:val="48"/>
          <w:szCs w:val="48"/>
          <w:lang w:val="en-US" w:eastAsia="zh-CN"/>
        </w:rPr>
        <w:t>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公开时间：2019年</w:t>
      </w:r>
      <w:r>
        <w:rPr>
          <w:rFonts w:hint="eastAsia"/>
          <w:lang w:val="en-US" w:eastAsia="zh-CN"/>
        </w:rPr>
        <w:t>11</w:t>
      </w:r>
      <w:r>
        <w:rPr>
          <w:rFonts w:hint="eastAsia"/>
        </w:rPr>
        <w:t>月</w:t>
      </w:r>
      <w:r>
        <w:rPr>
          <w:rFonts w:hint="eastAsia"/>
          <w:lang w:val="en-US" w:eastAsia="zh-CN"/>
        </w:rPr>
        <w:t xml:space="preserve"> 22</w:t>
      </w:r>
      <w:r>
        <w:rPr>
          <w:rFonts w:hint="eastAsia"/>
        </w:rPr>
        <w:t>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fldChar w:fldCharType="begin"/>
      </w:r>
      <w:r>
        <w:instrText xml:space="preserve"> PAGEREF _Toc15396602 \h </w:instrText>
      </w:r>
      <w:r>
        <w:fldChar w:fldCharType="separate"/>
      </w:r>
      <w:r>
        <w:t>8</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11"/>
        <w:rPr>
          <w:rFonts w:hint="eastAsia" w:ascii="仿宋" w:hAnsi="仿宋" w:eastAsia="仿宋"/>
          <w:sz w:val="28"/>
          <w:szCs w:val="28"/>
          <w:lang w:val="en-US" w:eastAsia="zh-CN"/>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lang w:val="en-US" w:eastAsia="zh-CN"/>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lang w:eastAsia="zh-CN"/>
        </w:rPr>
        <w:t>十</w:t>
      </w:r>
      <w:r>
        <w:rPr>
          <w:rStyle w:val="15"/>
          <w:rFonts w:hint="eastAsia" w:ascii="仿宋" w:hAnsi="仿宋" w:eastAsia="仿宋" w:cstheme="majorBidi"/>
          <w:bCs/>
          <w:sz w:val="28"/>
          <w:szCs w:val="28"/>
        </w:rPr>
        <w:t>、</w:t>
      </w:r>
      <w:r>
        <w:rPr>
          <w:rStyle w:val="15"/>
          <w:rFonts w:hint="eastAsia" w:ascii="仿宋" w:hAnsi="仿宋" w:eastAsia="仿宋"/>
          <w:sz w:val="28"/>
          <w:szCs w:val="28"/>
        </w:rPr>
        <w:t xml:space="preserve"> </w:t>
      </w:r>
      <w:r>
        <w:fldChar w:fldCharType="begin"/>
      </w:r>
      <w:r>
        <w:instrText xml:space="preserve"> HYPERLINK \l "_Toc15396611" </w:instrText>
      </w:r>
      <w:r>
        <w:fldChar w:fldCharType="separate"/>
      </w:r>
      <w:r>
        <w:rPr>
          <w:rStyle w:val="15"/>
          <w:rFonts w:hint="eastAsia" w:ascii="仿宋" w:hAnsi="仿宋" w:eastAsia="仿宋"/>
          <w:sz w:val="28"/>
          <w:szCs w:val="28"/>
        </w:rPr>
        <w:t xml:space="preserve"> </w:t>
      </w:r>
      <w:r>
        <w:rPr>
          <w:rStyle w:val="15"/>
          <w:rFonts w:hint="eastAsia" w:ascii="仿宋" w:hAnsi="仿宋" w:eastAsia="仿宋"/>
          <w:sz w:val="28"/>
          <w:szCs w:val="28"/>
          <w:lang w:eastAsia="zh-CN"/>
        </w:rPr>
        <w:t>预算绩效</w:t>
      </w:r>
      <w:r>
        <w:rPr>
          <w:rStyle w:val="15"/>
          <w:rFonts w:hint="eastAsia" w:ascii="仿宋" w:hAnsi="仿宋" w:eastAsia="仿宋" w:cstheme="majorBidi"/>
          <w:bCs/>
          <w:sz w:val="28"/>
          <w:szCs w:val="28"/>
        </w:rPr>
        <w:t>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18</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20</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23</w:t>
      </w:r>
      <w:r>
        <w:fldChar w:fldCharType="end"/>
      </w:r>
      <w:r>
        <w:fldChar w:fldCharType="end"/>
      </w:r>
    </w:p>
    <w:p>
      <w:pPr>
        <w:pStyle w:val="11"/>
        <w:rPr>
          <w:rFonts w:hint="default" w:ascii="仿宋" w:hAnsi="仿宋" w:eastAsia="仿宋" w:cstheme="minorBidi"/>
          <w:sz w:val="28"/>
          <w:szCs w:val="28"/>
          <w:lang w:val="en-US" w:eastAsia="zh-CN"/>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end"/>
      </w:r>
      <w:r>
        <w:rPr>
          <w:rFonts w:hint="eastAsia" w:ascii="仿宋" w:hAnsi="仿宋" w:eastAsia="仿宋"/>
          <w:sz w:val="28"/>
          <w:szCs w:val="28"/>
          <w:lang w:val="en-US" w:eastAsia="zh-CN"/>
        </w:rPr>
        <w:t>23</w:t>
      </w:r>
      <w:bookmarkStart w:id="73" w:name="_GoBack"/>
      <w:bookmarkEnd w:id="73"/>
    </w:p>
    <w:p>
      <w:pPr>
        <w:pStyle w:val="11"/>
        <w:rPr>
          <w:rFonts w:ascii="仿宋" w:hAnsi="仿宋" w:eastAsia="仿宋" w:cstheme="minorBidi"/>
          <w:sz w:val="28"/>
          <w:szCs w:val="28"/>
        </w:rPr>
      </w:pP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26</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Fonts w:ascii="黑体" w:eastAsia="黑体"/>
          <w:color w:val="000000"/>
          <w:sz w:val="32"/>
          <w:szCs w:val="32"/>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pStyle w:val="3"/>
        <w:pageBreakBefore w:val="0"/>
        <w:kinsoku/>
        <w:wordWrap/>
        <w:overflowPunct/>
        <w:topLinePunct w:val="0"/>
        <w:autoSpaceDE/>
        <w:autoSpaceDN/>
        <w:bidi w:val="0"/>
        <w:spacing w:before="0" w:after="0" w:line="578" w:lineRule="exact"/>
        <w:ind w:right="0" w:rightChars="0" w:firstLine="640" w:firstLineChars="200"/>
        <w:textAlignment w:val="auto"/>
        <w:rPr>
          <w:rStyle w:val="25"/>
          <w:rFonts w:ascii="仿宋" w:hAnsi="仿宋" w:eastAsia="仿宋"/>
          <w:b w:val="0"/>
          <w:bCs w:val="0"/>
          <w:sz w:val="32"/>
          <w:szCs w:val="32"/>
        </w:rPr>
      </w:pPr>
      <w:bookmarkStart w:id="14" w:name="_Toc15396600"/>
      <w:bookmarkStart w:id="15" w:name="_Toc15377197"/>
      <w:r>
        <w:rPr>
          <w:rFonts w:hint="eastAsia" w:ascii="黑体" w:hAnsi="黑体" w:eastAsia="黑体"/>
          <w:b w:val="0"/>
          <w:color w:val="000000"/>
          <w:sz w:val="32"/>
          <w:szCs w:val="32"/>
        </w:rPr>
        <w:t>一、基</w:t>
      </w:r>
      <w:r>
        <w:rPr>
          <w:rStyle w:val="25"/>
          <w:rFonts w:hint="eastAsia" w:ascii="黑体" w:hAnsi="黑体" w:eastAsia="黑体"/>
          <w:b w:val="0"/>
          <w:bCs w:val="0"/>
          <w:sz w:val="32"/>
          <w:szCs w:val="32"/>
        </w:rPr>
        <w:t>本职能及主要工作</w:t>
      </w:r>
      <w:bookmarkEnd w:id="14"/>
      <w:bookmarkEnd w:id="15"/>
    </w:p>
    <w:p>
      <w:pPr>
        <w:pStyle w:val="5"/>
        <w:pageBreakBefore w:val="0"/>
        <w:kinsoku/>
        <w:wordWrap/>
        <w:overflowPunct/>
        <w:topLinePunct w:val="0"/>
        <w:autoSpaceDE/>
        <w:autoSpaceDN/>
        <w:bidi w:val="0"/>
        <w:adjustRightInd w:val="0"/>
        <w:snapToGrid w:val="0"/>
        <w:spacing w:beforeLines="0" w:line="578" w:lineRule="exact"/>
        <w:ind w:right="0" w:rightChars="0" w:firstLine="602" w:firstLineChars="200"/>
        <w:textAlignment w:val="auto"/>
        <w:outlineLvl w:val="2"/>
        <w:rPr>
          <w:rFonts w:hint="eastAsia" w:ascii="仿宋" w:hAnsi="仿宋" w:eastAsia="仿宋"/>
          <w:b/>
          <w:bCs w:val="0"/>
          <w:color w:val="000000"/>
          <w:sz w:val="30"/>
          <w:szCs w:val="30"/>
        </w:rPr>
      </w:pPr>
      <w:bookmarkStart w:id="16" w:name="_Toc15378445"/>
      <w:bookmarkStart w:id="17" w:name="_Toc15377198"/>
      <w:r>
        <w:rPr>
          <w:rFonts w:hint="eastAsia" w:ascii="仿宋" w:hAnsi="仿宋" w:eastAsia="仿宋"/>
          <w:b/>
          <w:bCs w:val="0"/>
          <w:color w:val="000000"/>
          <w:sz w:val="30"/>
          <w:szCs w:val="30"/>
        </w:rPr>
        <w:t>（一）主要职能。</w:t>
      </w:r>
      <w:bookmarkEnd w:id="16"/>
      <w:bookmarkEnd w:id="17"/>
      <w:bookmarkStart w:id="18" w:name="_Toc15378446"/>
      <w:bookmarkStart w:id="19" w:name="_Toc15377199"/>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lang w:val="en-US"/>
        </w:rPr>
        <w:t>负责城市规划区内以及规划区外全县重点重大项目涉及的国有土地和集体土地上房屋及构建物的征收（拆迁）与补偿、安置工作，负责指导规划区外（不含重点重大项目）乡镇和县经开区实施的房屋征收（拆迁）与补偿、安置工作及标准统筹。</w:t>
      </w:r>
    </w:p>
    <w:p>
      <w:pPr>
        <w:pStyle w:val="5"/>
        <w:pageBreakBefore w:val="0"/>
        <w:kinsoku/>
        <w:wordWrap/>
        <w:overflowPunct/>
        <w:topLinePunct w:val="0"/>
        <w:autoSpaceDE/>
        <w:autoSpaceDN/>
        <w:bidi w:val="0"/>
        <w:adjustRightInd w:val="0"/>
        <w:snapToGrid w:val="0"/>
        <w:spacing w:beforeLines="0" w:line="578" w:lineRule="exact"/>
        <w:ind w:right="0" w:rightChars="0" w:firstLine="602" w:firstLineChars="200"/>
        <w:textAlignment w:val="auto"/>
        <w:outlineLvl w:val="2"/>
        <w:rPr>
          <w:rFonts w:hint="eastAsia" w:ascii="仿宋" w:hAnsi="仿宋" w:eastAsia="仿宋"/>
          <w:b/>
          <w:bCs w:val="0"/>
          <w:color w:val="000000"/>
          <w:sz w:val="30"/>
          <w:szCs w:val="30"/>
        </w:rPr>
      </w:pPr>
      <w:r>
        <w:rPr>
          <w:rFonts w:hint="eastAsia" w:ascii="仿宋" w:hAnsi="仿宋" w:eastAsia="仿宋"/>
          <w:b/>
          <w:bCs w:val="0"/>
          <w:color w:val="000000"/>
          <w:sz w:val="30"/>
          <w:szCs w:val="30"/>
        </w:rPr>
        <w:t>（二）</w:t>
      </w:r>
      <w:r>
        <w:rPr>
          <w:rFonts w:ascii="仿宋" w:hAnsi="仿宋" w:eastAsia="仿宋"/>
          <w:b/>
          <w:bCs w:val="0"/>
          <w:color w:val="000000"/>
          <w:sz w:val="30"/>
          <w:szCs w:val="30"/>
        </w:rPr>
        <w:t>201</w:t>
      </w:r>
      <w:r>
        <w:rPr>
          <w:rFonts w:hint="eastAsia" w:ascii="仿宋" w:hAnsi="仿宋" w:eastAsia="仿宋"/>
          <w:b/>
          <w:bCs w:val="0"/>
          <w:color w:val="000000"/>
          <w:sz w:val="30"/>
          <w:szCs w:val="30"/>
        </w:rPr>
        <w:t>8年重点工作完成情况。</w:t>
      </w:r>
      <w:bookmarkEnd w:id="18"/>
      <w:bookmarkEnd w:id="19"/>
    </w:p>
    <w:p>
      <w:pPr>
        <w:pStyle w:val="5"/>
        <w:pageBreakBefore w:val="0"/>
        <w:kinsoku/>
        <w:wordWrap/>
        <w:overflowPunct/>
        <w:topLinePunct w:val="0"/>
        <w:autoSpaceDE/>
        <w:autoSpaceDN/>
        <w:bidi w:val="0"/>
        <w:adjustRightInd w:val="0"/>
        <w:snapToGrid w:val="0"/>
        <w:spacing w:beforeLines="0" w:line="578" w:lineRule="exact"/>
        <w:ind w:right="0" w:rightChars="0" w:firstLine="562" w:firstLineChars="200"/>
        <w:textAlignment w:val="auto"/>
        <w:outlineLvl w:val="2"/>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1.</w:t>
      </w:r>
      <w:r>
        <w:rPr>
          <w:rFonts w:hint="eastAsia" w:ascii="仿宋" w:hAnsi="仿宋" w:eastAsia="仿宋"/>
          <w:b/>
          <w:bCs w:val="0"/>
          <w:color w:val="000000"/>
          <w:sz w:val="28"/>
          <w:szCs w:val="28"/>
        </w:rPr>
        <w:t>突出重点抓征拆</w:t>
      </w:r>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按照县委、县政府总体要求，房征局负责实施征拆项目共计44个（国有土地13个、集体土地31个项目）。截止今年12月31日，预计完成房屋征拆协议签订700 户，征拆面积约11万余平方米（其中：国有土地上预计 140户，集体土地上预计560 户）。</w:t>
      </w:r>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1</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合力攻坚保障政府收益</w:t>
      </w:r>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近年来，房征局部分借用、借调人员陆续回原单位上班，造成征拆工作力量大为削弱。政府拍卖地块拆迁户数多、时间紧、任务重、难度大。为及时完成拍卖地块拆迁任务，房征局果断采取灵活机动的工作战术，集中优势兵力，选拔尖刀力量，建立起经验丰富、政策熟悉、工作效率高的项目攻坚小组，全力开展拍卖地块房屋拆迁工作，有效地保证了政府收益。全年完成DZP195、114、065、198、228、208、230、236号共8个地块的房屋协议签订工作，帮助实现政府收益17.7亿元。</w:t>
      </w:r>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lang w:eastAsia="zh-CN"/>
        </w:rPr>
        <w:t>（</w:t>
      </w:r>
      <w:r>
        <w:rPr>
          <w:rFonts w:hint="eastAsia" w:ascii="仿宋" w:hAnsi="仿宋" w:eastAsia="仿宋"/>
          <w:bCs/>
          <w:color w:val="000000"/>
          <w:sz w:val="28"/>
          <w:szCs w:val="28"/>
          <w:lang w:val="en-US" w:eastAsia="zh-CN"/>
        </w:rPr>
        <w:t>2</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 xml:space="preserve"> 克难攻坚保障目标任务</w:t>
      </w:r>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2018年2月白沙路道路建设项目大竹卫校28户协议全部签订完毕，随后又积极组织修建活动板房、围墙、化粪池以恢复卫校正常教学，并及时对征收范围内旧房实施了拆除，为白沙路道路施工建设提供了重要条件。除白沙路外，今年还全面完成滨河大道二批次、安居路、党校支路、公园路、火烧户、十二小、220千伏线路新建工程、龙潭饮用水源保护项目、国道外迁二期和南出口匝道新增、体育馆、白塔公园二期等11个项目协议签订工作，为道路建设、城区民生和人居环境改善做出了积极贡献。</w:t>
      </w:r>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lang w:eastAsia="zh-CN"/>
        </w:rPr>
        <w:t>（</w:t>
      </w:r>
      <w:r>
        <w:rPr>
          <w:rFonts w:hint="eastAsia" w:ascii="仿宋" w:hAnsi="仿宋" w:eastAsia="仿宋"/>
          <w:bCs/>
          <w:color w:val="000000"/>
          <w:sz w:val="28"/>
          <w:szCs w:val="28"/>
          <w:lang w:val="en-US" w:eastAsia="zh-CN"/>
        </w:rPr>
        <w:t>3</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全力攻坚保障征拆进度</w:t>
      </w:r>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新华路西段道路建设，共计201户，面积约32911.4平米，其中集体产权性质99户，面积24838.4平米，国有性质102户，面积8073平米。该项目前期准备工作已基本完毕，预计11月底开始协议签订工作。ZP023地块（关仓坝），共计303户，面积约48000平方米，其中国有土地上房屋25户，该地块房屋征收范围已经政府审定，接下来严格按程序推进，预计明年年初开始签订协议；集体土地上房屋278户，目前所有工作准备就绪，即将开始协议签订。ZP029号地块十字街第二批次，共计251户，面积约23000平方米，所有前期准备工作已就绪，待土地竟得者向我局交纳征收保证金后将立即启动协议签订。长亭送别项目，经摸底核实，该项目未签订协议房屋剩余53户，建筑面积19216.68平方米，其中国有土地上房屋10户，集体土地上房屋43户。我局已将调查摸底和测绘相关情况致函县住建局，待县住建局规划方案出台后，按程序启动后续房屋拆迁工作。</w:t>
      </w:r>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lang w:eastAsia="zh-CN"/>
        </w:rPr>
        <w:t>（</w:t>
      </w:r>
      <w:r>
        <w:rPr>
          <w:rFonts w:hint="eastAsia" w:ascii="仿宋" w:hAnsi="仿宋" w:eastAsia="仿宋"/>
          <w:bCs/>
          <w:color w:val="000000"/>
          <w:sz w:val="28"/>
          <w:szCs w:val="28"/>
          <w:lang w:val="en-US" w:eastAsia="zh-CN"/>
        </w:rPr>
        <w:t>4</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 xml:space="preserve"> 积极作为解决遗留问题</w:t>
      </w:r>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在加快各项目房屋征拆进程的同时，房征局主动作为、积极协调，不断推动北门片区夏家院子、爱这城、紫荆公馆等历史遗留问题顺利解决，尽最大努力维护好社会稳定。</w:t>
      </w:r>
    </w:p>
    <w:p>
      <w:pPr>
        <w:pStyle w:val="5"/>
        <w:pageBreakBefore w:val="0"/>
        <w:kinsoku/>
        <w:wordWrap/>
        <w:overflowPunct/>
        <w:topLinePunct w:val="0"/>
        <w:autoSpaceDE/>
        <w:autoSpaceDN/>
        <w:bidi w:val="0"/>
        <w:adjustRightInd w:val="0"/>
        <w:snapToGrid w:val="0"/>
        <w:spacing w:beforeLines="0" w:line="578" w:lineRule="exact"/>
        <w:ind w:right="0" w:rightChars="0" w:firstLine="562" w:firstLineChars="200"/>
        <w:textAlignment w:val="auto"/>
        <w:outlineLvl w:val="2"/>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2、</w:t>
      </w:r>
      <w:r>
        <w:rPr>
          <w:rFonts w:hint="eastAsia" w:ascii="仿宋" w:hAnsi="仿宋" w:eastAsia="仿宋"/>
          <w:b/>
          <w:bCs w:val="0"/>
          <w:color w:val="000000"/>
          <w:sz w:val="28"/>
          <w:szCs w:val="28"/>
        </w:rPr>
        <w:t>突出民生抓建设</w:t>
      </w:r>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lang w:eastAsia="zh-CN"/>
        </w:rPr>
        <w:t>（</w:t>
      </w:r>
      <w:r>
        <w:rPr>
          <w:rFonts w:hint="eastAsia" w:ascii="仿宋" w:hAnsi="仿宋" w:eastAsia="仿宋"/>
          <w:bCs/>
          <w:color w:val="000000"/>
          <w:sz w:val="28"/>
          <w:szCs w:val="28"/>
          <w:lang w:val="en-US" w:eastAsia="zh-CN"/>
        </w:rPr>
        <w:t>1</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安置房建设。今年我局继续按照“稳拆快建”的工作思路，全力推进拆迁安置房建设工作，确保被拆迁群众早日住上新居，过上新生活。</w:t>
      </w:r>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①建成项目。已建成项目3个，即景观大道棚户区改造项目、护城河教师新村二期拆迁安置房项目和县职中拆迁安置房，可解决1214套、9.8万平方米安置需要，目前已完成返迁，每年为政府节约700余万元过渡安置费。</w:t>
      </w:r>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②在建项目。在建项目3个，即北城竹和园棚户区改造安置房项目、白沙农民集中住房项目、云台棚户区改造安置房项目。其中白沙农民集中住房主体施工已结束，已完成总工程量的96%；北城竹和园棚户区改造项目主体工程已全部完工，已完成总工程量的85%；云台棚户区改造一期项目场平施工已经结束，即将进行桩基础施工。</w:t>
      </w:r>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③拟建项目。竹阳社区城中村改造项目已办结前期所有手续，拟定2018年11月20日完成招投标。沙石坎城中村改造一期项目，已立项并办结选址、节能、环评、水保等相关手续，力争2019年3月份完成招投标。</w:t>
      </w:r>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lang w:eastAsia="zh-CN"/>
        </w:rPr>
        <w:t>（</w:t>
      </w:r>
      <w:r>
        <w:rPr>
          <w:rFonts w:hint="eastAsia" w:ascii="仿宋" w:hAnsi="仿宋" w:eastAsia="仿宋"/>
          <w:bCs/>
          <w:color w:val="000000"/>
          <w:sz w:val="28"/>
          <w:szCs w:val="28"/>
          <w:lang w:val="en-US" w:eastAsia="zh-CN"/>
        </w:rPr>
        <w:t>2</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融资工作。为解决棚户区改造建设资金短缺的问题，房征局积极拓展融资渠道，今年已从农发行融资共计18亿元，以解决竹沙片区棚户区（城中村）改造项目、大竹县新华路片区（城中村）改造项目、云台棚户区（城中村）一期改造项目等3个项目棚改建设资金。目前正全力争取债券项目和中央预算内项目资金。</w:t>
      </w:r>
    </w:p>
    <w:p>
      <w:pPr>
        <w:pStyle w:val="5"/>
        <w:pageBreakBefore w:val="0"/>
        <w:kinsoku/>
        <w:wordWrap/>
        <w:overflowPunct/>
        <w:topLinePunct w:val="0"/>
        <w:autoSpaceDE/>
        <w:autoSpaceDN/>
        <w:bidi w:val="0"/>
        <w:adjustRightInd w:val="0"/>
        <w:snapToGrid w:val="0"/>
        <w:spacing w:beforeLines="0" w:line="578" w:lineRule="exact"/>
        <w:ind w:right="0" w:rightChars="0" w:firstLine="562" w:firstLineChars="200"/>
        <w:textAlignment w:val="auto"/>
        <w:outlineLvl w:val="2"/>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3、</w:t>
      </w:r>
      <w:r>
        <w:rPr>
          <w:rFonts w:hint="eastAsia" w:ascii="仿宋" w:hAnsi="仿宋" w:eastAsia="仿宋"/>
          <w:b/>
          <w:bCs w:val="0"/>
          <w:color w:val="000000"/>
          <w:sz w:val="28"/>
          <w:szCs w:val="28"/>
        </w:rPr>
        <w:t>突出稳定抓信访</w:t>
      </w:r>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全年办理涉及征拆安置信访案件67件，其中中央第四巡查组3件、县委县政府领导批示件 14件、市信访业务系统3件、市委书记信箱 3件、市长热线1件、县长热线1件、县长信箱 3件、政协提案3件、各类上级交办件 36件，共接待信访群众84批次745人次。对初信初访基本上做到一次性处理到位，100%领导阅批，100%处理，办结率达100%。做到件件有着落，事事有回音。</w:t>
      </w:r>
    </w:p>
    <w:p>
      <w:pPr>
        <w:pStyle w:val="5"/>
        <w:pageBreakBefore w:val="0"/>
        <w:kinsoku/>
        <w:wordWrap/>
        <w:overflowPunct/>
        <w:topLinePunct w:val="0"/>
        <w:autoSpaceDE/>
        <w:autoSpaceDN/>
        <w:bidi w:val="0"/>
        <w:adjustRightInd w:val="0"/>
        <w:snapToGrid w:val="0"/>
        <w:spacing w:beforeLines="0" w:line="578" w:lineRule="exact"/>
        <w:ind w:right="0" w:rightChars="0" w:firstLine="562" w:firstLineChars="200"/>
        <w:textAlignment w:val="auto"/>
        <w:outlineLvl w:val="2"/>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4、</w:t>
      </w:r>
      <w:r>
        <w:rPr>
          <w:rFonts w:hint="eastAsia" w:ascii="仿宋" w:hAnsi="仿宋" w:eastAsia="仿宋"/>
          <w:b/>
          <w:bCs w:val="0"/>
          <w:color w:val="000000"/>
          <w:sz w:val="28"/>
          <w:szCs w:val="28"/>
        </w:rPr>
        <w:t>突出实效抓帮扶</w:t>
      </w:r>
    </w:p>
    <w:p>
      <w:pPr>
        <w:pStyle w:val="5"/>
        <w:pageBreakBefore w:val="0"/>
        <w:kinsoku/>
        <w:wordWrap/>
        <w:overflowPunct/>
        <w:topLinePunct w:val="0"/>
        <w:autoSpaceDE/>
        <w:autoSpaceDN/>
        <w:bidi w:val="0"/>
        <w:adjustRightInd w:val="0"/>
        <w:snapToGrid w:val="0"/>
        <w:spacing w:beforeLines="0" w:line="578" w:lineRule="exact"/>
        <w:ind w:right="0" w:rightChars="0" w:firstLine="560" w:firstLineChars="20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县房征局作为城西乡九盘村的帮扶责任部门，联系帮扶城西乡九盘村贫困对象120户。我局坚持“脱贫不脱帮”原则，帮扶工作做到不松劲、不懈怠，持续发力，真帮实扶，成效明显。房征局全年共解决城西乡、村脱贫攻坚帮扶资金18.5万余元。机关干部职工利用每月“帮扶日”走村入户，积极地与帮扶贫困对象联系对接，通过实地走访、电话联系等方式传达政策、了解疾苦，全年发放政策法律法规宣传单3000余份，解决帮扶贫困户各类问题50余件，通过节日慰问、暖心帮扶等方式为联系帮扶对象送去生产生活物资折合资金7.2万余元，借走访时机帮助打扫房屋院坝受益群众4000余人次。</w:t>
      </w:r>
    </w:p>
    <w:p>
      <w:pPr>
        <w:pStyle w:val="3"/>
        <w:pageBreakBefore w:val="0"/>
        <w:kinsoku/>
        <w:wordWrap/>
        <w:overflowPunct/>
        <w:topLinePunct w:val="0"/>
        <w:autoSpaceDE/>
        <w:autoSpaceDN/>
        <w:bidi w:val="0"/>
        <w:spacing w:before="0" w:after="0" w:line="578" w:lineRule="exact"/>
        <w:ind w:right="0" w:rightChars="0" w:firstLine="640" w:firstLineChars="200"/>
        <w:textAlignment w:val="auto"/>
        <w:rPr>
          <w:rStyle w:val="25"/>
          <w:b w:val="0"/>
          <w:bCs w:val="0"/>
          <w:sz w:val="32"/>
          <w:szCs w:val="32"/>
        </w:rPr>
      </w:pPr>
      <w:bookmarkStart w:id="20" w:name="_Toc15396601"/>
      <w:bookmarkStart w:id="21" w:name="_Toc15377200"/>
      <w:r>
        <w:rPr>
          <w:rFonts w:hint="eastAsia" w:ascii="黑体" w:eastAsia="黑体"/>
          <w:b w:val="0"/>
          <w:color w:val="000000"/>
          <w:sz w:val="32"/>
          <w:szCs w:val="32"/>
        </w:rPr>
        <w:t>二、</w:t>
      </w:r>
      <w:r>
        <w:rPr>
          <w:rFonts w:hint="eastAsia" w:ascii="黑体" w:hAnsi="黑体" w:eastAsia="黑体"/>
          <w:b w:val="0"/>
          <w:color w:val="000000"/>
          <w:sz w:val="32"/>
          <w:szCs w:val="32"/>
        </w:rPr>
        <w:t>机</w:t>
      </w:r>
      <w:r>
        <w:rPr>
          <w:rStyle w:val="25"/>
          <w:rFonts w:hint="eastAsia" w:ascii="黑体" w:hAnsi="黑体" w:eastAsia="黑体"/>
          <w:b w:val="0"/>
          <w:bCs w:val="0"/>
          <w:sz w:val="32"/>
          <w:szCs w:val="32"/>
        </w:rPr>
        <w:t>构设置</w:t>
      </w:r>
      <w:bookmarkEnd w:id="20"/>
      <w:bookmarkEnd w:id="21"/>
    </w:p>
    <w:p>
      <w:pPr>
        <w:pageBreakBefore w:val="0"/>
        <w:kinsoku/>
        <w:wordWrap/>
        <w:overflowPunct/>
        <w:topLinePunct w:val="0"/>
        <w:autoSpaceDE/>
        <w:autoSpaceDN/>
        <w:bidi w:val="0"/>
        <w:spacing w:line="578" w:lineRule="exact"/>
        <w:ind w:right="0" w:rightChars="0" w:firstLine="560" w:firstLineChars="200"/>
        <w:textAlignment w:val="auto"/>
        <w:rPr>
          <w:rFonts w:ascii="仿宋" w:hAnsi="仿宋" w:eastAsia="仿宋"/>
          <w:sz w:val="28"/>
          <w:szCs w:val="28"/>
        </w:rPr>
      </w:pPr>
      <w:r>
        <w:rPr>
          <w:rFonts w:hint="eastAsia" w:ascii="仿宋" w:hAnsi="仿宋" w:eastAsia="仿宋"/>
          <w:sz w:val="28"/>
          <w:szCs w:val="28"/>
          <w:lang w:eastAsia="zh-CN"/>
        </w:rPr>
        <w:t>大竹县房屋征收局</w:t>
      </w:r>
      <w:r>
        <w:rPr>
          <w:rFonts w:hint="eastAsia" w:ascii="仿宋" w:hAnsi="仿宋" w:eastAsia="仿宋"/>
          <w:sz w:val="28"/>
          <w:szCs w:val="28"/>
        </w:rPr>
        <w:t>下属二级单位</w:t>
      </w:r>
      <w:r>
        <w:rPr>
          <w:rFonts w:hint="eastAsia" w:ascii="仿宋" w:hAnsi="仿宋" w:eastAsia="仿宋"/>
          <w:sz w:val="28"/>
          <w:szCs w:val="28"/>
          <w:lang w:val="en-US" w:eastAsia="zh-CN"/>
        </w:rPr>
        <w:t>0</w:t>
      </w:r>
      <w:r>
        <w:rPr>
          <w:rFonts w:hint="eastAsia" w:ascii="仿宋" w:hAnsi="仿宋" w:eastAsia="仿宋"/>
          <w:sz w:val="28"/>
          <w:szCs w:val="28"/>
        </w:rPr>
        <w:t>个，其中行政单位</w:t>
      </w:r>
      <w:r>
        <w:rPr>
          <w:rFonts w:hint="eastAsia" w:ascii="仿宋" w:hAnsi="仿宋" w:eastAsia="仿宋"/>
          <w:sz w:val="28"/>
          <w:szCs w:val="28"/>
          <w:lang w:val="en-US" w:eastAsia="zh-CN"/>
        </w:rPr>
        <w:t>0</w:t>
      </w:r>
      <w:r>
        <w:rPr>
          <w:rFonts w:hint="eastAsia" w:ascii="仿宋" w:hAnsi="仿宋" w:eastAsia="仿宋"/>
          <w:sz w:val="28"/>
          <w:szCs w:val="28"/>
        </w:rPr>
        <w:t>个，参照公务员法管理的事业单位</w:t>
      </w:r>
      <w:r>
        <w:rPr>
          <w:rFonts w:hint="eastAsia" w:ascii="仿宋" w:hAnsi="仿宋" w:eastAsia="仿宋"/>
          <w:bCs/>
          <w:sz w:val="28"/>
          <w:szCs w:val="28"/>
          <w:lang w:val="en-US" w:eastAsia="zh-CN"/>
        </w:rPr>
        <w:t>0</w:t>
      </w:r>
      <w:r>
        <w:rPr>
          <w:rFonts w:hint="eastAsia" w:ascii="仿宋" w:hAnsi="仿宋" w:eastAsia="仿宋"/>
          <w:sz w:val="28"/>
          <w:szCs w:val="28"/>
        </w:rPr>
        <w:t>个，其他事业单位</w:t>
      </w:r>
      <w:r>
        <w:rPr>
          <w:rFonts w:hint="eastAsia" w:ascii="仿宋" w:hAnsi="仿宋" w:eastAsia="仿宋"/>
          <w:sz w:val="28"/>
          <w:szCs w:val="28"/>
          <w:lang w:val="en-US" w:eastAsia="zh-CN"/>
        </w:rPr>
        <w:t>0</w:t>
      </w:r>
      <w:r>
        <w:rPr>
          <w:rFonts w:hint="eastAsia" w:ascii="仿宋" w:hAnsi="仿宋" w:eastAsia="仿宋"/>
          <w:sz w:val="28"/>
          <w:szCs w:val="28"/>
        </w:rPr>
        <w:t>个。</w:t>
      </w:r>
    </w:p>
    <w:p>
      <w:pPr>
        <w:pageBreakBefore w:val="0"/>
        <w:widowControl/>
        <w:kinsoku/>
        <w:wordWrap/>
        <w:overflowPunct/>
        <w:topLinePunct w:val="0"/>
        <w:autoSpaceDE/>
        <w:autoSpaceDN/>
        <w:bidi w:val="0"/>
        <w:spacing w:line="578" w:lineRule="exact"/>
        <w:ind w:right="0" w:rightChars="0" w:firstLine="560" w:firstLineChars="200"/>
        <w:jc w:val="left"/>
        <w:textAlignment w:val="auto"/>
        <w:rPr>
          <w:rFonts w:ascii="仿宋" w:hAnsi="仿宋" w:eastAsia="仿宋"/>
          <w:color w:val="000000"/>
          <w:kern w:val="0"/>
          <w:sz w:val="28"/>
          <w:szCs w:val="28"/>
        </w:rPr>
      </w:pPr>
      <w:r>
        <w:rPr>
          <w:rFonts w:ascii="仿宋" w:hAnsi="仿宋" w:eastAsia="仿宋"/>
          <w:color w:val="000000"/>
          <w:sz w:val="28"/>
          <w:szCs w:val="28"/>
        </w:rPr>
        <w:br w:type="page"/>
      </w:r>
    </w:p>
    <w:p>
      <w:pPr>
        <w:pStyle w:val="2"/>
        <w:pageBreakBefore w:val="0"/>
        <w:kinsoku/>
        <w:wordWrap/>
        <w:overflowPunct/>
        <w:topLinePunct w:val="0"/>
        <w:bidi w:val="0"/>
        <w:ind w:right="440"/>
        <w:jc w:val="center"/>
        <w:textAlignment w:val="auto"/>
        <w:rPr>
          <w:sz w:val="28"/>
          <w:szCs w:val="28"/>
        </w:rPr>
      </w:pPr>
      <w:bookmarkStart w:id="22" w:name="_Toc15396602"/>
      <w:bookmarkStart w:id="23" w:name="_Toc15377204"/>
      <w:r>
        <w:rPr>
          <w:rFonts w:hint="eastAsia" w:ascii="黑体" w:hAnsi="黑体" w:eastAsia="黑体"/>
          <w:b w:val="0"/>
          <w:color w:val="000000"/>
          <w:sz w:val="44"/>
          <w:szCs w:val="44"/>
        </w:rPr>
        <w:t>第二部分</w:t>
      </w:r>
      <w:r>
        <w:rPr>
          <w:rFonts w:hint="eastAsia" w:ascii="黑体" w:hAnsi="黑体" w:eastAsia="黑体"/>
          <w:color w:val="000000"/>
          <w:sz w:val="44"/>
          <w:szCs w:val="44"/>
        </w:rPr>
        <w:t xml:space="preserve"> </w:t>
      </w:r>
      <w:r>
        <w:rPr>
          <w:rStyle w:val="24"/>
          <w:rFonts w:hint="eastAsia" w:ascii="黑体" w:hAnsi="黑体" w:eastAsia="黑体"/>
          <w:b w:val="0"/>
          <w:bCs w:val="0"/>
          <w:sz w:val="44"/>
          <w:szCs w:val="44"/>
        </w:rPr>
        <w:t>2018年度部门决算情况</w:t>
      </w:r>
      <w:r>
        <w:rPr>
          <w:rStyle w:val="24"/>
          <w:rFonts w:hint="eastAsia" w:ascii="黑体" w:hAnsi="黑体" w:eastAsia="黑体"/>
          <w:b w:val="0"/>
          <w:bCs w:val="0"/>
          <w:sz w:val="44"/>
          <w:szCs w:val="44"/>
          <w:lang w:eastAsia="zh-CN"/>
        </w:rPr>
        <w:t>说</w:t>
      </w:r>
      <w:r>
        <w:rPr>
          <w:rStyle w:val="24"/>
          <w:rFonts w:hint="eastAsia" w:ascii="黑体" w:hAnsi="黑体" w:eastAsia="黑体"/>
          <w:b w:val="0"/>
          <w:bCs w:val="0"/>
          <w:sz w:val="44"/>
          <w:szCs w:val="44"/>
        </w:rPr>
        <w:t>明</w:t>
      </w:r>
      <w:bookmarkEnd w:id="22"/>
      <w:bookmarkEnd w:id="23"/>
    </w:p>
    <w:p>
      <w:pPr>
        <w:pStyle w:val="23"/>
        <w:keepNext w:val="0"/>
        <w:keepLines w:val="0"/>
        <w:pageBreakBefore w:val="0"/>
        <w:numPr>
          <w:ilvl w:val="0"/>
          <w:numId w:val="0"/>
        </w:numPr>
        <w:kinsoku/>
        <w:wordWrap/>
        <w:overflowPunct/>
        <w:topLinePunct w:val="0"/>
        <w:bidi w:val="0"/>
        <w:snapToGrid/>
        <w:spacing w:line="578" w:lineRule="exact"/>
        <w:ind w:leftChars="200" w:right="0" w:rightChars="0"/>
        <w:jc w:val="left"/>
        <w:textAlignment w:val="auto"/>
        <w:outlineLvl w:val="1"/>
        <w:rPr>
          <w:rStyle w:val="25"/>
          <w:rFonts w:ascii="黑体" w:hAnsi="黑体" w:eastAsia="黑体"/>
          <w:b w:val="0"/>
          <w:sz w:val="32"/>
          <w:szCs w:val="32"/>
        </w:rPr>
      </w:pPr>
      <w:bookmarkStart w:id="24" w:name="_Toc15377205"/>
      <w:bookmarkStart w:id="25" w:name="_Toc15396603"/>
      <w:r>
        <w:rPr>
          <w:rFonts w:hint="eastAsia" w:ascii="黑体" w:hAnsi="黑体" w:eastAsia="黑体"/>
          <w:color w:val="000000"/>
          <w:sz w:val="32"/>
          <w:szCs w:val="32"/>
          <w:lang w:eastAsia="zh-CN"/>
        </w:rPr>
        <w:t>一、</w:t>
      </w:r>
      <w:r>
        <w:rPr>
          <w:rFonts w:hint="eastAsia" w:ascii="黑体" w:hAnsi="黑体" w:eastAsia="黑体"/>
          <w:color w:val="000000"/>
          <w:sz w:val="32"/>
          <w:szCs w:val="32"/>
        </w:rPr>
        <w:t>收</w:t>
      </w:r>
      <w:r>
        <w:rPr>
          <w:rStyle w:val="25"/>
          <w:rFonts w:hint="eastAsia" w:ascii="黑体" w:hAnsi="黑体" w:eastAsia="黑体"/>
          <w:b w:val="0"/>
          <w:sz w:val="32"/>
          <w:szCs w:val="32"/>
        </w:rPr>
        <w:t>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2018年度收</w:t>
      </w:r>
      <w:r>
        <w:rPr>
          <w:rFonts w:hint="eastAsia" w:ascii="仿宋_GB2312" w:hAnsi="仿宋_GB2312" w:eastAsia="仿宋_GB2312" w:cs="仿宋_GB2312"/>
          <w:sz w:val="28"/>
          <w:szCs w:val="28"/>
          <w:lang w:eastAsia="zh-CN"/>
        </w:rPr>
        <w:t>入</w:t>
      </w:r>
      <w:r>
        <w:rPr>
          <w:rFonts w:hint="eastAsia" w:ascii="仿宋_GB2312" w:hAnsi="仿宋_GB2312" w:eastAsia="仿宋_GB2312" w:cs="仿宋_GB2312"/>
          <w:sz w:val="28"/>
          <w:szCs w:val="28"/>
        </w:rPr>
        <w:t>总计</w:t>
      </w:r>
      <w:r>
        <w:rPr>
          <w:rFonts w:hint="eastAsia" w:ascii="仿宋_GB2312" w:hAnsi="仿宋_GB2312" w:eastAsia="仿宋_GB2312" w:cs="仿宋_GB2312"/>
          <w:sz w:val="28"/>
          <w:szCs w:val="28"/>
          <w:lang w:val="en-US" w:eastAsia="zh-CN"/>
        </w:rPr>
        <w:t>40231.24</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，年初结转和结余</w:t>
      </w:r>
      <w:r>
        <w:rPr>
          <w:rFonts w:hint="eastAsia" w:ascii="仿宋_GB2312" w:hAnsi="仿宋_GB2312" w:eastAsia="仿宋_GB2312" w:cs="仿宋_GB2312"/>
          <w:sz w:val="28"/>
          <w:szCs w:val="28"/>
          <w:lang w:val="en-US" w:eastAsia="zh-CN"/>
        </w:rPr>
        <w:t>7772.08万元，支出总计17880.07万元，年末结转和结余30123.26万元，</w:t>
      </w:r>
      <w:r>
        <w:rPr>
          <w:rFonts w:hint="eastAsia" w:ascii="仿宋_GB2312" w:hAnsi="仿宋_GB2312" w:eastAsia="仿宋_GB2312" w:cs="仿宋_GB2312"/>
          <w:sz w:val="28"/>
          <w:szCs w:val="28"/>
        </w:rPr>
        <w:t>与2017年相比，收</w:t>
      </w:r>
      <w:r>
        <w:rPr>
          <w:rFonts w:hint="eastAsia" w:ascii="仿宋_GB2312" w:hAnsi="仿宋_GB2312" w:eastAsia="仿宋_GB2312" w:cs="仿宋_GB2312"/>
          <w:sz w:val="28"/>
          <w:szCs w:val="28"/>
          <w:lang w:eastAsia="zh-CN"/>
        </w:rPr>
        <w:t>入</w:t>
      </w:r>
      <w:r>
        <w:rPr>
          <w:rFonts w:hint="eastAsia" w:ascii="仿宋_GB2312" w:hAnsi="仿宋_GB2312" w:eastAsia="仿宋_GB2312" w:cs="仿宋_GB2312"/>
          <w:sz w:val="28"/>
          <w:szCs w:val="28"/>
        </w:rPr>
        <w:t>增加</w:t>
      </w:r>
      <w:r>
        <w:rPr>
          <w:rFonts w:hint="eastAsia" w:ascii="仿宋_GB2312" w:hAnsi="仿宋_GB2312" w:eastAsia="仿宋_GB2312" w:cs="仿宋_GB2312"/>
          <w:sz w:val="28"/>
          <w:szCs w:val="28"/>
          <w:lang w:val="en-US" w:eastAsia="zh-CN"/>
        </w:rPr>
        <w:t>24612.25</w:t>
      </w:r>
      <w:r>
        <w:rPr>
          <w:rFonts w:hint="eastAsia" w:ascii="仿宋_GB2312" w:hAnsi="仿宋_GB2312" w:eastAsia="仿宋_GB2312" w:cs="仿宋_GB2312"/>
          <w:sz w:val="28"/>
          <w:szCs w:val="28"/>
        </w:rPr>
        <w:t>万元，增长</w:t>
      </w:r>
      <w:r>
        <w:rPr>
          <w:rFonts w:hint="eastAsia" w:ascii="仿宋_GB2312" w:hAnsi="仿宋_GB2312" w:eastAsia="仿宋_GB2312" w:cs="仿宋_GB2312"/>
          <w:sz w:val="28"/>
          <w:szCs w:val="28"/>
          <w:lang w:val="en-US" w:eastAsia="zh-CN"/>
        </w:rPr>
        <w:t>157.58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；支出增加</w:t>
      </w:r>
      <w:r>
        <w:rPr>
          <w:rFonts w:hint="eastAsia" w:ascii="仿宋_GB2312" w:hAnsi="仿宋_GB2312" w:eastAsia="仿宋_GB2312" w:cs="仿宋_GB2312"/>
          <w:sz w:val="28"/>
          <w:szCs w:val="28"/>
          <w:lang w:val="en-US" w:eastAsia="zh-CN"/>
        </w:rPr>
        <w:t>4598.89万元，增长34.63%。</w:t>
      </w:r>
      <w:r>
        <w:rPr>
          <w:rFonts w:hint="eastAsia" w:ascii="仿宋_GB2312" w:hAnsi="仿宋_GB2312" w:eastAsia="仿宋_GB2312" w:cs="仿宋_GB2312"/>
          <w:sz w:val="28"/>
          <w:szCs w:val="28"/>
        </w:rPr>
        <w:t>主要变动原因是</w:t>
      </w:r>
      <w:r>
        <w:rPr>
          <w:rFonts w:hint="eastAsia" w:ascii="仿宋_GB2312" w:hAnsi="仿宋_GB2312" w:eastAsia="仿宋_GB2312" w:cs="仿宋_GB2312"/>
          <w:sz w:val="28"/>
          <w:szCs w:val="28"/>
          <w:lang w:val="en-US" w:eastAsia="zh-CN"/>
        </w:rPr>
        <w:t>2018年我单位建设项目增加，项目收支金额变大。</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（图1：收、支决算总计变动情况图）</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lang w:val="en-US" w:eastAsia="zh-CN"/>
        </w:rPr>
      </w:pPr>
      <w:r>
        <w:rPr>
          <w:sz w:val="28"/>
          <w:szCs w:val="28"/>
        </w:rPr>
        <w:drawing>
          <wp:inline distT="0" distB="0" distL="114300" distR="114300">
            <wp:extent cx="4613275" cy="2847975"/>
            <wp:effectExtent l="4445" t="5080" r="11430" b="444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textAlignment w:val="auto"/>
        <w:outlineLvl w:val="1"/>
        <w:rPr>
          <w:rStyle w:val="25"/>
          <w:rFonts w:ascii="黑体" w:hAnsi="黑体" w:eastAsia="黑体"/>
          <w:b w:val="0"/>
          <w:sz w:val="32"/>
          <w:szCs w:val="32"/>
        </w:rPr>
      </w:pPr>
      <w:bookmarkStart w:id="26" w:name="_Toc15377206"/>
      <w:bookmarkStart w:id="27" w:name="_Toc15396604"/>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5"/>
          <w:rFonts w:hint="eastAsia" w:ascii="黑体" w:hAnsi="黑体" w:eastAsia="黑体"/>
          <w:b w:val="0"/>
          <w:sz w:val="32"/>
          <w:szCs w:val="32"/>
        </w:rPr>
        <w:t>入决算情况说明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2018年本年收入合计</w:t>
      </w:r>
      <w:r>
        <w:rPr>
          <w:rFonts w:hint="eastAsia" w:ascii="仿宋_GB2312" w:hAnsi="仿宋_GB2312" w:eastAsia="仿宋_GB2312" w:cs="仿宋_GB2312"/>
          <w:sz w:val="28"/>
          <w:szCs w:val="28"/>
          <w:lang w:val="en-US" w:eastAsia="zh-CN"/>
        </w:rPr>
        <w:t>40231.24</w:t>
      </w:r>
      <w:r>
        <w:rPr>
          <w:rFonts w:hint="eastAsia" w:ascii="仿宋_GB2312" w:hAnsi="仿宋_GB2312" w:eastAsia="仿宋_GB2312" w:cs="仿宋_GB2312"/>
          <w:sz w:val="28"/>
          <w:szCs w:val="28"/>
        </w:rPr>
        <w:t>万元，其中：一般公共预算财政拨款收入</w:t>
      </w:r>
      <w:r>
        <w:rPr>
          <w:rFonts w:hint="eastAsia" w:ascii="仿宋_GB2312" w:hAnsi="仿宋_GB2312" w:eastAsia="仿宋_GB2312" w:cs="仿宋_GB2312"/>
          <w:sz w:val="28"/>
          <w:szCs w:val="28"/>
          <w:lang w:val="en-US" w:eastAsia="zh-CN"/>
        </w:rPr>
        <w:t>25357.54</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63.03</w:t>
      </w:r>
      <w:r>
        <w:rPr>
          <w:rFonts w:hint="eastAsia" w:ascii="仿宋_GB2312" w:hAnsi="仿宋_GB2312" w:eastAsia="仿宋_GB2312" w:cs="仿宋_GB2312"/>
          <w:sz w:val="28"/>
          <w:szCs w:val="28"/>
        </w:rPr>
        <w:t>%；政府性基金预算财政拨款收入</w:t>
      </w:r>
      <w:r>
        <w:rPr>
          <w:rFonts w:hint="eastAsia" w:ascii="仿宋_GB2312" w:hAnsi="仿宋_GB2312" w:eastAsia="仿宋_GB2312" w:cs="仿宋_GB2312"/>
          <w:sz w:val="28"/>
          <w:szCs w:val="28"/>
          <w:lang w:val="en-US" w:eastAsia="zh-CN"/>
        </w:rPr>
        <w:t>14873.70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36.97</w:t>
      </w:r>
      <w:r>
        <w:rPr>
          <w:rFonts w:hint="eastAsia" w:ascii="仿宋_GB2312" w:hAnsi="仿宋_GB2312" w:eastAsia="仿宋_GB2312" w:cs="仿宋_GB2312"/>
          <w:sz w:val="28"/>
          <w:szCs w:val="28"/>
        </w:rPr>
        <w:t>%；国有资本经营预算财政拨款收入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%；事业收入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%；经营收入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%；附属单位上缴收入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%；其他收入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（图2：收入决算结构图）</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sz w:val="28"/>
          <w:szCs w:val="28"/>
        </w:rPr>
        <w:drawing>
          <wp:inline distT="0" distB="0" distL="114300" distR="114300">
            <wp:extent cx="4631690" cy="2446020"/>
            <wp:effectExtent l="4445" t="4445" r="12065" b="698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textAlignment w:val="auto"/>
        <w:outlineLvl w:val="1"/>
        <w:rPr>
          <w:rStyle w:val="25"/>
          <w:rFonts w:ascii="黑体" w:hAnsi="黑体" w:eastAsia="黑体"/>
          <w:b w:val="0"/>
          <w:sz w:val="32"/>
          <w:szCs w:val="32"/>
        </w:rPr>
      </w:pPr>
      <w:bookmarkStart w:id="28" w:name="_Toc15396605"/>
      <w:bookmarkStart w:id="29" w:name="_Toc15377207"/>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5"/>
          <w:rFonts w:hint="eastAsia" w:ascii="黑体" w:hAnsi="黑体" w:eastAsia="黑体"/>
          <w:b w:val="0"/>
          <w:sz w:val="32"/>
          <w:szCs w:val="32"/>
        </w:rPr>
        <w:t>出决算情况说明</w:t>
      </w:r>
      <w:bookmarkEnd w:id="28"/>
      <w:bookmarkEnd w:id="29"/>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2018年本年支出合计</w:t>
      </w:r>
      <w:r>
        <w:rPr>
          <w:rFonts w:hint="eastAsia" w:ascii="仿宋_GB2312" w:hAnsi="仿宋_GB2312" w:eastAsia="仿宋_GB2312" w:cs="仿宋_GB2312"/>
          <w:sz w:val="28"/>
          <w:szCs w:val="28"/>
          <w:lang w:val="en-US" w:eastAsia="zh-CN"/>
        </w:rPr>
        <w:t>17880.07</w:t>
      </w:r>
      <w:r>
        <w:rPr>
          <w:rFonts w:hint="eastAsia" w:ascii="仿宋_GB2312" w:hAnsi="仿宋_GB2312" w:eastAsia="仿宋_GB2312" w:cs="仿宋_GB2312"/>
          <w:sz w:val="28"/>
          <w:szCs w:val="28"/>
        </w:rPr>
        <w:t>万元，其中：基本支出</w:t>
      </w:r>
      <w:r>
        <w:rPr>
          <w:rFonts w:hint="eastAsia" w:ascii="仿宋_GB2312" w:hAnsi="仿宋_GB2312" w:eastAsia="仿宋_GB2312" w:cs="仿宋_GB2312"/>
          <w:sz w:val="28"/>
          <w:szCs w:val="28"/>
          <w:lang w:val="en-US" w:eastAsia="zh-CN"/>
        </w:rPr>
        <w:t>594.80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3.33</w:t>
      </w:r>
      <w:r>
        <w:rPr>
          <w:rFonts w:hint="eastAsia" w:ascii="仿宋_GB2312" w:hAnsi="仿宋_GB2312" w:eastAsia="仿宋_GB2312" w:cs="仿宋_GB2312"/>
          <w:sz w:val="28"/>
          <w:szCs w:val="28"/>
        </w:rPr>
        <w:t>%；项目支出</w:t>
      </w:r>
      <w:r>
        <w:rPr>
          <w:rFonts w:hint="eastAsia" w:ascii="仿宋_GB2312" w:hAnsi="仿宋_GB2312" w:eastAsia="仿宋_GB2312" w:cs="仿宋_GB2312"/>
          <w:sz w:val="28"/>
          <w:szCs w:val="28"/>
          <w:lang w:val="en-US" w:eastAsia="zh-CN"/>
        </w:rPr>
        <w:t>17285.27</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96.67</w:t>
      </w:r>
      <w:r>
        <w:rPr>
          <w:rFonts w:hint="eastAsia" w:ascii="仿宋_GB2312" w:hAnsi="仿宋_GB2312" w:eastAsia="仿宋_GB2312" w:cs="仿宋_GB2312"/>
          <w:sz w:val="28"/>
          <w:szCs w:val="28"/>
        </w:rPr>
        <w:t>%；上缴上级支出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%；经营支出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%；对附属单位补助支出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（图3：支出决算结构图）</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sz w:val="28"/>
          <w:szCs w:val="28"/>
        </w:rPr>
      </w:pPr>
      <w:r>
        <w:rPr>
          <w:sz w:val="28"/>
          <w:szCs w:val="28"/>
        </w:rPr>
        <w:drawing>
          <wp:inline distT="0" distB="0" distL="114300" distR="114300">
            <wp:extent cx="4622800" cy="2974340"/>
            <wp:effectExtent l="4445" t="4445" r="20955" b="1206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1"/>
        <w:rPr>
          <w:rStyle w:val="25"/>
          <w:rFonts w:ascii="黑体" w:hAnsi="黑体" w:eastAsia="黑体"/>
          <w:b w:val="0"/>
          <w:sz w:val="32"/>
          <w:szCs w:val="32"/>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sz w:val="32"/>
          <w:szCs w:val="32"/>
        </w:rPr>
        <w:t>政拨款收入支出决算总体情况说明</w:t>
      </w:r>
      <w:bookmarkEnd w:id="30"/>
      <w:bookmarkEnd w:id="31"/>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2018年度</w:t>
      </w:r>
      <w:r>
        <w:rPr>
          <w:rFonts w:hint="eastAsia" w:ascii="仿宋_GB2312" w:hAnsi="仿宋_GB2312" w:eastAsia="仿宋_GB2312" w:cs="仿宋_GB2312"/>
          <w:sz w:val="28"/>
          <w:szCs w:val="28"/>
          <w:lang w:eastAsia="zh-CN"/>
        </w:rPr>
        <w:t>财政拨款</w:t>
      </w:r>
      <w:r>
        <w:rPr>
          <w:rFonts w:hint="eastAsia" w:ascii="仿宋_GB2312" w:hAnsi="仿宋_GB2312" w:eastAsia="仿宋_GB2312" w:cs="仿宋_GB2312"/>
          <w:sz w:val="28"/>
          <w:szCs w:val="28"/>
        </w:rPr>
        <w:t>收</w:t>
      </w:r>
      <w:r>
        <w:rPr>
          <w:rFonts w:hint="eastAsia" w:ascii="仿宋_GB2312" w:hAnsi="仿宋_GB2312" w:eastAsia="仿宋_GB2312" w:cs="仿宋_GB2312"/>
          <w:sz w:val="28"/>
          <w:szCs w:val="28"/>
          <w:lang w:eastAsia="zh-CN"/>
        </w:rPr>
        <w:t>入</w:t>
      </w:r>
      <w:r>
        <w:rPr>
          <w:rFonts w:hint="eastAsia" w:ascii="仿宋_GB2312" w:hAnsi="仿宋_GB2312" w:eastAsia="仿宋_GB2312" w:cs="仿宋_GB2312"/>
          <w:sz w:val="28"/>
          <w:szCs w:val="28"/>
        </w:rPr>
        <w:t>总计</w:t>
      </w:r>
      <w:r>
        <w:rPr>
          <w:rFonts w:hint="eastAsia" w:ascii="仿宋_GB2312" w:hAnsi="仿宋_GB2312" w:eastAsia="仿宋_GB2312" w:cs="仿宋_GB2312"/>
          <w:sz w:val="28"/>
          <w:szCs w:val="28"/>
          <w:lang w:val="en-US" w:eastAsia="zh-CN"/>
        </w:rPr>
        <w:t>40231.24</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，年初结转和结余</w:t>
      </w:r>
      <w:r>
        <w:rPr>
          <w:rFonts w:hint="eastAsia" w:ascii="仿宋_GB2312" w:hAnsi="仿宋_GB2312" w:eastAsia="仿宋_GB2312" w:cs="仿宋_GB2312"/>
          <w:sz w:val="28"/>
          <w:szCs w:val="28"/>
          <w:lang w:val="en-US" w:eastAsia="zh-CN"/>
        </w:rPr>
        <w:t>7772.08万元，财政拨款支出总计17880.07万元，年末结转和结余30123.26万元，</w:t>
      </w:r>
      <w:r>
        <w:rPr>
          <w:rFonts w:hint="eastAsia" w:ascii="仿宋_GB2312" w:hAnsi="仿宋_GB2312" w:eastAsia="仿宋_GB2312" w:cs="仿宋_GB2312"/>
          <w:sz w:val="28"/>
          <w:szCs w:val="28"/>
        </w:rPr>
        <w:t>与2017年相比，</w:t>
      </w:r>
      <w:r>
        <w:rPr>
          <w:rFonts w:hint="eastAsia" w:ascii="仿宋_GB2312" w:hAnsi="仿宋_GB2312" w:eastAsia="仿宋_GB2312" w:cs="仿宋_GB2312"/>
          <w:sz w:val="28"/>
          <w:szCs w:val="28"/>
          <w:lang w:eastAsia="zh-CN"/>
        </w:rPr>
        <w:t>财政拨款</w:t>
      </w:r>
      <w:r>
        <w:rPr>
          <w:rFonts w:hint="eastAsia" w:ascii="仿宋_GB2312" w:hAnsi="仿宋_GB2312" w:eastAsia="仿宋_GB2312" w:cs="仿宋_GB2312"/>
          <w:sz w:val="28"/>
          <w:szCs w:val="28"/>
        </w:rPr>
        <w:t>收</w:t>
      </w:r>
      <w:r>
        <w:rPr>
          <w:rFonts w:hint="eastAsia" w:ascii="仿宋_GB2312" w:hAnsi="仿宋_GB2312" w:eastAsia="仿宋_GB2312" w:cs="仿宋_GB2312"/>
          <w:sz w:val="28"/>
          <w:szCs w:val="28"/>
          <w:lang w:eastAsia="zh-CN"/>
        </w:rPr>
        <w:t>入</w:t>
      </w:r>
      <w:r>
        <w:rPr>
          <w:rFonts w:hint="eastAsia" w:ascii="仿宋_GB2312" w:hAnsi="仿宋_GB2312" w:eastAsia="仿宋_GB2312" w:cs="仿宋_GB2312"/>
          <w:sz w:val="28"/>
          <w:szCs w:val="28"/>
        </w:rPr>
        <w:t>增加</w:t>
      </w:r>
      <w:r>
        <w:rPr>
          <w:rFonts w:hint="eastAsia" w:ascii="仿宋_GB2312" w:hAnsi="仿宋_GB2312" w:eastAsia="仿宋_GB2312" w:cs="仿宋_GB2312"/>
          <w:sz w:val="28"/>
          <w:szCs w:val="28"/>
          <w:lang w:val="en-US" w:eastAsia="zh-CN"/>
        </w:rPr>
        <w:t>24612.25</w:t>
      </w:r>
      <w:r>
        <w:rPr>
          <w:rFonts w:hint="eastAsia" w:ascii="仿宋_GB2312" w:hAnsi="仿宋_GB2312" w:eastAsia="仿宋_GB2312" w:cs="仿宋_GB2312"/>
          <w:sz w:val="28"/>
          <w:szCs w:val="28"/>
        </w:rPr>
        <w:t>万元，增长</w:t>
      </w:r>
      <w:r>
        <w:rPr>
          <w:rFonts w:hint="eastAsia" w:ascii="仿宋_GB2312" w:hAnsi="仿宋_GB2312" w:eastAsia="仿宋_GB2312" w:cs="仿宋_GB2312"/>
          <w:sz w:val="28"/>
          <w:szCs w:val="28"/>
          <w:lang w:val="en-US" w:eastAsia="zh-CN"/>
        </w:rPr>
        <w:t>157.58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；财政拨款支出增加</w:t>
      </w:r>
      <w:r>
        <w:rPr>
          <w:rFonts w:hint="eastAsia" w:ascii="仿宋_GB2312" w:hAnsi="仿宋_GB2312" w:eastAsia="仿宋_GB2312" w:cs="仿宋_GB2312"/>
          <w:sz w:val="28"/>
          <w:szCs w:val="28"/>
          <w:lang w:val="en-US" w:eastAsia="zh-CN"/>
        </w:rPr>
        <w:t>4598.89万元，增长34.63%。</w:t>
      </w:r>
      <w:r>
        <w:rPr>
          <w:rFonts w:hint="eastAsia" w:ascii="仿宋_GB2312" w:hAnsi="仿宋_GB2312" w:eastAsia="仿宋_GB2312" w:cs="仿宋_GB2312"/>
          <w:sz w:val="28"/>
          <w:szCs w:val="28"/>
        </w:rPr>
        <w:t>主要变动原因是</w:t>
      </w:r>
      <w:r>
        <w:rPr>
          <w:rFonts w:hint="eastAsia" w:ascii="仿宋_GB2312" w:hAnsi="仿宋_GB2312" w:eastAsia="仿宋_GB2312" w:cs="仿宋_GB2312"/>
          <w:sz w:val="28"/>
          <w:szCs w:val="28"/>
          <w:lang w:val="en-US" w:eastAsia="zh-CN"/>
        </w:rPr>
        <w:t>2018年我单位建设项目增加，项目收支金额变大。</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840" w:firstLineChars="3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sz w:val="28"/>
          <w:szCs w:val="28"/>
        </w:rPr>
        <w:drawing>
          <wp:inline distT="0" distB="0" distL="114300" distR="114300">
            <wp:extent cx="4572635" cy="2573655"/>
            <wp:effectExtent l="4445" t="4445" r="13970" b="1270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1"/>
        <w:rPr>
          <w:rStyle w:val="25"/>
          <w:rFonts w:ascii="黑体" w:hAnsi="黑体" w:eastAsia="黑体"/>
          <w:b w:val="0"/>
          <w:sz w:val="32"/>
          <w:szCs w:val="32"/>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sz w:val="32"/>
          <w:szCs w:val="32"/>
        </w:rPr>
        <w:t>般公共预算财政拨款支出决算情况说明</w:t>
      </w:r>
      <w:bookmarkEnd w:id="32"/>
      <w:bookmarkEnd w:id="33"/>
    </w:p>
    <w:p>
      <w:pPr>
        <w:keepNext w:val="0"/>
        <w:keepLines w:val="0"/>
        <w:pageBreakBefore w:val="0"/>
        <w:widowControl w:val="0"/>
        <w:kinsoku/>
        <w:wordWrap/>
        <w:overflowPunct/>
        <w:topLinePunct w:val="0"/>
        <w:autoSpaceDE/>
        <w:autoSpaceDN/>
        <w:bidi w:val="0"/>
        <w:adjustRightInd/>
        <w:snapToGrid/>
        <w:spacing w:line="240" w:lineRule="auto"/>
        <w:ind w:right="0" w:rightChars="0" w:firstLine="602" w:firstLineChars="200"/>
        <w:textAlignment w:val="auto"/>
        <w:outlineLvl w:val="2"/>
        <w:rPr>
          <w:rFonts w:ascii="仿宋" w:hAnsi="仿宋" w:eastAsia="仿宋"/>
          <w:b/>
          <w:color w:val="000000"/>
          <w:sz w:val="30"/>
          <w:szCs w:val="30"/>
        </w:rPr>
      </w:pPr>
      <w:bookmarkStart w:id="34" w:name="_Toc15377210"/>
      <w:r>
        <w:rPr>
          <w:rFonts w:hint="eastAsia" w:ascii="仿宋" w:hAnsi="仿宋" w:eastAsia="仿宋"/>
          <w:b/>
          <w:color w:val="000000"/>
          <w:sz w:val="30"/>
          <w:szCs w:val="30"/>
        </w:rPr>
        <w:t>（一）一般公共预算财政拨款支出决算总体情况</w:t>
      </w:r>
      <w:bookmarkEnd w:id="34"/>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2018年一般公共预算财政拨款支出</w:t>
      </w:r>
      <w:r>
        <w:rPr>
          <w:rFonts w:hint="eastAsia" w:ascii="仿宋_GB2312" w:hAnsi="仿宋_GB2312" w:eastAsia="仿宋_GB2312" w:cs="仿宋_GB2312"/>
          <w:sz w:val="28"/>
          <w:szCs w:val="28"/>
          <w:lang w:val="en-US" w:eastAsia="zh-CN"/>
        </w:rPr>
        <w:t>6084.18</w:t>
      </w:r>
      <w:r>
        <w:rPr>
          <w:rFonts w:hint="eastAsia" w:ascii="仿宋_GB2312" w:hAnsi="仿宋_GB2312" w:eastAsia="仿宋_GB2312" w:cs="仿宋_GB2312"/>
          <w:sz w:val="28"/>
          <w:szCs w:val="28"/>
        </w:rPr>
        <w:t>万元，占本年支出合计的</w:t>
      </w:r>
      <w:r>
        <w:rPr>
          <w:rFonts w:hint="eastAsia" w:ascii="仿宋_GB2312" w:hAnsi="仿宋_GB2312" w:eastAsia="仿宋_GB2312" w:cs="仿宋_GB2312"/>
          <w:sz w:val="28"/>
          <w:szCs w:val="28"/>
          <w:lang w:val="en-US" w:eastAsia="zh-CN"/>
        </w:rPr>
        <w:t>34.03</w:t>
      </w:r>
      <w:r>
        <w:rPr>
          <w:rFonts w:hint="eastAsia" w:ascii="仿宋_GB2312" w:hAnsi="仿宋_GB2312" w:eastAsia="仿宋_GB2312" w:cs="仿宋_GB2312"/>
          <w:sz w:val="28"/>
          <w:szCs w:val="28"/>
        </w:rPr>
        <w:t>%。与2017年相比，一般公共预算财政拨款减少</w:t>
      </w:r>
      <w:r>
        <w:rPr>
          <w:rFonts w:hint="eastAsia" w:ascii="仿宋_GB2312" w:hAnsi="仿宋_GB2312" w:eastAsia="仿宋_GB2312" w:cs="仿宋_GB2312"/>
          <w:sz w:val="28"/>
          <w:szCs w:val="28"/>
          <w:lang w:val="en-US" w:eastAsia="zh-CN"/>
        </w:rPr>
        <w:t>3763.91</w:t>
      </w:r>
      <w:r>
        <w:rPr>
          <w:rFonts w:hint="eastAsia" w:ascii="仿宋_GB2312" w:hAnsi="仿宋_GB2312" w:eastAsia="仿宋_GB2312" w:cs="仿宋_GB2312"/>
          <w:sz w:val="28"/>
          <w:szCs w:val="28"/>
        </w:rPr>
        <w:t>万元，下降</w:t>
      </w:r>
      <w:r>
        <w:rPr>
          <w:rFonts w:hint="eastAsia" w:ascii="仿宋_GB2312" w:hAnsi="仿宋_GB2312" w:eastAsia="仿宋_GB2312" w:cs="仿宋_GB2312"/>
          <w:sz w:val="28"/>
          <w:szCs w:val="28"/>
          <w:lang w:val="en-US" w:eastAsia="zh-CN"/>
        </w:rPr>
        <w:t>38.22</w:t>
      </w:r>
      <w:r>
        <w:rPr>
          <w:rFonts w:hint="eastAsia" w:ascii="仿宋_GB2312" w:hAnsi="仿宋_GB2312" w:eastAsia="仿宋_GB2312" w:cs="仿宋_GB2312"/>
          <w:sz w:val="28"/>
          <w:szCs w:val="28"/>
        </w:rPr>
        <w:t>%。主要变动原因是</w:t>
      </w:r>
      <w:r>
        <w:rPr>
          <w:rFonts w:hint="eastAsia" w:ascii="仿宋_GB2312" w:hAnsi="仿宋_GB2312" w:eastAsia="仿宋_GB2312" w:cs="仿宋_GB2312"/>
          <w:sz w:val="28"/>
          <w:szCs w:val="28"/>
          <w:lang w:val="en-US" w:eastAsia="zh-CN"/>
        </w:rPr>
        <w:t>2018年一般公共预算财政拨款支出中项目支出减少。</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default" w:ascii="仿宋_GB2312" w:hAnsi="仿宋_GB2312" w:eastAsia="仿宋_GB2312" w:cs="仿宋_GB2312"/>
          <w:sz w:val="28"/>
          <w:szCs w:val="28"/>
          <w:lang w:val="en-US" w:eastAsia="zh-CN"/>
        </w:rPr>
      </w:pPr>
      <w:r>
        <w:rPr>
          <w:sz w:val="28"/>
          <w:szCs w:val="28"/>
        </w:rPr>
        <w:drawing>
          <wp:inline distT="0" distB="0" distL="114300" distR="114300">
            <wp:extent cx="4574540" cy="3101340"/>
            <wp:effectExtent l="4445" t="4445" r="12065" b="1841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kinsoku/>
        <w:wordWrap/>
        <w:overflowPunct/>
        <w:topLinePunct w:val="0"/>
        <w:bidi w:val="0"/>
        <w:snapToGrid/>
        <w:spacing w:line="578" w:lineRule="exact"/>
        <w:ind w:right="0" w:rightChars="0" w:firstLine="602" w:firstLineChars="200"/>
        <w:textAlignment w:val="auto"/>
        <w:outlineLvl w:val="2"/>
        <w:rPr>
          <w:rFonts w:ascii="仿宋" w:hAnsi="仿宋" w:eastAsia="仿宋"/>
          <w:b/>
          <w:color w:val="000000"/>
          <w:sz w:val="30"/>
          <w:szCs w:val="30"/>
        </w:rPr>
      </w:pPr>
      <w:bookmarkStart w:id="35" w:name="_Toc15377211"/>
      <w:r>
        <w:rPr>
          <w:rFonts w:hint="eastAsia" w:ascii="仿宋" w:hAnsi="仿宋" w:eastAsia="仿宋"/>
          <w:b/>
          <w:color w:val="000000"/>
          <w:sz w:val="30"/>
          <w:szCs w:val="30"/>
        </w:rPr>
        <w:t>（二）一般公共预算财政拨款支出决算结构情况</w:t>
      </w:r>
      <w:bookmarkEnd w:id="35"/>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2018年一般公共预算财政拨款支出</w:t>
      </w:r>
      <w:r>
        <w:rPr>
          <w:rFonts w:hint="eastAsia" w:ascii="仿宋_GB2312" w:hAnsi="仿宋_GB2312" w:eastAsia="仿宋_GB2312" w:cs="仿宋_GB2312"/>
          <w:sz w:val="28"/>
          <w:szCs w:val="28"/>
          <w:lang w:val="en-US" w:eastAsia="zh-CN"/>
        </w:rPr>
        <w:t>6084.18</w:t>
      </w:r>
      <w:r>
        <w:rPr>
          <w:rFonts w:hint="eastAsia" w:ascii="仿宋_GB2312" w:hAnsi="仿宋_GB2312" w:eastAsia="仿宋_GB2312" w:cs="仿宋_GB2312"/>
          <w:sz w:val="28"/>
          <w:szCs w:val="28"/>
        </w:rPr>
        <w:t>万元，主要用于以下方面:社会保障和就业（</w:t>
      </w:r>
      <w:r>
        <w:rPr>
          <w:rFonts w:hint="eastAsia" w:ascii="仿宋_GB2312" w:hAnsi="仿宋_GB2312" w:eastAsia="仿宋_GB2312" w:cs="仿宋_GB2312"/>
          <w:sz w:val="28"/>
          <w:szCs w:val="28"/>
          <w:lang w:val="en-US" w:eastAsia="zh-CN"/>
        </w:rPr>
        <w:t>208</w:t>
      </w:r>
      <w:r>
        <w:rPr>
          <w:rFonts w:hint="eastAsia" w:ascii="仿宋_GB2312" w:hAnsi="仿宋_GB2312" w:eastAsia="仿宋_GB2312" w:cs="仿宋_GB2312"/>
          <w:sz w:val="28"/>
          <w:szCs w:val="28"/>
        </w:rPr>
        <w:t>）支出</w:t>
      </w:r>
      <w:r>
        <w:rPr>
          <w:rFonts w:hint="eastAsia" w:ascii="仿宋_GB2312" w:hAnsi="仿宋_GB2312" w:eastAsia="仿宋_GB2312" w:cs="仿宋_GB2312"/>
          <w:sz w:val="28"/>
          <w:szCs w:val="28"/>
          <w:lang w:val="en-US" w:eastAsia="zh-CN"/>
        </w:rPr>
        <w:t>43.41</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0.71</w:t>
      </w:r>
      <w:r>
        <w:rPr>
          <w:rFonts w:hint="eastAsia" w:ascii="仿宋_GB2312" w:hAnsi="仿宋_GB2312" w:eastAsia="仿宋_GB2312" w:cs="仿宋_GB2312"/>
          <w:sz w:val="28"/>
          <w:szCs w:val="28"/>
        </w:rPr>
        <w:t>%；住房保障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221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支出</w:t>
      </w:r>
      <w:r>
        <w:rPr>
          <w:rFonts w:hint="eastAsia" w:ascii="仿宋_GB2312" w:hAnsi="仿宋_GB2312" w:eastAsia="仿宋_GB2312" w:cs="仿宋_GB2312"/>
          <w:sz w:val="28"/>
          <w:szCs w:val="28"/>
          <w:lang w:val="en-US" w:eastAsia="zh-CN"/>
        </w:rPr>
        <w:t>5515.54</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90.65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城乡社区（</w:t>
      </w:r>
      <w:r>
        <w:rPr>
          <w:rFonts w:hint="eastAsia" w:ascii="仿宋_GB2312" w:hAnsi="仿宋_GB2312" w:eastAsia="仿宋_GB2312" w:cs="仿宋_GB2312"/>
          <w:sz w:val="28"/>
          <w:szCs w:val="28"/>
          <w:lang w:val="en-US" w:eastAsia="zh-CN"/>
        </w:rPr>
        <w:t>212</w:t>
      </w:r>
      <w:r>
        <w:rPr>
          <w:rFonts w:hint="eastAsia" w:ascii="仿宋_GB2312" w:hAnsi="仿宋_GB2312" w:eastAsia="仿宋_GB2312" w:cs="仿宋_GB2312"/>
          <w:sz w:val="28"/>
          <w:szCs w:val="28"/>
          <w:lang w:eastAsia="zh-CN"/>
        </w:rPr>
        <w:t>）支出</w:t>
      </w:r>
      <w:r>
        <w:rPr>
          <w:rFonts w:hint="eastAsia" w:ascii="仿宋_GB2312" w:hAnsi="仿宋_GB2312" w:eastAsia="仿宋_GB2312" w:cs="仿宋_GB2312"/>
          <w:sz w:val="28"/>
          <w:szCs w:val="28"/>
          <w:lang w:val="en-US" w:eastAsia="zh-CN"/>
        </w:rPr>
        <w:t>525.23万元，占8.63%</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sz w:val="28"/>
          <w:szCs w:val="28"/>
        </w:rPr>
        <w:drawing>
          <wp:inline distT="0" distB="0" distL="114300" distR="114300">
            <wp:extent cx="4509770" cy="3082290"/>
            <wp:effectExtent l="4445" t="4445" r="19685" b="1841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kinsoku/>
        <w:wordWrap/>
        <w:overflowPunct/>
        <w:topLinePunct w:val="0"/>
        <w:bidi w:val="0"/>
        <w:snapToGrid/>
        <w:spacing w:line="578" w:lineRule="exact"/>
        <w:ind w:right="0" w:rightChars="0" w:firstLine="562" w:firstLineChars="200"/>
        <w:textAlignment w:val="auto"/>
        <w:outlineLvl w:val="2"/>
        <w:rPr>
          <w:rFonts w:ascii="仿宋" w:hAnsi="仿宋" w:eastAsia="仿宋"/>
          <w:b/>
          <w:color w:val="000000"/>
          <w:sz w:val="28"/>
          <w:szCs w:val="28"/>
        </w:rPr>
      </w:pPr>
      <w:bookmarkStart w:id="36" w:name="_Toc15377212"/>
      <w:r>
        <w:rPr>
          <w:rFonts w:hint="eastAsia" w:ascii="仿宋" w:hAnsi="仿宋" w:eastAsia="仿宋"/>
          <w:b/>
          <w:color w:val="000000"/>
          <w:sz w:val="28"/>
          <w:szCs w:val="28"/>
        </w:rPr>
        <w:t>（三）</w:t>
      </w:r>
      <w:r>
        <w:rPr>
          <w:rFonts w:hint="eastAsia" w:ascii="仿宋" w:hAnsi="仿宋" w:eastAsia="仿宋"/>
          <w:b/>
          <w:color w:val="000000"/>
          <w:sz w:val="30"/>
          <w:szCs w:val="30"/>
        </w:rPr>
        <w:t>一般公共预算财政拨款支出决算具体情况</w:t>
      </w:r>
      <w:bookmarkEnd w:id="36"/>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bookmarkStart w:id="37" w:name="_Toc15377213"/>
      <w:bookmarkStart w:id="38" w:name="_Toc15377444"/>
      <w:bookmarkStart w:id="39" w:name="_Toc15378460"/>
      <w:r>
        <w:rPr>
          <w:rFonts w:hint="eastAsia" w:ascii="仿宋_GB2312" w:hAnsi="仿宋_GB2312" w:eastAsia="仿宋_GB2312" w:cs="仿宋_GB2312"/>
          <w:sz w:val="28"/>
          <w:szCs w:val="28"/>
        </w:rPr>
        <w:t>2018年</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般公共预算支出决算数为</w:t>
      </w:r>
      <w:r>
        <w:rPr>
          <w:rFonts w:hint="eastAsia" w:ascii="仿宋_GB2312" w:hAnsi="仿宋_GB2312" w:eastAsia="仿宋_GB2312" w:cs="仿宋_GB2312"/>
          <w:sz w:val="28"/>
          <w:szCs w:val="28"/>
          <w:lang w:val="en-US" w:eastAsia="zh-CN"/>
        </w:rPr>
        <w:t>6084.18万元</w:t>
      </w:r>
      <w:r>
        <w:rPr>
          <w:rFonts w:hint="eastAsia" w:ascii="仿宋_GB2312" w:hAnsi="仿宋_GB2312" w:eastAsia="仿宋_GB2312" w:cs="仿宋_GB2312"/>
          <w:sz w:val="28"/>
          <w:szCs w:val="28"/>
        </w:rPr>
        <w:t>，完成预算</w:t>
      </w:r>
      <w:r>
        <w:rPr>
          <w:rFonts w:hint="eastAsia" w:ascii="仿宋_GB2312" w:hAnsi="仿宋_GB2312" w:eastAsia="仿宋_GB2312" w:cs="仿宋_GB2312"/>
          <w:sz w:val="28"/>
          <w:szCs w:val="28"/>
          <w:lang w:val="en-US" w:eastAsia="zh-CN"/>
        </w:rPr>
        <w:t xml:space="preserve">959.06 </w:t>
      </w:r>
      <w:r>
        <w:rPr>
          <w:rFonts w:hint="eastAsia" w:ascii="仿宋_GB2312" w:hAnsi="仿宋_GB2312" w:eastAsia="仿宋_GB2312" w:cs="仿宋_GB2312"/>
          <w:sz w:val="28"/>
          <w:szCs w:val="28"/>
        </w:rPr>
        <w:t>%。其中：</w:t>
      </w:r>
      <w:bookmarkEnd w:id="37"/>
      <w:bookmarkEnd w:id="38"/>
      <w:bookmarkEnd w:id="39"/>
    </w:p>
    <w:p>
      <w:pPr>
        <w:keepNext w:val="0"/>
        <w:keepLines w:val="0"/>
        <w:pageBreakBefore w:val="0"/>
        <w:numPr>
          <w:ilvl w:val="0"/>
          <w:numId w:val="1"/>
        </w:numPr>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社会保障和就业（</w:t>
      </w:r>
      <w:r>
        <w:rPr>
          <w:rFonts w:hint="eastAsia" w:ascii="仿宋_GB2312" w:hAnsi="仿宋_GB2312" w:eastAsia="仿宋_GB2312" w:cs="仿宋_GB2312"/>
          <w:sz w:val="28"/>
          <w:szCs w:val="28"/>
          <w:lang w:val="en-US" w:eastAsia="zh-CN"/>
        </w:rPr>
        <w:t>208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行政事业单位离退休</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事业单位离退休</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02</w:t>
      </w:r>
      <w:r>
        <w:rPr>
          <w:rFonts w:hint="eastAsia" w:ascii="仿宋_GB2312" w:hAnsi="仿宋_GB2312" w:eastAsia="仿宋_GB2312" w:cs="仿宋_GB2312"/>
          <w:sz w:val="28"/>
          <w:szCs w:val="28"/>
        </w:rPr>
        <w:t>）: 支出决算为</w:t>
      </w:r>
      <w:r>
        <w:rPr>
          <w:rFonts w:hint="eastAsia" w:ascii="仿宋_GB2312" w:hAnsi="仿宋_GB2312" w:eastAsia="仿宋_GB2312" w:cs="仿宋_GB2312"/>
          <w:sz w:val="28"/>
          <w:szCs w:val="28"/>
          <w:lang w:val="en-US" w:eastAsia="zh-CN"/>
        </w:rPr>
        <w:t>0.13</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年初</w:t>
      </w:r>
      <w:r>
        <w:rPr>
          <w:rFonts w:hint="eastAsia" w:ascii="仿宋_GB2312" w:hAnsi="仿宋_GB2312" w:eastAsia="仿宋_GB2312" w:cs="仿宋_GB2312"/>
          <w:sz w:val="28"/>
          <w:szCs w:val="28"/>
        </w:rPr>
        <w:t>预算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万元</w:t>
      </w:r>
      <w:r>
        <w:rPr>
          <w:rFonts w:hint="eastAsia" w:ascii="仿宋_GB2312" w:hAnsi="仿宋_GB2312" w:eastAsia="仿宋_GB2312" w:cs="仿宋_GB2312"/>
          <w:sz w:val="28"/>
          <w:szCs w:val="28"/>
        </w:rPr>
        <w:t>，决算数</w:t>
      </w:r>
      <w:r>
        <w:rPr>
          <w:rFonts w:hint="eastAsia" w:ascii="仿宋_GB2312" w:hAnsi="仿宋_GB2312" w:eastAsia="仿宋_GB2312" w:cs="仿宋_GB2312"/>
          <w:sz w:val="28"/>
          <w:szCs w:val="28"/>
          <w:lang w:eastAsia="zh-CN"/>
        </w:rPr>
        <w:t>与</w:t>
      </w:r>
      <w:r>
        <w:rPr>
          <w:rFonts w:hint="eastAsia" w:ascii="仿宋_GB2312" w:hAnsi="仿宋_GB2312" w:eastAsia="仿宋_GB2312" w:cs="仿宋_GB2312"/>
          <w:sz w:val="28"/>
          <w:szCs w:val="28"/>
        </w:rPr>
        <w:t>预算数</w:t>
      </w:r>
      <w:r>
        <w:rPr>
          <w:rFonts w:hint="eastAsia" w:ascii="仿宋_GB2312" w:hAnsi="仿宋_GB2312" w:eastAsia="仿宋_GB2312" w:cs="仿宋_GB2312"/>
          <w:sz w:val="28"/>
          <w:szCs w:val="28"/>
          <w:lang w:eastAsia="zh-CN"/>
        </w:rPr>
        <w:t>差异</w:t>
      </w:r>
      <w:r>
        <w:rPr>
          <w:rFonts w:hint="eastAsia" w:ascii="仿宋_GB2312" w:hAnsi="仿宋_GB2312" w:eastAsia="仿宋_GB2312" w:cs="仿宋_GB2312"/>
          <w:sz w:val="28"/>
          <w:szCs w:val="28"/>
        </w:rPr>
        <w:t>的主要原因是</w:t>
      </w:r>
      <w:r>
        <w:rPr>
          <w:rFonts w:hint="eastAsia" w:ascii="仿宋_GB2312" w:hAnsi="仿宋_GB2312" w:eastAsia="仿宋_GB2312" w:cs="仿宋_GB2312"/>
          <w:sz w:val="28"/>
          <w:szCs w:val="28"/>
          <w:lang w:val="en-US" w:eastAsia="zh-CN"/>
        </w:rPr>
        <w:t>2018年支出经济科目存在差异。</w:t>
      </w:r>
    </w:p>
    <w:p>
      <w:pPr>
        <w:keepNext w:val="0"/>
        <w:keepLines w:val="0"/>
        <w:pageBreakBefore w:val="0"/>
        <w:numPr>
          <w:ilvl w:val="0"/>
          <w:numId w:val="1"/>
        </w:numPr>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社会保障和就业（</w:t>
      </w:r>
      <w:r>
        <w:rPr>
          <w:rFonts w:hint="eastAsia" w:ascii="仿宋_GB2312" w:hAnsi="仿宋_GB2312" w:eastAsia="仿宋_GB2312" w:cs="仿宋_GB2312"/>
          <w:sz w:val="28"/>
          <w:szCs w:val="28"/>
          <w:lang w:val="en-US" w:eastAsia="zh-CN"/>
        </w:rPr>
        <w:t>208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行政事业单位离退休</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机关事业单位基本养老保险缴费支出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05</w:t>
      </w:r>
      <w:r>
        <w:rPr>
          <w:rFonts w:hint="eastAsia" w:ascii="仿宋_GB2312" w:hAnsi="仿宋_GB2312" w:eastAsia="仿宋_GB2312" w:cs="仿宋_GB2312"/>
          <w:sz w:val="28"/>
          <w:szCs w:val="28"/>
        </w:rPr>
        <w:t>）: 支出决算为</w:t>
      </w:r>
      <w:r>
        <w:rPr>
          <w:rFonts w:hint="eastAsia" w:ascii="仿宋_GB2312" w:hAnsi="仿宋_GB2312" w:eastAsia="仿宋_GB2312" w:cs="仿宋_GB2312"/>
          <w:sz w:val="28"/>
          <w:szCs w:val="28"/>
          <w:lang w:val="en-US" w:eastAsia="zh-CN"/>
        </w:rPr>
        <w:t>43.28</w:t>
      </w:r>
      <w:r>
        <w:rPr>
          <w:rFonts w:hint="eastAsia" w:ascii="仿宋_GB2312" w:hAnsi="仿宋_GB2312" w:eastAsia="仿宋_GB2312" w:cs="仿宋_GB2312"/>
          <w:sz w:val="28"/>
          <w:szCs w:val="28"/>
        </w:rPr>
        <w:t>万元，完成预算</w:t>
      </w:r>
      <w:r>
        <w:rPr>
          <w:rFonts w:hint="eastAsia" w:ascii="仿宋_GB2312" w:hAnsi="仿宋_GB2312" w:eastAsia="仿宋_GB2312" w:cs="仿宋_GB2312"/>
          <w:sz w:val="28"/>
          <w:szCs w:val="28"/>
          <w:lang w:val="en-US" w:eastAsia="zh-CN"/>
        </w:rPr>
        <w:t>99.29</w:t>
      </w:r>
      <w:r>
        <w:rPr>
          <w:rFonts w:hint="eastAsia" w:ascii="仿宋_GB2312" w:hAnsi="仿宋_GB2312" w:eastAsia="仿宋_GB2312" w:cs="仿宋_GB2312"/>
          <w:sz w:val="28"/>
          <w:szCs w:val="28"/>
        </w:rPr>
        <w:t>%，决算数</w:t>
      </w:r>
      <w:r>
        <w:rPr>
          <w:rFonts w:hint="eastAsia" w:ascii="仿宋_GB2312" w:hAnsi="仿宋_GB2312" w:eastAsia="仿宋_GB2312" w:cs="仿宋_GB2312"/>
          <w:sz w:val="28"/>
          <w:szCs w:val="28"/>
          <w:lang w:eastAsia="zh-CN"/>
        </w:rPr>
        <w:t>与</w:t>
      </w:r>
      <w:r>
        <w:rPr>
          <w:rFonts w:hint="eastAsia" w:ascii="仿宋_GB2312" w:hAnsi="仿宋_GB2312" w:eastAsia="仿宋_GB2312" w:cs="仿宋_GB2312"/>
          <w:sz w:val="28"/>
          <w:szCs w:val="28"/>
        </w:rPr>
        <w:t>预算数</w:t>
      </w:r>
      <w:r>
        <w:rPr>
          <w:rFonts w:hint="eastAsia" w:ascii="仿宋_GB2312" w:hAnsi="仿宋_GB2312" w:eastAsia="仿宋_GB2312" w:cs="仿宋_GB2312"/>
          <w:sz w:val="28"/>
          <w:szCs w:val="28"/>
          <w:lang w:eastAsia="zh-CN"/>
        </w:rPr>
        <w:t>基本持平。</w:t>
      </w:r>
    </w:p>
    <w:p>
      <w:pPr>
        <w:keepNext w:val="0"/>
        <w:keepLines w:val="0"/>
        <w:pageBreakBefore w:val="0"/>
        <w:numPr>
          <w:ilvl w:val="0"/>
          <w:numId w:val="1"/>
        </w:numPr>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城乡社区支出（</w:t>
      </w:r>
      <w:r>
        <w:rPr>
          <w:rFonts w:hint="eastAsia" w:ascii="仿宋_GB2312" w:hAnsi="仿宋_GB2312" w:eastAsia="仿宋_GB2312" w:cs="仿宋_GB2312"/>
          <w:sz w:val="28"/>
          <w:szCs w:val="28"/>
          <w:lang w:val="en-US" w:eastAsia="zh-CN"/>
        </w:rPr>
        <w:t>212</w:t>
      </w:r>
      <w:r>
        <w:rPr>
          <w:rFonts w:hint="eastAsia" w:ascii="仿宋_GB2312" w:hAnsi="仿宋_GB2312" w:eastAsia="仿宋_GB2312" w:cs="仿宋_GB2312"/>
          <w:sz w:val="28"/>
          <w:szCs w:val="28"/>
          <w:lang w:eastAsia="zh-CN"/>
        </w:rPr>
        <w:t>）城乡社区管理事务（</w:t>
      </w:r>
      <w:r>
        <w:rPr>
          <w:rFonts w:hint="eastAsia" w:ascii="仿宋_GB2312" w:hAnsi="仿宋_GB2312" w:eastAsia="仿宋_GB2312" w:cs="仿宋_GB2312"/>
          <w:sz w:val="28"/>
          <w:szCs w:val="28"/>
          <w:lang w:val="en-US" w:eastAsia="zh-CN"/>
        </w:rPr>
        <w:t>01</w:t>
      </w:r>
      <w:r>
        <w:rPr>
          <w:rFonts w:hint="eastAsia" w:ascii="仿宋_GB2312" w:hAnsi="仿宋_GB2312" w:eastAsia="仿宋_GB2312" w:cs="仿宋_GB2312"/>
          <w:sz w:val="28"/>
          <w:szCs w:val="28"/>
          <w:lang w:eastAsia="zh-CN"/>
        </w:rPr>
        <w:t>）工程建设管理（</w:t>
      </w:r>
      <w:r>
        <w:rPr>
          <w:rFonts w:hint="eastAsia" w:ascii="仿宋_GB2312" w:hAnsi="仿宋_GB2312" w:eastAsia="仿宋_GB2312" w:cs="仿宋_GB2312"/>
          <w:sz w:val="28"/>
          <w:szCs w:val="28"/>
          <w:lang w:val="en-US" w:eastAsia="zh-CN"/>
        </w:rPr>
        <w:t>06</w:t>
      </w:r>
      <w:r>
        <w:rPr>
          <w:rFonts w:hint="eastAsia" w:ascii="仿宋_GB2312" w:hAnsi="仿宋_GB2312" w:eastAsia="仿宋_GB2312" w:cs="仿宋_GB2312"/>
          <w:sz w:val="28"/>
          <w:szCs w:val="28"/>
          <w:lang w:eastAsia="zh-CN"/>
        </w:rPr>
        <w:t>）：支出决算为</w:t>
      </w:r>
      <w:r>
        <w:rPr>
          <w:rFonts w:hint="eastAsia" w:ascii="仿宋_GB2312" w:hAnsi="仿宋_GB2312" w:eastAsia="仿宋_GB2312" w:cs="仿宋_GB2312"/>
          <w:sz w:val="28"/>
          <w:szCs w:val="28"/>
          <w:lang w:val="en-US" w:eastAsia="zh-CN"/>
        </w:rPr>
        <w:t>345.23万元，</w:t>
      </w:r>
      <w:r>
        <w:rPr>
          <w:rFonts w:hint="eastAsia" w:ascii="仿宋_GB2312" w:hAnsi="仿宋_GB2312" w:eastAsia="仿宋_GB2312" w:cs="仿宋_GB2312"/>
          <w:sz w:val="28"/>
          <w:szCs w:val="28"/>
        </w:rPr>
        <w:t>完成预算</w:t>
      </w:r>
      <w:r>
        <w:rPr>
          <w:rFonts w:hint="eastAsia" w:ascii="仿宋_GB2312" w:hAnsi="仿宋_GB2312" w:eastAsia="仿宋_GB2312" w:cs="仿宋_GB2312"/>
          <w:sz w:val="28"/>
          <w:szCs w:val="28"/>
          <w:lang w:val="en-US" w:eastAsia="zh-CN"/>
        </w:rPr>
        <w:t>62.17</w:t>
      </w:r>
      <w:r>
        <w:rPr>
          <w:rFonts w:hint="eastAsia" w:ascii="仿宋_GB2312" w:hAnsi="仿宋_GB2312" w:eastAsia="仿宋_GB2312" w:cs="仿宋_GB2312"/>
          <w:sz w:val="28"/>
          <w:szCs w:val="28"/>
        </w:rPr>
        <w:t>%，决算数小于预算数的主要原因是</w:t>
      </w:r>
      <w:r>
        <w:rPr>
          <w:rFonts w:hint="eastAsia" w:ascii="仿宋_GB2312" w:hAnsi="仿宋_GB2312" w:eastAsia="仿宋_GB2312" w:cs="仿宋_GB2312"/>
          <w:sz w:val="28"/>
          <w:szCs w:val="28"/>
          <w:lang w:eastAsia="zh-CN"/>
        </w:rPr>
        <w:t>支出经济科目的差异</w:t>
      </w:r>
      <w:r>
        <w:rPr>
          <w:rFonts w:hint="eastAsia" w:ascii="仿宋_GB2312" w:hAnsi="仿宋_GB2312" w:eastAsia="仿宋_GB2312" w:cs="仿宋_GB2312"/>
          <w:sz w:val="28"/>
          <w:szCs w:val="28"/>
        </w:rPr>
        <w:t>。</w:t>
      </w:r>
    </w:p>
    <w:p>
      <w:pPr>
        <w:keepNext w:val="0"/>
        <w:keepLines w:val="0"/>
        <w:pageBreakBefore w:val="0"/>
        <w:numPr>
          <w:ilvl w:val="0"/>
          <w:numId w:val="1"/>
        </w:numPr>
        <w:kinsoku/>
        <w:wordWrap/>
        <w:overflowPunct/>
        <w:topLinePunct w:val="0"/>
        <w:bidi w:val="0"/>
        <w:snapToGrid/>
        <w:spacing w:line="578" w:lineRule="exact"/>
        <w:ind w:left="0" w:leftChars="0" w:right="0"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城乡社区支出（</w:t>
      </w:r>
      <w:r>
        <w:rPr>
          <w:rFonts w:hint="eastAsia" w:ascii="仿宋_GB2312" w:hAnsi="仿宋_GB2312" w:eastAsia="仿宋_GB2312" w:cs="仿宋_GB2312"/>
          <w:sz w:val="28"/>
          <w:szCs w:val="28"/>
          <w:lang w:val="en-US" w:eastAsia="zh-CN"/>
        </w:rPr>
        <w:t>212</w:t>
      </w:r>
      <w:r>
        <w:rPr>
          <w:rFonts w:hint="eastAsia" w:ascii="仿宋_GB2312" w:hAnsi="仿宋_GB2312" w:eastAsia="仿宋_GB2312" w:cs="仿宋_GB2312"/>
          <w:sz w:val="28"/>
          <w:szCs w:val="28"/>
          <w:lang w:eastAsia="zh-CN"/>
        </w:rPr>
        <w:t>）城乡社区公共设施（</w:t>
      </w:r>
      <w:r>
        <w:rPr>
          <w:rFonts w:hint="eastAsia" w:ascii="仿宋_GB2312" w:hAnsi="仿宋_GB2312" w:eastAsia="仿宋_GB2312" w:cs="仿宋_GB2312"/>
          <w:sz w:val="28"/>
          <w:szCs w:val="28"/>
          <w:lang w:val="en-US" w:eastAsia="zh-CN"/>
        </w:rPr>
        <w:t>03</w:t>
      </w:r>
      <w:r>
        <w:rPr>
          <w:rFonts w:hint="eastAsia" w:ascii="仿宋_GB2312" w:hAnsi="仿宋_GB2312" w:eastAsia="仿宋_GB2312" w:cs="仿宋_GB2312"/>
          <w:sz w:val="28"/>
          <w:szCs w:val="28"/>
          <w:lang w:eastAsia="zh-CN"/>
        </w:rPr>
        <w:t>）小城镇基础设施建设（</w:t>
      </w:r>
      <w:r>
        <w:rPr>
          <w:rFonts w:hint="eastAsia" w:ascii="仿宋_GB2312" w:hAnsi="仿宋_GB2312" w:eastAsia="仿宋_GB2312" w:cs="仿宋_GB2312"/>
          <w:sz w:val="28"/>
          <w:szCs w:val="28"/>
          <w:lang w:val="en-US" w:eastAsia="zh-CN"/>
        </w:rPr>
        <w:t>03</w:t>
      </w:r>
      <w:r>
        <w:rPr>
          <w:rFonts w:hint="eastAsia" w:ascii="仿宋_GB2312" w:hAnsi="仿宋_GB2312" w:eastAsia="仿宋_GB2312" w:cs="仿宋_GB2312"/>
          <w:sz w:val="28"/>
          <w:szCs w:val="28"/>
          <w:lang w:eastAsia="zh-CN"/>
        </w:rPr>
        <w:t>）：支出决算为</w:t>
      </w:r>
      <w:r>
        <w:rPr>
          <w:rFonts w:hint="eastAsia" w:ascii="仿宋_GB2312" w:hAnsi="仿宋_GB2312" w:eastAsia="仿宋_GB2312" w:cs="仿宋_GB2312"/>
          <w:sz w:val="28"/>
          <w:szCs w:val="28"/>
          <w:lang w:val="en-US" w:eastAsia="zh-CN"/>
        </w:rPr>
        <w:t>180万元，</w:t>
      </w:r>
      <w:r>
        <w:rPr>
          <w:rFonts w:hint="eastAsia" w:ascii="仿宋_GB2312" w:hAnsi="仿宋_GB2312" w:eastAsia="仿宋_GB2312" w:cs="仿宋_GB2312"/>
          <w:sz w:val="28"/>
          <w:szCs w:val="28"/>
          <w:lang w:eastAsia="zh-CN"/>
        </w:rPr>
        <w:t>年初</w:t>
      </w:r>
      <w:r>
        <w:rPr>
          <w:rFonts w:hint="eastAsia" w:ascii="仿宋_GB2312" w:hAnsi="仿宋_GB2312" w:eastAsia="仿宋_GB2312" w:cs="仿宋_GB2312"/>
          <w:sz w:val="28"/>
          <w:szCs w:val="28"/>
        </w:rPr>
        <w:t>预算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万元</w:t>
      </w:r>
      <w:r>
        <w:rPr>
          <w:rFonts w:hint="eastAsia" w:ascii="仿宋_GB2312" w:hAnsi="仿宋_GB2312" w:eastAsia="仿宋_GB2312" w:cs="仿宋_GB2312"/>
          <w:sz w:val="28"/>
          <w:szCs w:val="28"/>
        </w:rPr>
        <w:t>，决算数</w:t>
      </w:r>
      <w:r>
        <w:rPr>
          <w:rFonts w:hint="eastAsia" w:ascii="仿宋_GB2312" w:hAnsi="仿宋_GB2312" w:eastAsia="仿宋_GB2312" w:cs="仿宋_GB2312"/>
          <w:sz w:val="28"/>
          <w:szCs w:val="28"/>
          <w:lang w:eastAsia="zh-CN"/>
        </w:rPr>
        <w:t>与</w:t>
      </w:r>
      <w:r>
        <w:rPr>
          <w:rFonts w:hint="eastAsia" w:ascii="仿宋_GB2312" w:hAnsi="仿宋_GB2312" w:eastAsia="仿宋_GB2312" w:cs="仿宋_GB2312"/>
          <w:sz w:val="28"/>
          <w:szCs w:val="28"/>
        </w:rPr>
        <w:t>预算数</w:t>
      </w:r>
      <w:r>
        <w:rPr>
          <w:rFonts w:hint="eastAsia" w:ascii="仿宋_GB2312" w:hAnsi="仿宋_GB2312" w:eastAsia="仿宋_GB2312" w:cs="仿宋_GB2312"/>
          <w:sz w:val="28"/>
          <w:szCs w:val="28"/>
          <w:lang w:eastAsia="zh-CN"/>
        </w:rPr>
        <w:t>差异</w:t>
      </w:r>
      <w:r>
        <w:rPr>
          <w:rFonts w:hint="eastAsia" w:ascii="仿宋_GB2312" w:hAnsi="仿宋_GB2312" w:eastAsia="仿宋_GB2312" w:cs="仿宋_GB2312"/>
          <w:sz w:val="28"/>
          <w:szCs w:val="28"/>
        </w:rPr>
        <w:t>的主要原因是</w:t>
      </w:r>
      <w:r>
        <w:rPr>
          <w:rFonts w:hint="eastAsia" w:ascii="仿宋_GB2312" w:hAnsi="仿宋_GB2312" w:eastAsia="仿宋_GB2312" w:cs="仿宋_GB2312"/>
          <w:sz w:val="28"/>
          <w:szCs w:val="28"/>
          <w:lang w:val="en-US" w:eastAsia="zh-CN"/>
        </w:rPr>
        <w:t>2018年支出经济科目存在差异。</w:t>
      </w:r>
    </w:p>
    <w:p>
      <w:pPr>
        <w:keepNext w:val="0"/>
        <w:keepLines w:val="0"/>
        <w:pageBreakBefore w:val="0"/>
        <w:numPr>
          <w:ilvl w:val="0"/>
          <w:numId w:val="1"/>
        </w:numPr>
        <w:kinsoku/>
        <w:wordWrap/>
        <w:overflowPunct/>
        <w:topLinePunct w:val="0"/>
        <w:bidi w:val="0"/>
        <w:snapToGrid/>
        <w:spacing w:line="578"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住房保障支出（</w:t>
      </w:r>
      <w:r>
        <w:rPr>
          <w:rFonts w:hint="eastAsia" w:ascii="仿宋_GB2312" w:hAnsi="仿宋_GB2312" w:eastAsia="仿宋_GB2312" w:cs="仿宋_GB2312"/>
          <w:sz w:val="28"/>
          <w:szCs w:val="28"/>
          <w:lang w:val="en-US" w:eastAsia="zh-CN"/>
        </w:rPr>
        <w:t>221</w:t>
      </w:r>
      <w:r>
        <w:rPr>
          <w:rFonts w:hint="eastAsia" w:ascii="仿宋_GB2312" w:hAnsi="仿宋_GB2312" w:eastAsia="仿宋_GB2312" w:cs="仿宋_GB2312"/>
          <w:sz w:val="28"/>
          <w:szCs w:val="28"/>
          <w:lang w:eastAsia="zh-CN"/>
        </w:rPr>
        <w:t>）保障性安居工程支出（</w:t>
      </w:r>
      <w:r>
        <w:rPr>
          <w:rFonts w:hint="eastAsia" w:ascii="仿宋_GB2312" w:hAnsi="仿宋_GB2312" w:eastAsia="仿宋_GB2312" w:cs="仿宋_GB2312"/>
          <w:sz w:val="28"/>
          <w:szCs w:val="28"/>
          <w:lang w:val="en-US" w:eastAsia="zh-CN"/>
        </w:rPr>
        <w:t>01</w:t>
      </w:r>
      <w:r>
        <w:rPr>
          <w:rFonts w:hint="eastAsia" w:ascii="仿宋_GB2312" w:hAnsi="仿宋_GB2312" w:eastAsia="仿宋_GB2312" w:cs="仿宋_GB2312"/>
          <w:sz w:val="28"/>
          <w:szCs w:val="28"/>
          <w:lang w:eastAsia="zh-CN"/>
        </w:rPr>
        <w:t>）棚户区改造（</w:t>
      </w:r>
      <w:r>
        <w:rPr>
          <w:rFonts w:hint="eastAsia" w:ascii="仿宋_GB2312" w:hAnsi="仿宋_GB2312" w:eastAsia="仿宋_GB2312" w:cs="仿宋_GB2312"/>
          <w:sz w:val="28"/>
          <w:szCs w:val="28"/>
          <w:lang w:val="en-US" w:eastAsia="zh-CN"/>
        </w:rPr>
        <w:t>03</w:t>
      </w:r>
      <w:r>
        <w:rPr>
          <w:rFonts w:hint="eastAsia" w:ascii="仿宋_GB2312" w:hAnsi="仿宋_GB2312" w:eastAsia="仿宋_GB2312" w:cs="仿宋_GB2312"/>
          <w:sz w:val="28"/>
          <w:szCs w:val="28"/>
          <w:lang w:eastAsia="zh-CN"/>
        </w:rPr>
        <w:t>）：支出决算为</w:t>
      </w:r>
      <w:r>
        <w:rPr>
          <w:rFonts w:hint="eastAsia" w:ascii="仿宋_GB2312" w:hAnsi="仿宋_GB2312" w:eastAsia="仿宋_GB2312" w:cs="仿宋_GB2312"/>
          <w:sz w:val="28"/>
          <w:szCs w:val="28"/>
          <w:lang w:val="en-US" w:eastAsia="zh-CN"/>
        </w:rPr>
        <w:t xml:space="preserve">3613.38万元，完成预算39.22%， </w:t>
      </w:r>
      <w:r>
        <w:rPr>
          <w:rFonts w:hint="eastAsia" w:ascii="仿宋_GB2312" w:hAnsi="仿宋_GB2312" w:eastAsia="仿宋_GB2312" w:cs="仿宋_GB2312"/>
          <w:sz w:val="28"/>
          <w:szCs w:val="28"/>
        </w:rPr>
        <w:t>决算数小于预算数的主要原因是</w:t>
      </w:r>
      <w:r>
        <w:rPr>
          <w:rFonts w:hint="eastAsia" w:ascii="仿宋_GB2312" w:hAnsi="仿宋_GB2312" w:eastAsia="仿宋_GB2312" w:cs="仿宋_GB2312"/>
          <w:sz w:val="28"/>
          <w:szCs w:val="28"/>
          <w:lang w:val="en-US" w:eastAsia="zh-CN"/>
        </w:rPr>
        <w:t>2018年度受我单位项目工程进度的影响。</w:t>
      </w:r>
    </w:p>
    <w:p>
      <w:pPr>
        <w:keepNext w:val="0"/>
        <w:keepLines w:val="0"/>
        <w:pageBreakBefore w:val="0"/>
        <w:numPr>
          <w:ilvl w:val="0"/>
          <w:numId w:val="0"/>
        </w:numPr>
        <w:kinsoku/>
        <w:wordWrap/>
        <w:overflowPunct/>
        <w:topLinePunct w:val="0"/>
        <w:bidi w:val="0"/>
        <w:snapToGrid/>
        <w:spacing w:line="578" w:lineRule="exact"/>
        <w:ind w:right="0" w:rightChars="0" w:firstLine="560" w:firstLineChars="200"/>
        <w:textAlignment w:val="auto"/>
        <w:rPr>
          <w:rFonts w:ascii="仿宋" w:hAnsi="仿宋" w:eastAsia="仿宋"/>
          <w:b/>
          <w:color w:val="000000"/>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住房保障支出（</w:t>
      </w:r>
      <w:r>
        <w:rPr>
          <w:rFonts w:hint="eastAsia" w:ascii="仿宋_GB2312" w:hAnsi="仿宋_GB2312" w:eastAsia="仿宋_GB2312" w:cs="仿宋_GB2312"/>
          <w:sz w:val="28"/>
          <w:szCs w:val="28"/>
          <w:lang w:val="en-US" w:eastAsia="zh-CN"/>
        </w:rPr>
        <w:t>221</w:t>
      </w:r>
      <w:r>
        <w:rPr>
          <w:rFonts w:hint="eastAsia" w:ascii="仿宋_GB2312" w:hAnsi="仿宋_GB2312" w:eastAsia="仿宋_GB2312" w:cs="仿宋_GB2312"/>
          <w:sz w:val="28"/>
          <w:szCs w:val="28"/>
          <w:lang w:eastAsia="zh-CN"/>
        </w:rPr>
        <w:t>）保障性安居工程支出（</w:t>
      </w:r>
      <w:r>
        <w:rPr>
          <w:rFonts w:hint="eastAsia" w:ascii="仿宋_GB2312" w:hAnsi="仿宋_GB2312" w:eastAsia="仿宋_GB2312" w:cs="仿宋_GB2312"/>
          <w:sz w:val="28"/>
          <w:szCs w:val="28"/>
          <w:lang w:val="en-US" w:eastAsia="zh-CN"/>
        </w:rPr>
        <w:t>01</w:t>
      </w:r>
      <w:r>
        <w:rPr>
          <w:rFonts w:hint="eastAsia" w:ascii="仿宋_GB2312" w:hAnsi="仿宋_GB2312" w:eastAsia="仿宋_GB2312" w:cs="仿宋_GB2312"/>
          <w:sz w:val="28"/>
          <w:szCs w:val="28"/>
          <w:lang w:eastAsia="zh-CN"/>
        </w:rPr>
        <w:t>）其他保障性安居工程支出（</w:t>
      </w:r>
      <w:r>
        <w:rPr>
          <w:rFonts w:hint="eastAsia" w:ascii="仿宋_GB2312" w:hAnsi="仿宋_GB2312" w:eastAsia="仿宋_GB2312" w:cs="仿宋_GB2312"/>
          <w:sz w:val="28"/>
          <w:szCs w:val="28"/>
          <w:lang w:val="en-US" w:eastAsia="zh-CN"/>
        </w:rPr>
        <w:t>99</w:t>
      </w:r>
      <w:r>
        <w:rPr>
          <w:rFonts w:hint="eastAsia" w:ascii="仿宋_GB2312" w:hAnsi="仿宋_GB2312" w:eastAsia="仿宋_GB2312" w:cs="仿宋_GB2312"/>
          <w:sz w:val="28"/>
          <w:szCs w:val="28"/>
          <w:lang w:eastAsia="zh-CN"/>
        </w:rPr>
        <w:t>）：支出决算为</w:t>
      </w:r>
      <w:r>
        <w:rPr>
          <w:rFonts w:hint="eastAsia" w:ascii="仿宋_GB2312" w:hAnsi="仿宋_GB2312" w:eastAsia="仿宋_GB2312" w:cs="仿宋_GB2312"/>
          <w:sz w:val="28"/>
          <w:szCs w:val="28"/>
          <w:lang w:val="en-US" w:eastAsia="zh-CN"/>
        </w:rPr>
        <w:t>1876万元，</w:t>
      </w:r>
      <w:r>
        <w:rPr>
          <w:rFonts w:hint="eastAsia" w:ascii="仿宋_GB2312" w:hAnsi="仿宋_GB2312" w:eastAsia="仿宋_GB2312" w:cs="仿宋_GB2312"/>
          <w:sz w:val="28"/>
          <w:szCs w:val="28"/>
          <w:lang w:eastAsia="zh-CN"/>
        </w:rPr>
        <w:t>年初</w:t>
      </w:r>
      <w:r>
        <w:rPr>
          <w:rFonts w:hint="eastAsia" w:ascii="仿宋_GB2312" w:hAnsi="仿宋_GB2312" w:eastAsia="仿宋_GB2312" w:cs="仿宋_GB2312"/>
          <w:sz w:val="28"/>
          <w:szCs w:val="28"/>
        </w:rPr>
        <w:t>预算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万元</w:t>
      </w:r>
      <w:r>
        <w:rPr>
          <w:rFonts w:hint="eastAsia" w:ascii="仿宋_GB2312" w:hAnsi="仿宋_GB2312" w:eastAsia="仿宋_GB2312" w:cs="仿宋_GB2312"/>
          <w:sz w:val="28"/>
          <w:szCs w:val="28"/>
        </w:rPr>
        <w:t>，决算数</w:t>
      </w:r>
      <w:r>
        <w:rPr>
          <w:rFonts w:hint="eastAsia" w:ascii="仿宋_GB2312" w:hAnsi="仿宋_GB2312" w:eastAsia="仿宋_GB2312" w:cs="仿宋_GB2312"/>
          <w:sz w:val="28"/>
          <w:szCs w:val="28"/>
          <w:lang w:eastAsia="zh-CN"/>
        </w:rPr>
        <w:t>与</w:t>
      </w:r>
      <w:r>
        <w:rPr>
          <w:rFonts w:hint="eastAsia" w:ascii="仿宋_GB2312" w:hAnsi="仿宋_GB2312" w:eastAsia="仿宋_GB2312" w:cs="仿宋_GB2312"/>
          <w:sz w:val="28"/>
          <w:szCs w:val="28"/>
        </w:rPr>
        <w:t>预算数</w:t>
      </w:r>
      <w:r>
        <w:rPr>
          <w:rFonts w:hint="eastAsia" w:ascii="仿宋_GB2312" w:hAnsi="仿宋_GB2312" w:eastAsia="仿宋_GB2312" w:cs="仿宋_GB2312"/>
          <w:sz w:val="28"/>
          <w:szCs w:val="28"/>
          <w:lang w:eastAsia="zh-CN"/>
        </w:rPr>
        <w:t>差异</w:t>
      </w:r>
      <w:r>
        <w:rPr>
          <w:rFonts w:hint="eastAsia" w:ascii="仿宋_GB2312" w:hAnsi="仿宋_GB2312" w:eastAsia="仿宋_GB2312" w:cs="仿宋_GB2312"/>
          <w:sz w:val="28"/>
          <w:szCs w:val="28"/>
        </w:rPr>
        <w:t>的主要原因是</w:t>
      </w:r>
      <w:r>
        <w:rPr>
          <w:rFonts w:hint="eastAsia" w:ascii="仿宋_GB2312" w:hAnsi="仿宋_GB2312" w:eastAsia="仿宋_GB2312" w:cs="仿宋_GB2312"/>
          <w:sz w:val="28"/>
          <w:szCs w:val="28"/>
          <w:lang w:val="en-US" w:eastAsia="zh-CN"/>
        </w:rPr>
        <w:t>2018年支出经济科目存在差异。</w:t>
      </w:r>
    </w:p>
    <w:p>
      <w:pPr>
        <w:keepNext w:val="0"/>
        <w:keepLines w:val="0"/>
        <w:pageBreakBefore w:val="0"/>
        <w:numPr>
          <w:ilvl w:val="0"/>
          <w:numId w:val="0"/>
        </w:numPr>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住房保障支出（</w:t>
      </w:r>
      <w:r>
        <w:rPr>
          <w:rFonts w:hint="eastAsia" w:ascii="仿宋_GB2312" w:hAnsi="仿宋_GB2312" w:eastAsia="仿宋_GB2312" w:cs="仿宋_GB2312"/>
          <w:sz w:val="28"/>
          <w:szCs w:val="28"/>
          <w:lang w:val="en-US" w:eastAsia="zh-CN"/>
        </w:rPr>
        <w:t>221</w:t>
      </w:r>
      <w:r>
        <w:rPr>
          <w:rFonts w:hint="eastAsia" w:ascii="仿宋_GB2312" w:hAnsi="仿宋_GB2312" w:eastAsia="仿宋_GB2312" w:cs="仿宋_GB2312"/>
          <w:sz w:val="28"/>
          <w:szCs w:val="28"/>
          <w:lang w:eastAsia="zh-CN"/>
        </w:rPr>
        <w:t>）住房改革支出（</w:t>
      </w:r>
      <w:r>
        <w:rPr>
          <w:rFonts w:hint="eastAsia" w:ascii="仿宋_GB2312" w:hAnsi="仿宋_GB2312" w:eastAsia="仿宋_GB2312" w:cs="仿宋_GB2312"/>
          <w:sz w:val="28"/>
          <w:szCs w:val="28"/>
          <w:lang w:val="en-US" w:eastAsia="zh-CN"/>
        </w:rPr>
        <w:t>02</w:t>
      </w:r>
      <w:r>
        <w:rPr>
          <w:rFonts w:hint="eastAsia" w:ascii="仿宋_GB2312" w:hAnsi="仿宋_GB2312" w:eastAsia="仿宋_GB2312" w:cs="仿宋_GB2312"/>
          <w:sz w:val="28"/>
          <w:szCs w:val="28"/>
          <w:lang w:eastAsia="zh-CN"/>
        </w:rPr>
        <w:t>）住房公积金（</w:t>
      </w:r>
      <w:r>
        <w:rPr>
          <w:rFonts w:hint="eastAsia" w:ascii="仿宋_GB2312" w:hAnsi="仿宋_GB2312" w:eastAsia="仿宋_GB2312" w:cs="仿宋_GB2312"/>
          <w:sz w:val="28"/>
          <w:szCs w:val="28"/>
          <w:lang w:val="en-US" w:eastAsia="zh-CN"/>
        </w:rPr>
        <w:t>01</w:t>
      </w:r>
      <w:r>
        <w:rPr>
          <w:rFonts w:hint="eastAsia" w:ascii="仿宋_GB2312" w:hAnsi="仿宋_GB2312" w:eastAsia="仿宋_GB2312" w:cs="仿宋_GB2312"/>
          <w:sz w:val="28"/>
          <w:szCs w:val="28"/>
          <w:lang w:eastAsia="zh-CN"/>
        </w:rPr>
        <w:t>）：支出决算为</w:t>
      </w:r>
      <w:r>
        <w:rPr>
          <w:rFonts w:hint="eastAsia" w:ascii="仿宋_GB2312" w:hAnsi="仿宋_GB2312" w:eastAsia="仿宋_GB2312" w:cs="仿宋_GB2312"/>
          <w:sz w:val="28"/>
          <w:szCs w:val="28"/>
          <w:lang w:val="en-US" w:eastAsia="zh-CN"/>
        </w:rPr>
        <w:t>26.16万元，完成预算100%，</w:t>
      </w:r>
      <w:r>
        <w:rPr>
          <w:rFonts w:hint="eastAsia" w:ascii="仿宋_GB2312" w:hAnsi="仿宋_GB2312" w:eastAsia="仿宋_GB2312" w:cs="仿宋_GB2312"/>
          <w:sz w:val="28"/>
          <w:szCs w:val="28"/>
        </w:rPr>
        <w:t>决算数</w:t>
      </w:r>
      <w:r>
        <w:rPr>
          <w:rFonts w:hint="eastAsia" w:ascii="仿宋_GB2312" w:hAnsi="仿宋_GB2312" w:eastAsia="仿宋_GB2312" w:cs="仿宋_GB2312"/>
          <w:sz w:val="28"/>
          <w:szCs w:val="28"/>
          <w:lang w:eastAsia="zh-CN"/>
        </w:rPr>
        <w:t>与</w:t>
      </w:r>
      <w:r>
        <w:rPr>
          <w:rFonts w:hint="eastAsia" w:ascii="仿宋_GB2312" w:hAnsi="仿宋_GB2312" w:eastAsia="仿宋_GB2312" w:cs="仿宋_GB2312"/>
          <w:sz w:val="28"/>
          <w:szCs w:val="28"/>
        </w:rPr>
        <w:t>预算数</w:t>
      </w:r>
      <w:r>
        <w:rPr>
          <w:rFonts w:hint="eastAsia" w:ascii="仿宋_GB2312" w:hAnsi="仿宋_GB2312" w:eastAsia="仿宋_GB2312" w:cs="仿宋_GB2312"/>
          <w:sz w:val="28"/>
          <w:szCs w:val="28"/>
          <w:lang w:eastAsia="zh-CN"/>
        </w:rPr>
        <w:t>持平。</w:t>
      </w:r>
    </w:p>
    <w:p>
      <w:pPr>
        <w:keepNext w:val="0"/>
        <w:keepLines w:val="0"/>
        <w:pageBreakBefore w:val="0"/>
        <w:numPr>
          <w:ilvl w:val="0"/>
          <w:numId w:val="0"/>
        </w:numPr>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lang w:eastAsia="zh-CN"/>
        </w:rPr>
      </w:pPr>
    </w:p>
    <w:p>
      <w:pPr>
        <w:keepNext w:val="0"/>
        <w:keepLines w:val="0"/>
        <w:pageBreakBefore w:val="0"/>
        <w:tabs>
          <w:tab w:val="right" w:pos="8306"/>
        </w:tabs>
        <w:kinsoku/>
        <w:wordWrap/>
        <w:overflowPunct/>
        <w:topLinePunct w:val="0"/>
        <w:bidi w:val="0"/>
        <w:snapToGrid/>
        <w:spacing w:line="578" w:lineRule="exact"/>
        <w:ind w:right="0" w:rightChars="0" w:firstLine="640" w:firstLineChars="200"/>
        <w:textAlignment w:val="auto"/>
        <w:outlineLvl w:val="1"/>
        <w:rPr>
          <w:rStyle w:val="25"/>
          <w:sz w:val="28"/>
          <w:szCs w:val="28"/>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sz w:val="32"/>
          <w:szCs w:val="32"/>
        </w:rPr>
        <w:t>般公共预算财政拨款基本支出决算情况说明</w:t>
      </w:r>
      <w:bookmarkEnd w:id="40"/>
      <w:bookmarkEnd w:id="41"/>
      <w:r>
        <w:rPr>
          <w:rStyle w:val="25"/>
          <w:rFonts w:ascii="黑体" w:hAnsi="黑体" w:eastAsia="黑体"/>
          <w:b w:val="0"/>
          <w:sz w:val="28"/>
          <w:szCs w:val="28"/>
        </w:rPr>
        <w:tab/>
      </w:r>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2018年一般公共预算财政拨款基本支出</w:t>
      </w:r>
      <w:r>
        <w:rPr>
          <w:rFonts w:hint="eastAsia" w:ascii="仿宋_GB2312" w:hAnsi="仿宋_GB2312" w:eastAsia="仿宋_GB2312" w:cs="仿宋_GB2312"/>
          <w:sz w:val="28"/>
          <w:szCs w:val="28"/>
          <w:lang w:val="en-US" w:eastAsia="zh-CN"/>
        </w:rPr>
        <w:t>594.80</w:t>
      </w:r>
      <w:r>
        <w:rPr>
          <w:rFonts w:hint="eastAsia" w:ascii="仿宋_GB2312" w:hAnsi="仿宋_GB2312" w:eastAsia="仿宋_GB2312" w:cs="仿宋_GB2312"/>
          <w:sz w:val="28"/>
          <w:szCs w:val="28"/>
        </w:rPr>
        <w:t>万元，其中：</w:t>
      </w:r>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人员经费</w:t>
      </w:r>
      <w:r>
        <w:rPr>
          <w:rFonts w:hint="eastAsia" w:ascii="仿宋_GB2312" w:hAnsi="仿宋_GB2312" w:eastAsia="仿宋_GB2312" w:cs="仿宋_GB2312"/>
          <w:sz w:val="28"/>
          <w:szCs w:val="28"/>
          <w:lang w:val="en-US" w:eastAsia="zh-CN"/>
        </w:rPr>
        <w:t>358.59</w:t>
      </w:r>
      <w:r>
        <w:rPr>
          <w:rFonts w:hint="eastAsia" w:ascii="仿宋_GB2312" w:hAnsi="仿宋_GB2312" w:eastAsia="仿宋_GB2312" w:cs="仿宋_GB2312"/>
          <w:sz w:val="28"/>
          <w:szCs w:val="28"/>
        </w:rPr>
        <w:t>万元，主要包括：基本工资</w:t>
      </w:r>
      <w:r>
        <w:rPr>
          <w:rFonts w:hint="eastAsia" w:ascii="仿宋_GB2312" w:hAnsi="仿宋_GB2312" w:eastAsia="仿宋_GB2312" w:cs="仿宋_GB2312"/>
          <w:sz w:val="28"/>
          <w:szCs w:val="28"/>
          <w:lang w:val="en-US" w:eastAsia="zh-CN"/>
        </w:rPr>
        <w:t>113.69万元</w:t>
      </w:r>
      <w:r>
        <w:rPr>
          <w:rFonts w:hint="eastAsia" w:ascii="仿宋_GB2312" w:hAnsi="仿宋_GB2312" w:eastAsia="仿宋_GB2312" w:cs="仿宋_GB2312"/>
          <w:sz w:val="28"/>
          <w:szCs w:val="28"/>
        </w:rPr>
        <w:t>、津贴补贴</w:t>
      </w:r>
      <w:r>
        <w:rPr>
          <w:rFonts w:hint="eastAsia" w:ascii="仿宋_GB2312" w:hAnsi="仿宋_GB2312" w:eastAsia="仿宋_GB2312" w:cs="仿宋_GB2312"/>
          <w:sz w:val="28"/>
          <w:szCs w:val="28"/>
          <w:lang w:val="en-US" w:eastAsia="zh-CN"/>
        </w:rPr>
        <w:t>5.61万元</w:t>
      </w:r>
      <w:r>
        <w:rPr>
          <w:rFonts w:hint="eastAsia" w:ascii="仿宋_GB2312" w:hAnsi="仿宋_GB2312" w:eastAsia="仿宋_GB2312" w:cs="仿宋_GB2312"/>
          <w:sz w:val="28"/>
          <w:szCs w:val="28"/>
        </w:rPr>
        <w:t>、伙食补助费</w:t>
      </w:r>
      <w:r>
        <w:rPr>
          <w:rFonts w:hint="eastAsia" w:ascii="仿宋_GB2312" w:hAnsi="仿宋_GB2312" w:eastAsia="仿宋_GB2312" w:cs="仿宋_GB2312"/>
          <w:sz w:val="28"/>
          <w:szCs w:val="28"/>
          <w:lang w:val="en-US" w:eastAsia="zh-CN"/>
        </w:rPr>
        <w:t>18.03万元</w:t>
      </w:r>
      <w:r>
        <w:rPr>
          <w:rFonts w:hint="eastAsia" w:ascii="仿宋_GB2312" w:hAnsi="仿宋_GB2312" w:eastAsia="仿宋_GB2312" w:cs="仿宋_GB2312"/>
          <w:sz w:val="28"/>
          <w:szCs w:val="28"/>
        </w:rPr>
        <w:t>、绩效工资</w:t>
      </w:r>
      <w:r>
        <w:rPr>
          <w:rFonts w:hint="eastAsia" w:ascii="仿宋_GB2312" w:hAnsi="仿宋_GB2312" w:eastAsia="仿宋_GB2312" w:cs="仿宋_GB2312"/>
          <w:sz w:val="28"/>
          <w:szCs w:val="28"/>
          <w:lang w:val="en-US" w:eastAsia="zh-CN"/>
        </w:rPr>
        <w:t>90.41万元</w:t>
      </w:r>
      <w:r>
        <w:rPr>
          <w:rFonts w:hint="eastAsia" w:ascii="仿宋_GB2312" w:hAnsi="仿宋_GB2312" w:eastAsia="仿宋_GB2312" w:cs="仿宋_GB2312"/>
          <w:sz w:val="28"/>
          <w:szCs w:val="28"/>
        </w:rPr>
        <w:t>、机关事业单位基本养老保险缴费</w:t>
      </w:r>
      <w:r>
        <w:rPr>
          <w:rFonts w:hint="eastAsia" w:ascii="仿宋_GB2312" w:hAnsi="仿宋_GB2312" w:eastAsia="仿宋_GB2312" w:cs="仿宋_GB2312"/>
          <w:sz w:val="28"/>
          <w:szCs w:val="28"/>
          <w:lang w:val="en-US" w:eastAsia="zh-CN"/>
        </w:rPr>
        <w:t>43.28万元</w:t>
      </w:r>
      <w:r>
        <w:rPr>
          <w:rFonts w:hint="eastAsia" w:ascii="仿宋_GB2312" w:hAnsi="仿宋_GB2312" w:eastAsia="仿宋_GB2312" w:cs="仿宋_GB2312"/>
          <w:sz w:val="28"/>
          <w:szCs w:val="28"/>
        </w:rPr>
        <w:t>、其他工资福利支出</w:t>
      </w:r>
      <w:r>
        <w:rPr>
          <w:rFonts w:hint="eastAsia" w:ascii="仿宋_GB2312" w:hAnsi="仿宋_GB2312" w:eastAsia="仿宋_GB2312" w:cs="仿宋_GB2312"/>
          <w:sz w:val="28"/>
          <w:szCs w:val="28"/>
          <w:lang w:val="en-US" w:eastAsia="zh-CN"/>
        </w:rPr>
        <w:t>60.41万元</w:t>
      </w:r>
      <w:r>
        <w:rPr>
          <w:rFonts w:hint="eastAsia" w:ascii="仿宋_GB2312" w:hAnsi="仿宋_GB2312" w:eastAsia="仿宋_GB2312" w:cs="仿宋_GB2312"/>
          <w:sz w:val="28"/>
          <w:szCs w:val="28"/>
        </w:rPr>
        <w:t>、生活补助</w:t>
      </w:r>
      <w:r>
        <w:rPr>
          <w:rFonts w:hint="eastAsia" w:ascii="仿宋_GB2312" w:hAnsi="仿宋_GB2312" w:eastAsia="仿宋_GB2312" w:cs="仿宋_GB2312"/>
          <w:sz w:val="28"/>
          <w:szCs w:val="28"/>
          <w:lang w:val="en-US" w:eastAsia="zh-CN"/>
        </w:rPr>
        <w:t>0.2万元</w:t>
      </w:r>
      <w:r>
        <w:rPr>
          <w:rFonts w:hint="eastAsia" w:ascii="仿宋_GB2312" w:hAnsi="仿宋_GB2312" w:eastAsia="仿宋_GB2312" w:cs="仿宋_GB2312"/>
          <w:sz w:val="28"/>
          <w:szCs w:val="28"/>
        </w:rPr>
        <w:t>、医疗费</w:t>
      </w:r>
      <w:r>
        <w:rPr>
          <w:rFonts w:hint="eastAsia" w:ascii="仿宋_GB2312" w:hAnsi="仿宋_GB2312" w:eastAsia="仿宋_GB2312" w:cs="仿宋_GB2312"/>
          <w:sz w:val="28"/>
          <w:szCs w:val="28"/>
          <w:lang w:eastAsia="zh-CN"/>
        </w:rPr>
        <w:t>补助</w:t>
      </w:r>
      <w:r>
        <w:rPr>
          <w:rFonts w:hint="eastAsia" w:ascii="仿宋_GB2312" w:hAnsi="仿宋_GB2312" w:eastAsia="仿宋_GB2312" w:cs="仿宋_GB2312"/>
          <w:sz w:val="28"/>
          <w:szCs w:val="28"/>
          <w:lang w:val="en-US" w:eastAsia="zh-CN"/>
        </w:rPr>
        <w:t>0.19万元</w:t>
      </w:r>
      <w:r>
        <w:rPr>
          <w:rFonts w:hint="eastAsia" w:ascii="仿宋_GB2312" w:hAnsi="仿宋_GB2312" w:eastAsia="仿宋_GB2312" w:cs="仿宋_GB2312"/>
          <w:sz w:val="28"/>
          <w:szCs w:val="28"/>
        </w:rPr>
        <w:t>、奖励金</w:t>
      </w:r>
      <w:r>
        <w:rPr>
          <w:rFonts w:hint="eastAsia" w:ascii="仿宋_GB2312" w:hAnsi="仿宋_GB2312" w:eastAsia="仿宋_GB2312" w:cs="仿宋_GB2312"/>
          <w:sz w:val="28"/>
          <w:szCs w:val="28"/>
          <w:lang w:val="en-US" w:eastAsia="zh-CN"/>
        </w:rPr>
        <w:t>0.43万元</w:t>
      </w:r>
      <w:r>
        <w:rPr>
          <w:rFonts w:hint="eastAsia" w:ascii="仿宋_GB2312" w:hAnsi="仿宋_GB2312" w:eastAsia="仿宋_GB2312" w:cs="仿宋_GB2312"/>
          <w:sz w:val="28"/>
          <w:szCs w:val="28"/>
        </w:rPr>
        <w:t>、住房公积金</w:t>
      </w:r>
      <w:r>
        <w:rPr>
          <w:rFonts w:hint="eastAsia" w:ascii="仿宋_GB2312" w:hAnsi="仿宋_GB2312" w:eastAsia="仿宋_GB2312" w:cs="仿宋_GB2312"/>
          <w:sz w:val="28"/>
          <w:szCs w:val="28"/>
          <w:lang w:val="en-US" w:eastAsia="zh-CN"/>
        </w:rPr>
        <w:t>26.16万元</w:t>
      </w:r>
      <w:r>
        <w:rPr>
          <w:rFonts w:hint="eastAsia" w:ascii="仿宋_GB2312" w:hAnsi="仿宋_GB2312" w:eastAsia="仿宋_GB2312" w:cs="仿宋_GB2312"/>
          <w:sz w:val="28"/>
          <w:szCs w:val="28"/>
        </w:rPr>
        <w:t>、其他对个人和家庭的补助支出</w:t>
      </w:r>
      <w:r>
        <w:rPr>
          <w:rFonts w:hint="eastAsia" w:ascii="仿宋_GB2312" w:hAnsi="仿宋_GB2312" w:eastAsia="仿宋_GB2312" w:cs="仿宋_GB2312"/>
          <w:sz w:val="28"/>
          <w:szCs w:val="28"/>
          <w:lang w:val="en-US" w:eastAsia="zh-CN"/>
        </w:rPr>
        <w:t>0.19万元</w:t>
      </w:r>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公用经费</w:t>
      </w:r>
      <w:r>
        <w:rPr>
          <w:rFonts w:hint="eastAsia" w:ascii="仿宋_GB2312" w:hAnsi="仿宋_GB2312" w:eastAsia="仿宋_GB2312" w:cs="仿宋_GB2312"/>
          <w:sz w:val="28"/>
          <w:szCs w:val="28"/>
          <w:lang w:val="en-US" w:eastAsia="zh-CN"/>
        </w:rPr>
        <w:t>236.20</w:t>
      </w:r>
      <w:r>
        <w:rPr>
          <w:rFonts w:hint="eastAsia" w:ascii="仿宋_GB2312" w:hAnsi="仿宋_GB2312" w:eastAsia="仿宋_GB2312" w:cs="仿宋_GB2312"/>
          <w:sz w:val="28"/>
          <w:szCs w:val="28"/>
        </w:rPr>
        <w:t>万元，主要包括：办公费</w:t>
      </w:r>
      <w:r>
        <w:rPr>
          <w:rFonts w:hint="eastAsia" w:ascii="仿宋_GB2312" w:hAnsi="仿宋_GB2312" w:eastAsia="仿宋_GB2312" w:cs="仿宋_GB2312"/>
          <w:sz w:val="28"/>
          <w:szCs w:val="28"/>
          <w:lang w:val="en-US" w:eastAsia="zh-CN"/>
        </w:rPr>
        <w:t>18.65万元</w:t>
      </w:r>
      <w:r>
        <w:rPr>
          <w:rFonts w:hint="eastAsia" w:ascii="仿宋_GB2312" w:hAnsi="仿宋_GB2312" w:eastAsia="仿宋_GB2312" w:cs="仿宋_GB2312"/>
          <w:sz w:val="28"/>
          <w:szCs w:val="28"/>
        </w:rPr>
        <w:t>、印刷费</w:t>
      </w:r>
      <w:r>
        <w:rPr>
          <w:rFonts w:hint="eastAsia" w:ascii="仿宋_GB2312" w:hAnsi="仿宋_GB2312" w:eastAsia="仿宋_GB2312" w:cs="仿宋_GB2312"/>
          <w:sz w:val="28"/>
          <w:szCs w:val="28"/>
          <w:lang w:val="en-US" w:eastAsia="zh-CN"/>
        </w:rPr>
        <w:t>4.43万元</w:t>
      </w:r>
      <w:r>
        <w:rPr>
          <w:rFonts w:hint="eastAsia" w:ascii="仿宋_GB2312" w:hAnsi="仿宋_GB2312" w:eastAsia="仿宋_GB2312" w:cs="仿宋_GB2312"/>
          <w:sz w:val="28"/>
          <w:szCs w:val="28"/>
        </w:rPr>
        <w:t>、水费</w:t>
      </w:r>
      <w:r>
        <w:rPr>
          <w:rFonts w:hint="eastAsia" w:ascii="仿宋_GB2312" w:hAnsi="仿宋_GB2312" w:eastAsia="仿宋_GB2312" w:cs="仿宋_GB2312"/>
          <w:sz w:val="28"/>
          <w:szCs w:val="28"/>
          <w:lang w:val="en-US" w:eastAsia="zh-CN"/>
        </w:rPr>
        <w:t>0.43万元</w:t>
      </w:r>
      <w:r>
        <w:rPr>
          <w:rFonts w:hint="eastAsia" w:ascii="仿宋_GB2312" w:hAnsi="仿宋_GB2312" w:eastAsia="仿宋_GB2312" w:cs="仿宋_GB2312"/>
          <w:sz w:val="28"/>
          <w:szCs w:val="28"/>
        </w:rPr>
        <w:t>、电费</w:t>
      </w:r>
      <w:r>
        <w:rPr>
          <w:rFonts w:hint="eastAsia" w:ascii="仿宋_GB2312" w:hAnsi="仿宋_GB2312" w:eastAsia="仿宋_GB2312" w:cs="仿宋_GB2312"/>
          <w:sz w:val="28"/>
          <w:szCs w:val="28"/>
          <w:lang w:val="en-US" w:eastAsia="zh-CN"/>
        </w:rPr>
        <w:t>3.53万元</w:t>
      </w:r>
      <w:r>
        <w:rPr>
          <w:rFonts w:hint="eastAsia" w:ascii="仿宋_GB2312" w:hAnsi="仿宋_GB2312" w:eastAsia="仿宋_GB2312" w:cs="仿宋_GB2312"/>
          <w:sz w:val="28"/>
          <w:szCs w:val="28"/>
        </w:rPr>
        <w:t>、邮电费</w:t>
      </w:r>
      <w:r>
        <w:rPr>
          <w:rFonts w:hint="eastAsia" w:ascii="仿宋_GB2312" w:hAnsi="仿宋_GB2312" w:eastAsia="仿宋_GB2312" w:cs="仿宋_GB2312"/>
          <w:sz w:val="28"/>
          <w:szCs w:val="28"/>
          <w:lang w:val="en-US" w:eastAsia="zh-CN"/>
        </w:rPr>
        <w:t>5.54万元</w:t>
      </w:r>
      <w:r>
        <w:rPr>
          <w:rFonts w:hint="eastAsia" w:ascii="仿宋_GB2312" w:hAnsi="仿宋_GB2312" w:eastAsia="仿宋_GB2312" w:cs="仿宋_GB2312"/>
          <w:sz w:val="28"/>
          <w:szCs w:val="28"/>
        </w:rPr>
        <w:t>、差旅费</w:t>
      </w:r>
      <w:r>
        <w:rPr>
          <w:rFonts w:hint="eastAsia" w:ascii="仿宋_GB2312" w:hAnsi="仿宋_GB2312" w:eastAsia="仿宋_GB2312" w:cs="仿宋_GB2312"/>
          <w:sz w:val="28"/>
          <w:szCs w:val="28"/>
          <w:lang w:val="en-US" w:eastAsia="zh-CN"/>
        </w:rPr>
        <w:t>69.80万元</w:t>
      </w:r>
      <w:r>
        <w:rPr>
          <w:rFonts w:hint="eastAsia" w:ascii="仿宋_GB2312" w:hAnsi="仿宋_GB2312" w:eastAsia="仿宋_GB2312" w:cs="仿宋_GB2312"/>
          <w:sz w:val="28"/>
          <w:szCs w:val="28"/>
        </w:rPr>
        <w:t>、租赁费</w:t>
      </w:r>
      <w:r>
        <w:rPr>
          <w:rFonts w:hint="eastAsia" w:ascii="仿宋_GB2312" w:hAnsi="仿宋_GB2312" w:eastAsia="仿宋_GB2312" w:cs="仿宋_GB2312"/>
          <w:sz w:val="28"/>
          <w:szCs w:val="28"/>
          <w:lang w:val="en-US" w:eastAsia="zh-CN"/>
        </w:rPr>
        <w:t>1.3万元</w:t>
      </w:r>
      <w:r>
        <w:rPr>
          <w:rFonts w:hint="eastAsia" w:ascii="仿宋_GB2312" w:hAnsi="仿宋_GB2312" w:eastAsia="仿宋_GB2312" w:cs="仿宋_GB2312"/>
          <w:sz w:val="28"/>
          <w:szCs w:val="28"/>
        </w:rPr>
        <w:t>、公务接待费</w:t>
      </w:r>
      <w:r>
        <w:rPr>
          <w:rFonts w:hint="eastAsia" w:ascii="仿宋_GB2312" w:hAnsi="仿宋_GB2312" w:eastAsia="仿宋_GB2312" w:cs="仿宋_GB2312"/>
          <w:sz w:val="28"/>
          <w:szCs w:val="28"/>
          <w:lang w:val="en-US" w:eastAsia="zh-CN"/>
        </w:rPr>
        <w:t>1.7万元</w:t>
      </w:r>
      <w:r>
        <w:rPr>
          <w:rFonts w:hint="eastAsia" w:ascii="仿宋_GB2312" w:hAnsi="仿宋_GB2312" w:eastAsia="仿宋_GB2312" w:cs="仿宋_GB2312"/>
          <w:sz w:val="28"/>
          <w:szCs w:val="28"/>
        </w:rPr>
        <w:t>、劳务费</w:t>
      </w:r>
      <w:r>
        <w:rPr>
          <w:rFonts w:hint="eastAsia" w:ascii="仿宋_GB2312" w:hAnsi="仿宋_GB2312" w:eastAsia="仿宋_GB2312" w:cs="仿宋_GB2312"/>
          <w:sz w:val="28"/>
          <w:szCs w:val="28"/>
          <w:lang w:val="en-US" w:eastAsia="zh-CN"/>
        </w:rPr>
        <w:t>3.55万元</w:t>
      </w:r>
      <w:r>
        <w:rPr>
          <w:rFonts w:hint="eastAsia" w:ascii="仿宋_GB2312" w:hAnsi="仿宋_GB2312" w:eastAsia="仿宋_GB2312" w:cs="仿宋_GB2312"/>
          <w:sz w:val="28"/>
          <w:szCs w:val="28"/>
        </w:rPr>
        <w:t>、委托业务费</w:t>
      </w:r>
      <w:r>
        <w:rPr>
          <w:rFonts w:hint="eastAsia" w:ascii="仿宋_GB2312" w:hAnsi="仿宋_GB2312" w:eastAsia="仿宋_GB2312" w:cs="仿宋_GB2312"/>
          <w:sz w:val="28"/>
          <w:szCs w:val="28"/>
          <w:lang w:val="en-US" w:eastAsia="zh-CN"/>
        </w:rPr>
        <w:t>69.76万元</w:t>
      </w:r>
      <w:r>
        <w:rPr>
          <w:rFonts w:hint="eastAsia" w:ascii="仿宋_GB2312" w:hAnsi="仿宋_GB2312" w:eastAsia="仿宋_GB2312" w:cs="仿宋_GB2312"/>
          <w:sz w:val="28"/>
          <w:szCs w:val="28"/>
        </w:rPr>
        <w:t>、工会经费</w:t>
      </w:r>
      <w:r>
        <w:rPr>
          <w:rFonts w:hint="eastAsia" w:ascii="仿宋_GB2312" w:hAnsi="仿宋_GB2312" w:eastAsia="仿宋_GB2312" w:cs="仿宋_GB2312"/>
          <w:sz w:val="28"/>
          <w:szCs w:val="28"/>
          <w:lang w:val="en-US" w:eastAsia="zh-CN"/>
        </w:rPr>
        <w:t>14.58万元</w:t>
      </w:r>
      <w:r>
        <w:rPr>
          <w:rFonts w:hint="eastAsia" w:ascii="仿宋_GB2312" w:hAnsi="仿宋_GB2312" w:eastAsia="仿宋_GB2312" w:cs="仿宋_GB2312"/>
          <w:sz w:val="28"/>
          <w:szCs w:val="28"/>
        </w:rPr>
        <w:t>、公务用车运行维护费</w:t>
      </w:r>
      <w:r>
        <w:rPr>
          <w:rFonts w:hint="eastAsia" w:ascii="仿宋_GB2312" w:hAnsi="仿宋_GB2312" w:eastAsia="仿宋_GB2312" w:cs="仿宋_GB2312"/>
          <w:sz w:val="28"/>
          <w:szCs w:val="28"/>
          <w:lang w:val="en-US" w:eastAsia="zh-CN"/>
        </w:rPr>
        <w:t>6.98万元</w:t>
      </w:r>
      <w:r>
        <w:rPr>
          <w:rFonts w:hint="eastAsia" w:ascii="仿宋_GB2312" w:hAnsi="仿宋_GB2312" w:eastAsia="仿宋_GB2312" w:cs="仿宋_GB2312"/>
          <w:sz w:val="28"/>
          <w:szCs w:val="28"/>
        </w:rPr>
        <w:t>、其他商品和服务支出</w:t>
      </w:r>
      <w:r>
        <w:rPr>
          <w:rFonts w:hint="eastAsia" w:ascii="仿宋_GB2312" w:hAnsi="仿宋_GB2312" w:eastAsia="仿宋_GB2312" w:cs="仿宋_GB2312"/>
          <w:sz w:val="28"/>
          <w:szCs w:val="28"/>
          <w:lang w:val="en-US" w:eastAsia="zh-CN"/>
        </w:rPr>
        <w:t>34.67万元</w:t>
      </w:r>
      <w:r>
        <w:rPr>
          <w:rFonts w:hint="eastAsia" w:ascii="仿宋_GB2312" w:hAnsi="仿宋_GB2312" w:eastAsia="仿宋_GB2312" w:cs="仿宋_GB2312"/>
          <w:sz w:val="28"/>
          <w:szCs w:val="28"/>
        </w:rPr>
        <w:t>等。</w:t>
      </w:r>
    </w:p>
    <w:p>
      <w:pPr>
        <w:keepNext w:val="0"/>
        <w:keepLines w:val="0"/>
        <w:pageBreakBefore w:val="0"/>
        <w:kinsoku/>
        <w:wordWrap/>
        <w:overflowPunct/>
        <w:topLinePunct w:val="0"/>
        <w:bidi w:val="0"/>
        <w:snapToGrid/>
        <w:spacing w:line="578" w:lineRule="exact"/>
        <w:ind w:right="0" w:rightChars="0" w:firstLine="640" w:firstLineChars="200"/>
        <w:textAlignment w:val="auto"/>
        <w:outlineLvl w:val="1"/>
        <w:rPr>
          <w:rStyle w:val="25"/>
          <w:rFonts w:ascii="黑体" w:hAnsi="黑体" w:eastAsia="黑体"/>
          <w:b w:val="0"/>
          <w:sz w:val="32"/>
          <w:szCs w:val="32"/>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sz w:val="32"/>
          <w:szCs w:val="32"/>
        </w:rPr>
        <w:t>“</w:t>
      </w:r>
      <w:r>
        <w:rPr>
          <w:rStyle w:val="25"/>
          <w:rFonts w:hint="eastAsia" w:ascii="黑体" w:hAnsi="黑体" w:eastAsia="黑体"/>
          <w:b w:val="0"/>
          <w:sz w:val="32"/>
          <w:szCs w:val="32"/>
        </w:rPr>
        <w:t>三公”经费财政拨款支出决算情况说明</w:t>
      </w:r>
      <w:bookmarkEnd w:id="42"/>
      <w:bookmarkEnd w:id="43"/>
    </w:p>
    <w:p>
      <w:pPr>
        <w:keepNext w:val="0"/>
        <w:keepLines w:val="0"/>
        <w:pageBreakBefore w:val="0"/>
        <w:kinsoku/>
        <w:wordWrap/>
        <w:overflowPunct/>
        <w:topLinePunct w:val="0"/>
        <w:bidi w:val="0"/>
        <w:snapToGrid/>
        <w:spacing w:line="578" w:lineRule="exact"/>
        <w:ind w:right="0" w:rightChars="0" w:firstLine="602" w:firstLineChars="200"/>
        <w:textAlignment w:val="auto"/>
        <w:outlineLvl w:val="2"/>
        <w:rPr>
          <w:rFonts w:ascii="仿宋" w:hAnsi="仿宋" w:eastAsia="仿宋"/>
          <w:b/>
          <w:color w:val="000000"/>
          <w:sz w:val="30"/>
          <w:szCs w:val="30"/>
        </w:rPr>
      </w:pPr>
      <w:bookmarkStart w:id="44" w:name="_Toc15377216"/>
      <w:r>
        <w:rPr>
          <w:rFonts w:hint="eastAsia" w:ascii="仿宋" w:hAnsi="仿宋" w:eastAsia="仿宋"/>
          <w:b/>
          <w:color w:val="000000"/>
          <w:sz w:val="30"/>
          <w:szCs w:val="30"/>
        </w:rPr>
        <w:t>（一）“三公”经费财政拨款支出决算总体情况说明</w:t>
      </w:r>
      <w:bookmarkEnd w:id="44"/>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2018年“三公”经费财政拨款支出决算为</w:t>
      </w:r>
      <w:r>
        <w:rPr>
          <w:rFonts w:hint="eastAsia" w:ascii="仿宋_GB2312" w:hAnsi="仿宋_GB2312" w:eastAsia="仿宋_GB2312" w:cs="仿宋_GB2312"/>
          <w:sz w:val="28"/>
          <w:szCs w:val="28"/>
          <w:lang w:val="en-US" w:eastAsia="zh-CN"/>
        </w:rPr>
        <w:t>8.68</w:t>
      </w:r>
      <w:r>
        <w:rPr>
          <w:rFonts w:hint="eastAsia" w:ascii="仿宋_GB2312" w:hAnsi="仿宋_GB2312" w:eastAsia="仿宋_GB2312" w:cs="仿宋_GB2312"/>
          <w:sz w:val="28"/>
          <w:szCs w:val="28"/>
        </w:rPr>
        <w:t>万元，完成预算</w:t>
      </w:r>
      <w:r>
        <w:rPr>
          <w:rFonts w:hint="eastAsia" w:ascii="仿宋_GB2312" w:hAnsi="仿宋_GB2312" w:eastAsia="仿宋_GB2312" w:cs="仿宋_GB2312"/>
          <w:sz w:val="28"/>
          <w:szCs w:val="28"/>
          <w:lang w:val="en-US" w:eastAsia="zh-CN"/>
        </w:rPr>
        <w:t>38.57</w:t>
      </w:r>
      <w:r>
        <w:rPr>
          <w:rFonts w:hint="eastAsia" w:ascii="仿宋_GB2312" w:hAnsi="仿宋_GB2312" w:eastAsia="仿宋_GB2312" w:cs="仿宋_GB2312"/>
          <w:sz w:val="28"/>
          <w:szCs w:val="28"/>
        </w:rPr>
        <w:t>%，决算数小于预算数的主要原因是</w:t>
      </w:r>
      <w:r>
        <w:rPr>
          <w:rFonts w:hint="eastAsia" w:ascii="仿宋_GB2312" w:hAnsi="仿宋_GB2312" w:eastAsia="仿宋_GB2312" w:cs="仿宋_GB2312"/>
          <w:sz w:val="28"/>
          <w:szCs w:val="28"/>
          <w:lang w:val="en-US" w:eastAsia="zh-CN"/>
        </w:rPr>
        <w:t>2018年度我单位厉行节约，缩减三公经费开支</w:t>
      </w:r>
      <w:r>
        <w:rPr>
          <w:rFonts w:hint="eastAsia" w:ascii="仿宋_GB2312" w:hAnsi="仿宋_GB2312" w:eastAsia="仿宋_GB2312" w:cs="仿宋_GB2312"/>
          <w:sz w:val="28"/>
          <w:szCs w:val="28"/>
        </w:rPr>
        <w:t>。</w:t>
      </w:r>
    </w:p>
    <w:p>
      <w:pPr>
        <w:keepNext w:val="0"/>
        <w:keepLines w:val="0"/>
        <w:pageBreakBefore w:val="0"/>
        <w:kinsoku/>
        <w:wordWrap/>
        <w:overflowPunct/>
        <w:topLinePunct w:val="0"/>
        <w:bidi w:val="0"/>
        <w:snapToGrid/>
        <w:spacing w:line="578" w:lineRule="exact"/>
        <w:ind w:right="0" w:rightChars="0" w:firstLine="602" w:firstLineChars="200"/>
        <w:textAlignment w:val="auto"/>
        <w:outlineLvl w:val="2"/>
        <w:rPr>
          <w:rFonts w:ascii="仿宋" w:hAnsi="仿宋" w:eastAsia="仿宋"/>
          <w:b/>
          <w:color w:val="000000"/>
          <w:sz w:val="30"/>
          <w:szCs w:val="30"/>
        </w:rPr>
      </w:pPr>
      <w:bookmarkStart w:id="45" w:name="_Toc15377217"/>
      <w:r>
        <w:rPr>
          <w:rFonts w:hint="eastAsia" w:ascii="仿宋" w:hAnsi="仿宋" w:eastAsia="仿宋"/>
          <w:b/>
          <w:color w:val="000000"/>
          <w:sz w:val="30"/>
          <w:szCs w:val="30"/>
        </w:rPr>
        <w:t>（二）“三公”经费财政拨款支出决算具体情况说明</w:t>
      </w:r>
      <w:bookmarkEnd w:id="45"/>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2018年“三公”经费财政拨款支出决算中，因公出国（境）费支出决算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%；公务用车购置及运行维护费支出决算</w:t>
      </w:r>
      <w:r>
        <w:rPr>
          <w:rFonts w:hint="eastAsia" w:ascii="仿宋_GB2312" w:hAnsi="仿宋_GB2312" w:eastAsia="仿宋_GB2312" w:cs="仿宋_GB2312"/>
          <w:sz w:val="28"/>
          <w:szCs w:val="28"/>
          <w:lang w:val="en-US" w:eastAsia="zh-CN"/>
        </w:rPr>
        <w:t>6.98</w:t>
      </w:r>
      <w:r>
        <w:rPr>
          <w:rFonts w:hint="eastAsia" w:ascii="仿宋_GB2312" w:hAnsi="仿宋_GB2312" w:eastAsia="仿宋_GB2312" w:cs="仿宋_GB2312"/>
          <w:sz w:val="28"/>
          <w:szCs w:val="28"/>
        </w:rPr>
        <w:t>元，占</w:t>
      </w:r>
      <w:r>
        <w:rPr>
          <w:rFonts w:hint="eastAsia" w:ascii="仿宋_GB2312" w:hAnsi="仿宋_GB2312" w:eastAsia="仿宋_GB2312" w:cs="仿宋_GB2312"/>
          <w:sz w:val="28"/>
          <w:szCs w:val="28"/>
          <w:lang w:val="en-US" w:eastAsia="zh-CN"/>
        </w:rPr>
        <w:t>80.41</w:t>
      </w:r>
      <w:r>
        <w:rPr>
          <w:rFonts w:hint="eastAsia" w:ascii="仿宋_GB2312" w:hAnsi="仿宋_GB2312" w:eastAsia="仿宋_GB2312" w:cs="仿宋_GB2312"/>
          <w:sz w:val="28"/>
          <w:szCs w:val="28"/>
        </w:rPr>
        <w:t>%；公务接待费支出决算</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19.59</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（图</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：“三公”经费财政拨款支出结构）</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sz w:val="28"/>
          <w:szCs w:val="28"/>
        </w:rPr>
        <w:drawing>
          <wp:inline distT="0" distB="0" distL="114300" distR="114300">
            <wp:extent cx="4603115" cy="3362960"/>
            <wp:effectExtent l="4445" t="4445" r="21590" b="2349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1.因公出国（境）经费支出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万元，完成预算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%。全年安排因公出国（境）团组</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次，出国（境）</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人。因公出国（境）支出决算比2017年增加/减少</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万元，增长/下降</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%。主要原因是</w:t>
      </w:r>
      <w:r>
        <w:rPr>
          <w:rFonts w:hint="eastAsia" w:ascii="仿宋_GB2312" w:hAnsi="仿宋_GB2312" w:eastAsia="仿宋_GB2312" w:cs="仿宋_GB2312"/>
          <w:sz w:val="28"/>
          <w:szCs w:val="28"/>
          <w:lang w:val="en-US" w:eastAsia="zh-CN"/>
        </w:rPr>
        <w:t>2018年我单位无因公出国（境）经费支出</w:t>
      </w:r>
      <w:r>
        <w:rPr>
          <w:rFonts w:hint="eastAsia" w:ascii="仿宋_GB2312" w:hAnsi="仿宋_GB2312" w:eastAsia="仿宋_GB2312" w:cs="仿宋_GB2312"/>
          <w:sz w:val="28"/>
          <w:szCs w:val="28"/>
        </w:rPr>
        <w:t>。</w:t>
      </w:r>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2.公务用车购置及运行维护费支出</w:t>
      </w:r>
      <w:r>
        <w:rPr>
          <w:rFonts w:hint="eastAsia" w:ascii="仿宋_GB2312" w:hAnsi="仿宋_GB2312" w:eastAsia="仿宋_GB2312" w:cs="仿宋_GB2312"/>
          <w:sz w:val="28"/>
          <w:szCs w:val="28"/>
          <w:lang w:val="en-US" w:eastAsia="zh-CN"/>
        </w:rPr>
        <w:t>6.98</w:t>
      </w:r>
      <w:r>
        <w:rPr>
          <w:rFonts w:hint="eastAsia" w:ascii="仿宋_GB2312" w:hAnsi="仿宋_GB2312" w:eastAsia="仿宋_GB2312" w:cs="仿宋_GB2312"/>
          <w:sz w:val="28"/>
          <w:szCs w:val="28"/>
        </w:rPr>
        <w:t>万元,完成预算</w:t>
      </w:r>
      <w:r>
        <w:rPr>
          <w:rFonts w:hint="eastAsia" w:ascii="仿宋_GB2312" w:hAnsi="仿宋_GB2312" w:eastAsia="仿宋_GB2312" w:cs="仿宋_GB2312"/>
          <w:sz w:val="28"/>
          <w:szCs w:val="28"/>
          <w:lang w:val="en-US" w:eastAsia="zh-CN"/>
        </w:rPr>
        <w:t>38.78</w:t>
      </w:r>
      <w:r>
        <w:rPr>
          <w:rFonts w:hint="eastAsia" w:ascii="仿宋_GB2312" w:hAnsi="仿宋_GB2312" w:eastAsia="仿宋_GB2312" w:cs="仿宋_GB2312"/>
          <w:sz w:val="28"/>
          <w:szCs w:val="28"/>
        </w:rPr>
        <w:t>%。公务用车购置及运行维护费支出决算比2017年减少</w:t>
      </w:r>
      <w:r>
        <w:rPr>
          <w:rFonts w:hint="eastAsia" w:ascii="仿宋_GB2312" w:hAnsi="仿宋_GB2312" w:eastAsia="仿宋_GB2312" w:cs="仿宋_GB2312"/>
          <w:sz w:val="28"/>
          <w:szCs w:val="28"/>
          <w:lang w:val="en-US" w:eastAsia="zh-CN"/>
        </w:rPr>
        <w:t>0.8</w:t>
      </w:r>
      <w:r>
        <w:rPr>
          <w:rFonts w:hint="eastAsia" w:ascii="仿宋_GB2312" w:hAnsi="仿宋_GB2312" w:eastAsia="仿宋_GB2312" w:cs="仿宋_GB2312"/>
          <w:sz w:val="28"/>
          <w:szCs w:val="28"/>
        </w:rPr>
        <w:t>万元，下降</w:t>
      </w:r>
      <w:r>
        <w:rPr>
          <w:rFonts w:hint="eastAsia" w:ascii="仿宋_GB2312" w:hAnsi="仿宋_GB2312" w:eastAsia="仿宋_GB2312" w:cs="仿宋_GB2312"/>
          <w:sz w:val="28"/>
          <w:szCs w:val="28"/>
          <w:lang w:val="en-US" w:eastAsia="zh-CN"/>
        </w:rPr>
        <w:t>10.28</w:t>
      </w:r>
      <w:r>
        <w:rPr>
          <w:rFonts w:hint="eastAsia" w:ascii="仿宋_GB2312" w:hAnsi="仿宋_GB2312" w:eastAsia="仿宋_GB2312" w:cs="仿宋_GB2312"/>
          <w:sz w:val="28"/>
          <w:szCs w:val="28"/>
        </w:rPr>
        <w:t>%。主要原因是</w:t>
      </w:r>
      <w:r>
        <w:rPr>
          <w:rFonts w:hint="eastAsia" w:ascii="仿宋_GB2312" w:hAnsi="仿宋_GB2312" w:eastAsia="仿宋_GB2312" w:cs="仿宋_GB2312"/>
          <w:sz w:val="28"/>
          <w:szCs w:val="28"/>
          <w:lang w:val="en-US" w:eastAsia="zh-CN"/>
        </w:rPr>
        <w:t>2018年我单位厉行勤俭节约</w:t>
      </w:r>
      <w:r>
        <w:rPr>
          <w:rFonts w:hint="eastAsia" w:ascii="仿宋_GB2312" w:hAnsi="仿宋_GB2312" w:eastAsia="仿宋_GB2312" w:cs="仿宋_GB2312"/>
          <w:sz w:val="28"/>
          <w:szCs w:val="28"/>
        </w:rPr>
        <w:t>。</w:t>
      </w:r>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其中：公务用车购置支出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万元。全年按规定更新购置公务用车</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辆，其中：轿车</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辆、金额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万元，越野车</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辆、金额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万元，载客汽车</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辆、金额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万元，主要</w:t>
      </w:r>
      <w:r>
        <w:rPr>
          <w:rFonts w:hint="eastAsia" w:ascii="仿宋_GB2312" w:hAnsi="仿宋_GB2312" w:eastAsia="仿宋_GB2312" w:cs="仿宋_GB2312"/>
          <w:sz w:val="28"/>
          <w:szCs w:val="28"/>
          <w:lang w:eastAsia="zh-CN"/>
        </w:rPr>
        <w:t>由于我单位</w:t>
      </w:r>
      <w:r>
        <w:rPr>
          <w:rFonts w:hint="eastAsia" w:ascii="仿宋_GB2312" w:hAnsi="仿宋_GB2312" w:eastAsia="仿宋_GB2312" w:cs="仿宋_GB2312"/>
          <w:sz w:val="28"/>
          <w:szCs w:val="28"/>
          <w:lang w:val="en-US" w:eastAsia="zh-CN"/>
        </w:rPr>
        <w:t>2018年度无公务用车购置支出</w:t>
      </w:r>
      <w:r>
        <w:rPr>
          <w:rFonts w:hint="eastAsia" w:ascii="仿宋_GB2312" w:hAnsi="仿宋_GB2312" w:eastAsia="仿宋_GB2312" w:cs="仿宋_GB2312"/>
          <w:sz w:val="28"/>
          <w:szCs w:val="28"/>
        </w:rPr>
        <w:t>。截至2018年12月底，单位共有公务用车</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辆，其中：轿车</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辆、越野车</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辆、载客汽车</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辆。</w:t>
      </w:r>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公务用车运行维护费支出</w:t>
      </w:r>
      <w:r>
        <w:rPr>
          <w:rFonts w:hint="eastAsia" w:ascii="仿宋_GB2312" w:hAnsi="仿宋_GB2312" w:eastAsia="仿宋_GB2312" w:cs="仿宋_GB2312"/>
          <w:sz w:val="28"/>
          <w:szCs w:val="28"/>
          <w:lang w:val="en-US" w:eastAsia="zh-CN"/>
        </w:rPr>
        <w:t>6.98</w:t>
      </w:r>
      <w:r>
        <w:rPr>
          <w:rFonts w:hint="eastAsia" w:ascii="仿宋_GB2312" w:hAnsi="仿宋_GB2312" w:eastAsia="仿宋_GB2312" w:cs="仿宋_GB2312"/>
          <w:sz w:val="28"/>
          <w:szCs w:val="28"/>
        </w:rPr>
        <w:t>万元。主要用于</w:t>
      </w:r>
      <w:r>
        <w:rPr>
          <w:rFonts w:hint="eastAsia" w:ascii="仿宋_GB2312" w:hAnsi="仿宋_GB2312" w:eastAsia="仿宋_GB2312" w:cs="仿宋_GB2312"/>
          <w:sz w:val="28"/>
          <w:szCs w:val="28"/>
          <w:lang w:eastAsia="zh-CN"/>
        </w:rPr>
        <w:t>我单位房屋征收工作、安置工作、信访等工作</w:t>
      </w:r>
      <w:r>
        <w:rPr>
          <w:rFonts w:hint="eastAsia" w:ascii="仿宋_GB2312" w:hAnsi="仿宋_GB2312" w:eastAsia="仿宋_GB2312" w:cs="仿宋_GB2312"/>
          <w:sz w:val="28"/>
          <w:szCs w:val="28"/>
        </w:rPr>
        <w:t>所需的公务用车燃料费、维修费、过路过桥费、保险费等支出。</w:t>
      </w:r>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3.公务接待费支出</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万元，完成预算</w:t>
      </w:r>
      <w:r>
        <w:rPr>
          <w:rFonts w:hint="eastAsia" w:ascii="仿宋_GB2312" w:hAnsi="仿宋_GB2312" w:eastAsia="仿宋_GB2312" w:cs="仿宋_GB2312"/>
          <w:sz w:val="28"/>
          <w:szCs w:val="28"/>
          <w:lang w:val="en-US" w:eastAsia="zh-CN"/>
        </w:rPr>
        <w:t>37.78</w:t>
      </w:r>
      <w:r>
        <w:rPr>
          <w:rFonts w:hint="eastAsia" w:ascii="仿宋_GB2312" w:hAnsi="仿宋_GB2312" w:eastAsia="仿宋_GB2312" w:cs="仿宋_GB2312"/>
          <w:sz w:val="28"/>
          <w:szCs w:val="28"/>
        </w:rPr>
        <w:t>%。公务接待费支出决算比2017年减少</w:t>
      </w:r>
      <w:r>
        <w:rPr>
          <w:rFonts w:hint="eastAsia" w:ascii="仿宋_GB2312" w:hAnsi="仿宋_GB2312" w:eastAsia="仿宋_GB2312" w:cs="仿宋_GB2312"/>
          <w:sz w:val="28"/>
          <w:szCs w:val="28"/>
          <w:lang w:val="en-US" w:eastAsia="zh-CN"/>
        </w:rPr>
        <w:t>0.1</w:t>
      </w:r>
      <w:r>
        <w:rPr>
          <w:rFonts w:hint="eastAsia" w:ascii="仿宋_GB2312" w:hAnsi="仿宋_GB2312" w:eastAsia="仿宋_GB2312" w:cs="仿宋_GB2312"/>
          <w:sz w:val="28"/>
          <w:szCs w:val="28"/>
        </w:rPr>
        <w:t>万元，下降</w:t>
      </w:r>
      <w:r>
        <w:rPr>
          <w:rFonts w:hint="eastAsia" w:ascii="仿宋_GB2312" w:hAnsi="仿宋_GB2312" w:eastAsia="仿宋_GB2312" w:cs="仿宋_GB2312"/>
          <w:sz w:val="28"/>
          <w:szCs w:val="28"/>
          <w:lang w:val="en-US" w:eastAsia="zh-CN"/>
        </w:rPr>
        <w:t>5.56</w:t>
      </w:r>
      <w:r>
        <w:rPr>
          <w:rFonts w:hint="eastAsia" w:ascii="仿宋_GB2312" w:hAnsi="仿宋_GB2312" w:eastAsia="仿宋_GB2312" w:cs="仿宋_GB2312"/>
          <w:sz w:val="28"/>
          <w:szCs w:val="28"/>
        </w:rPr>
        <w:t>%。主要原因是</w:t>
      </w:r>
      <w:r>
        <w:rPr>
          <w:rFonts w:hint="eastAsia" w:ascii="仿宋_GB2312" w:hAnsi="仿宋_GB2312" w:eastAsia="仿宋_GB2312" w:cs="仿宋_GB2312"/>
          <w:sz w:val="28"/>
          <w:szCs w:val="28"/>
          <w:lang w:val="en-US" w:eastAsia="zh-CN"/>
        </w:rPr>
        <w:t>2018年我单位厉行节约，减少了公务接待费的支出</w:t>
      </w:r>
      <w:r>
        <w:rPr>
          <w:rFonts w:hint="eastAsia" w:ascii="仿宋_GB2312" w:hAnsi="仿宋_GB2312" w:eastAsia="仿宋_GB2312" w:cs="仿宋_GB2312"/>
          <w:sz w:val="28"/>
          <w:szCs w:val="28"/>
        </w:rPr>
        <w:t>。</w:t>
      </w:r>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主要用于执行公务、开展业务活动开支的交通费、住宿费、用餐费等。国内公务接待</w:t>
      </w:r>
      <w:r>
        <w:rPr>
          <w:rFonts w:hint="eastAsia" w:ascii="仿宋_GB2312" w:hAnsi="仿宋_GB2312" w:eastAsia="仿宋_GB2312" w:cs="仿宋_GB2312"/>
          <w:sz w:val="28"/>
          <w:szCs w:val="28"/>
          <w:lang w:val="en-US" w:eastAsia="zh-CN"/>
        </w:rPr>
        <w:t>32</w:t>
      </w:r>
      <w:r>
        <w:rPr>
          <w:rFonts w:hint="eastAsia" w:ascii="仿宋_GB2312" w:hAnsi="仿宋_GB2312" w:eastAsia="仿宋_GB2312" w:cs="仿宋_GB2312"/>
          <w:sz w:val="28"/>
          <w:szCs w:val="28"/>
        </w:rPr>
        <w:t>批次，</w:t>
      </w:r>
      <w:r>
        <w:rPr>
          <w:rFonts w:hint="eastAsia" w:ascii="仿宋_GB2312" w:hAnsi="仿宋_GB2312" w:eastAsia="仿宋_GB2312" w:cs="仿宋_GB2312"/>
          <w:sz w:val="28"/>
          <w:szCs w:val="28"/>
          <w:lang w:val="en-US" w:eastAsia="zh-CN"/>
        </w:rPr>
        <w:t>380</w:t>
      </w:r>
      <w:r>
        <w:rPr>
          <w:rFonts w:hint="eastAsia" w:ascii="仿宋_GB2312" w:hAnsi="仿宋_GB2312" w:eastAsia="仿宋_GB2312" w:cs="仿宋_GB2312"/>
          <w:sz w:val="28"/>
          <w:szCs w:val="28"/>
        </w:rPr>
        <w:t>人次（不包括陪同人员），共计支出</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万元，具体内容包括：房屋征收与安置、党建、脱贫攻坚等工作产生的业务招待费</w:t>
      </w:r>
      <w:r>
        <w:rPr>
          <w:rFonts w:hint="eastAsia" w:ascii="仿宋_GB2312" w:hAnsi="仿宋_GB2312" w:eastAsia="仿宋_GB2312" w:cs="仿宋_GB2312"/>
          <w:sz w:val="28"/>
          <w:szCs w:val="28"/>
          <w:lang w:eastAsia="zh-CN"/>
        </w:rPr>
        <w:t>及加班工作餐费</w:t>
      </w:r>
      <w:r>
        <w:rPr>
          <w:rFonts w:hint="eastAsia" w:ascii="仿宋_GB2312" w:hAnsi="仿宋_GB2312" w:eastAsia="仿宋_GB2312" w:cs="仿宋_GB2312"/>
          <w:sz w:val="28"/>
          <w:szCs w:val="28"/>
        </w:rPr>
        <w:t>。其中</w:t>
      </w:r>
      <w:r>
        <w:rPr>
          <w:rFonts w:hint="eastAsia" w:ascii="仿宋_GB2312" w:hAnsi="仿宋_GB2312" w:eastAsia="仿宋_GB2312" w:cs="仿宋_GB2312"/>
          <w:sz w:val="28"/>
          <w:szCs w:val="28"/>
          <w:lang w:eastAsia="zh-CN"/>
        </w:rPr>
        <w:t>加班工作餐费居多。</w:t>
      </w:r>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外事接待支出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万元，外事接待</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批次，</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人，共计支出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万元，其他国内公务接待支出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bookmarkStart w:id="46" w:name="_Toc15396610"/>
      <w:bookmarkStart w:id="47" w:name="_Toc15377218"/>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bidi w:val="0"/>
        <w:snapToGrid/>
        <w:spacing w:line="578" w:lineRule="exact"/>
        <w:ind w:right="0" w:rightChars="0" w:firstLine="640" w:firstLineChars="200"/>
        <w:textAlignment w:val="auto"/>
        <w:outlineLvl w:val="1"/>
        <w:rPr>
          <w:rStyle w:val="25"/>
          <w:rFonts w:ascii="黑体" w:hAnsi="黑体" w:eastAsia="黑体"/>
          <w:sz w:val="32"/>
          <w:szCs w:val="32"/>
        </w:rPr>
      </w:pPr>
      <w:r>
        <w:rPr>
          <w:rFonts w:hint="eastAsia" w:ascii="黑体" w:eastAsia="黑体"/>
          <w:color w:val="000000"/>
          <w:sz w:val="32"/>
          <w:szCs w:val="32"/>
        </w:rPr>
        <w:t>八、</w:t>
      </w:r>
      <w:r>
        <w:rPr>
          <w:rStyle w:val="25"/>
          <w:rFonts w:hint="eastAsia" w:ascii="黑体" w:hAnsi="黑体" w:eastAsia="黑体"/>
          <w:b w:val="0"/>
          <w:sz w:val="32"/>
          <w:szCs w:val="32"/>
        </w:rPr>
        <w:t>政府性基金预算支出决算情况说明</w:t>
      </w:r>
      <w:bookmarkEnd w:id="46"/>
      <w:bookmarkEnd w:id="47"/>
    </w:p>
    <w:p>
      <w:pPr>
        <w:keepNext w:val="0"/>
        <w:keepLines w:val="0"/>
        <w:pageBreakBefore w:val="0"/>
        <w:kinsoku/>
        <w:wordWrap/>
        <w:overflowPunct/>
        <w:topLinePunct w:val="0"/>
        <w:bidi w:val="0"/>
        <w:snapToGrid/>
        <w:spacing w:line="578" w:lineRule="exact"/>
        <w:ind w:right="0" w:rightChars="0" w:firstLine="602" w:firstLineChars="200"/>
        <w:textAlignment w:val="auto"/>
        <w:outlineLvl w:val="2"/>
        <w:rPr>
          <w:rFonts w:ascii="仿宋" w:hAnsi="仿宋" w:eastAsia="仿宋"/>
          <w:b/>
          <w:bCs w:val="0"/>
          <w:color w:val="000000"/>
          <w:sz w:val="30"/>
          <w:szCs w:val="30"/>
        </w:rPr>
      </w:pPr>
      <w:bookmarkStart w:id="48" w:name="_Toc15396611"/>
      <w:bookmarkStart w:id="49" w:name="_Toc15377219"/>
      <w:r>
        <w:rPr>
          <w:rFonts w:hint="eastAsia" w:ascii="仿宋" w:hAnsi="仿宋" w:eastAsia="仿宋"/>
          <w:b/>
          <w:bCs w:val="0"/>
          <w:color w:val="000000"/>
          <w:sz w:val="30"/>
          <w:szCs w:val="30"/>
        </w:rPr>
        <w:t>（一）</w:t>
      </w:r>
      <w:r>
        <w:rPr>
          <w:rFonts w:hint="eastAsia" w:ascii="仿宋" w:hAnsi="仿宋" w:eastAsia="仿宋"/>
          <w:b/>
          <w:bCs w:val="0"/>
          <w:color w:val="000000"/>
          <w:sz w:val="30"/>
          <w:szCs w:val="30"/>
          <w:lang w:val="en-US" w:eastAsia="zh-CN"/>
        </w:rPr>
        <w:t>政府性基金</w:t>
      </w:r>
      <w:r>
        <w:rPr>
          <w:rFonts w:hint="eastAsia" w:ascii="仿宋" w:hAnsi="仿宋" w:eastAsia="仿宋"/>
          <w:b/>
          <w:bCs w:val="0"/>
          <w:color w:val="000000"/>
          <w:sz w:val="30"/>
          <w:szCs w:val="30"/>
        </w:rPr>
        <w:t>预算财政拨款支出决算总体情况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2018年</w:t>
      </w:r>
      <w:r>
        <w:rPr>
          <w:rFonts w:hint="eastAsia" w:ascii="仿宋_GB2312" w:hAnsi="仿宋_GB2312" w:eastAsia="仿宋_GB2312" w:cs="仿宋_GB2312"/>
          <w:sz w:val="28"/>
          <w:szCs w:val="28"/>
          <w:lang w:val="en-US" w:eastAsia="zh-CN"/>
        </w:rPr>
        <w:t>政府性基金</w:t>
      </w:r>
      <w:r>
        <w:rPr>
          <w:rFonts w:hint="eastAsia" w:ascii="仿宋_GB2312" w:hAnsi="仿宋_GB2312" w:eastAsia="仿宋_GB2312" w:cs="仿宋_GB2312"/>
          <w:sz w:val="28"/>
          <w:szCs w:val="28"/>
        </w:rPr>
        <w:t>预算财政拨款支出</w:t>
      </w:r>
      <w:r>
        <w:rPr>
          <w:rFonts w:hint="eastAsia" w:ascii="仿宋_GB2312" w:hAnsi="仿宋_GB2312" w:eastAsia="仿宋_GB2312" w:cs="仿宋_GB2312"/>
          <w:sz w:val="28"/>
          <w:szCs w:val="28"/>
          <w:lang w:val="en-US" w:eastAsia="zh-CN"/>
        </w:rPr>
        <w:t>11795.89</w:t>
      </w:r>
      <w:r>
        <w:rPr>
          <w:rFonts w:hint="eastAsia" w:ascii="仿宋_GB2312" w:hAnsi="仿宋_GB2312" w:eastAsia="仿宋_GB2312" w:cs="仿宋_GB2312"/>
          <w:sz w:val="28"/>
          <w:szCs w:val="28"/>
        </w:rPr>
        <w:t>万元，占本年支出合计的</w:t>
      </w:r>
      <w:r>
        <w:rPr>
          <w:rFonts w:hint="eastAsia" w:ascii="仿宋_GB2312" w:hAnsi="仿宋_GB2312" w:eastAsia="仿宋_GB2312" w:cs="仿宋_GB2312"/>
          <w:sz w:val="28"/>
          <w:szCs w:val="28"/>
          <w:lang w:val="en-US" w:eastAsia="zh-CN"/>
        </w:rPr>
        <w:t>65.97</w:t>
      </w:r>
      <w:r>
        <w:rPr>
          <w:rFonts w:hint="eastAsia" w:ascii="仿宋_GB2312" w:hAnsi="仿宋_GB2312" w:eastAsia="仿宋_GB2312" w:cs="仿宋_GB2312"/>
          <w:sz w:val="28"/>
          <w:szCs w:val="28"/>
        </w:rPr>
        <w:t>%。与2017年相比，</w:t>
      </w:r>
      <w:r>
        <w:rPr>
          <w:rFonts w:hint="eastAsia" w:ascii="仿宋_GB2312" w:hAnsi="仿宋_GB2312" w:eastAsia="仿宋_GB2312" w:cs="仿宋_GB2312"/>
          <w:sz w:val="28"/>
          <w:szCs w:val="28"/>
          <w:lang w:val="en-US" w:eastAsia="zh-CN"/>
        </w:rPr>
        <w:t>政府性基金</w:t>
      </w:r>
      <w:r>
        <w:rPr>
          <w:rFonts w:hint="eastAsia" w:ascii="仿宋_GB2312" w:hAnsi="仿宋_GB2312" w:eastAsia="仿宋_GB2312" w:cs="仿宋_GB2312"/>
          <w:sz w:val="28"/>
          <w:szCs w:val="28"/>
        </w:rPr>
        <w:t>预算财政拨款增加</w:t>
      </w:r>
      <w:r>
        <w:rPr>
          <w:rFonts w:hint="eastAsia" w:ascii="仿宋_GB2312" w:hAnsi="仿宋_GB2312" w:eastAsia="仿宋_GB2312" w:cs="仿宋_GB2312"/>
          <w:sz w:val="28"/>
          <w:szCs w:val="28"/>
          <w:lang w:val="en-US" w:eastAsia="zh-CN"/>
        </w:rPr>
        <w:t>8359.79</w:t>
      </w:r>
      <w:r>
        <w:rPr>
          <w:rFonts w:hint="eastAsia" w:ascii="仿宋_GB2312" w:hAnsi="仿宋_GB2312" w:eastAsia="仿宋_GB2312" w:cs="仿宋_GB2312"/>
          <w:sz w:val="28"/>
          <w:szCs w:val="28"/>
        </w:rPr>
        <w:t>万元，增长</w:t>
      </w:r>
      <w:r>
        <w:rPr>
          <w:rFonts w:hint="eastAsia" w:ascii="仿宋_GB2312" w:hAnsi="仿宋_GB2312" w:eastAsia="仿宋_GB2312" w:cs="仿宋_GB2312"/>
          <w:sz w:val="28"/>
          <w:szCs w:val="28"/>
          <w:lang w:val="en-US" w:eastAsia="zh-CN"/>
        </w:rPr>
        <w:t>243.51</w:t>
      </w:r>
      <w:r>
        <w:rPr>
          <w:rFonts w:hint="eastAsia" w:ascii="仿宋_GB2312" w:hAnsi="仿宋_GB2312" w:eastAsia="仿宋_GB2312" w:cs="仿宋_GB2312"/>
          <w:sz w:val="28"/>
          <w:szCs w:val="28"/>
        </w:rPr>
        <w:t>%。主要变动原因是</w:t>
      </w:r>
      <w:r>
        <w:rPr>
          <w:rFonts w:hint="eastAsia" w:ascii="仿宋_GB2312" w:hAnsi="仿宋_GB2312" w:eastAsia="仿宋_GB2312" w:cs="仿宋_GB2312"/>
          <w:sz w:val="28"/>
          <w:szCs w:val="28"/>
          <w:lang w:val="en-US" w:eastAsia="zh-CN"/>
        </w:rPr>
        <w:t>2018年我单位大部分项目支出都纳入了政府性基金预算财政拨款支出。</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（图</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政府性基金</w:t>
      </w:r>
      <w:r>
        <w:rPr>
          <w:rFonts w:hint="eastAsia" w:ascii="仿宋_GB2312" w:hAnsi="仿宋_GB2312" w:eastAsia="仿宋_GB2312" w:cs="仿宋_GB2312"/>
          <w:sz w:val="28"/>
          <w:szCs w:val="28"/>
        </w:rPr>
        <w:t>预算财政拨款支出决算变动情况）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sz w:val="28"/>
          <w:szCs w:val="28"/>
        </w:rPr>
        <w:drawing>
          <wp:inline distT="0" distB="0" distL="114300" distR="114300">
            <wp:extent cx="4333240" cy="3248025"/>
            <wp:effectExtent l="4445" t="4445" r="5715" b="50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kinsoku/>
        <w:wordWrap/>
        <w:overflowPunct/>
        <w:topLinePunct w:val="0"/>
        <w:bidi w:val="0"/>
        <w:snapToGrid/>
        <w:spacing w:line="578" w:lineRule="exact"/>
        <w:ind w:right="0" w:rightChars="0" w:firstLine="602" w:firstLineChars="200"/>
        <w:textAlignment w:val="auto"/>
        <w:outlineLvl w:val="2"/>
        <w:rPr>
          <w:rFonts w:ascii="仿宋" w:hAnsi="仿宋" w:eastAsia="仿宋"/>
          <w:b/>
          <w:color w:val="000000"/>
          <w:sz w:val="30"/>
          <w:szCs w:val="30"/>
        </w:rPr>
      </w:pPr>
      <w:r>
        <w:rPr>
          <w:rFonts w:hint="eastAsia" w:ascii="仿宋" w:hAnsi="仿宋" w:eastAsia="仿宋"/>
          <w:b/>
          <w:color w:val="000000"/>
          <w:sz w:val="30"/>
          <w:szCs w:val="30"/>
        </w:rPr>
        <w:t>（二）</w:t>
      </w:r>
      <w:r>
        <w:rPr>
          <w:rFonts w:hint="eastAsia" w:ascii="仿宋" w:hAnsi="仿宋" w:eastAsia="仿宋"/>
          <w:b/>
          <w:color w:val="000000"/>
          <w:sz w:val="30"/>
          <w:szCs w:val="30"/>
          <w:lang w:val="en-US" w:eastAsia="zh-CN"/>
        </w:rPr>
        <w:t>政府性基金</w:t>
      </w:r>
      <w:r>
        <w:rPr>
          <w:rFonts w:hint="eastAsia" w:ascii="仿宋" w:hAnsi="仿宋" w:eastAsia="仿宋"/>
          <w:b/>
          <w:color w:val="000000"/>
          <w:sz w:val="30"/>
          <w:szCs w:val="30"/>
        </w:rPr>
        <w:t>预算财政拨款支出决算结构情况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2018年</w:t>
      </w:r>
      <w:r>
        <w:rPr>
          <w:rFonts w:hint="eastAsia" w:ascii="仿宋_GB2312" w:hAnsi="仿宋_GB2312" w:eastAsia="仿宋_GB2312" w:cs="仿宋_GB2312"/>
          <w:sz w:val="28"/>
          <w:szCs w:val="28"/>
          <w:lang w:val="en-US" w:eastAsia="zh-CN"/>
        </w:rPr>
        <w:t>政府性基金</w:t>
      </w:r>
      <w:r>
        <w:rPr>
          <w:rFonts w:hint="eastAsia" w:ascii="仿宋_GB2312" w:hAnsi="仿宋_GB2312" w:eastAsia="仿宋_GB2312" w:cs="仿宋_GB2312"/>
          <w:sz w:val="28"/>
          <w:szCs w:val="28"/>
        </w:rPr>
        <w:t>预算财政拨款支出</w:t>
      </w:r>
      <w:r>
        <w:rPr>
          <w:rFonts w:hint="eastAsia" w:ascii="仿宋_GB2312" w:hAnsi="仿宋_GB2312" w:eastAsia="仿宋_GB2312" w:cs="仿宋_GB2312"/>
          <w:sz w:val="28"/>
          <w:szCs w:val="28"/>
          <w:lang w:val="en-US" w:eastAsia="zh-CN"/>
        </w:rPr>
        <w:t>11795.89</w:t>
      </w:r>
      <w:r>
        <w:rPr>
          <w:rFonts w:hint="eastAsia" w:ascii="仿宋_GB2312" w:hAnsi="仿宋_GB2312" w:eastAsia="仿宋_GB2312" w:cs="仿宋_GB2312"/>
          <w:sz w:val="28"/>
          <w:szCs w:val="28"/>
        </w:rPr>
        <w:t>万元，主要用于以下方面:</w:t>
      </w:r>
      <w:r>
        <w:rPr>
          <w:rFonts w:hint="eastAsia" w:ascii="仿宋_GB2312" w:hAnsi="仿宋_GB2312" w:eastAsia="仿宋_GB2312" w:cs="仿宋_GB2312"/>
          <w:sz w:val="32"/>
          <w:szCs w:val="32"/>
        </w:rPr>
        <w:t>文化体育与传媒支出（</w:t>
      </w:r>
      <w:r>
        <w:rPr>
          <w:rFonts w:hint="eastAsia" w:ascii="仿宋_GB2312" w:hAnsi="仿宋_GB2312" w:eastAsia="仿宋_GB2312" w:cs="仿宋_GB2312"/>
          <w:sz w:val="32"/>
          <w:szCs w:val="32"/>
          <w:lang w:val="en-US" w:eastAsia="zh-CN"/>
        </w:rPr>
        <w:t>207</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%；农林水支出（</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%；商业服务业等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rPr>
        <w:t>城乡社区支出（</w:t>
      </w:r>
      <w:r>
        <w:rPr>
          <w:rFonts w:hint="eastAsia" w:ascii="仿宋_GB2312" w:hAnsi="仿宋_GB2312" w:eastAsia="仿宋_GB2312" w:cs="仿宋_GB2312"/>
          <w:sz w:val="28"/>
          <w:szCs w:val="28"/>
          <w:lang w:val="en-US" w:eastAsia="zh-CN"/>
        </w:rPr>
        <w:t>212</w:t>
      </w:r>
      <w:r>
        <w:rPr>
          <w:rFonts w:hint="eastAsia" w:ascii="仿宋_GB2312" w:hAnsi="仿宋_GB2312" w:eastAsia="仿宋_GB2312" w:cs="仿宋_GB2312"/>
          <w:sz w:val="28"/>
          <w:szCs w:val="28"/>
        </w:rPr>
        <w:t>）支出</w:t>
      </w:r>
      <w:r>
        <w:rPr>
          <w:rFonts w:hint="eastAsia" w:ascii="仿宋_GB2312" w:hAnsi="仿宋_GB2312" w:eastAsia="仿宋_GB2312" w:cs="仿宋_GB2312"/>
          <w:sz w:val="28"/>
          <w:szCs w:val="28"/>
          <w:lang w:val="en-US" w:eastAsia="zh-CN"/>
        </w:rPr>
        <w:t>11795.89</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840" w:firstLineChars="3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（图</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政府性基金</w:t>
      </w:r>
      <w:r>
        <w:rPr>
          <w:rFonts w:hint="eastAsia" w:ascii="仿宋_GB2312" w:hAnsi="仿宋_GB2312" w:eastAsia="仿宋_GB2312" w:cs="仿宋_GB2312"/>
          <w:sz w:val="28"/>
          <w:szCs w:val="28"/>
        </w:rPr>
        <w:t>预算财政拨款支出决算结构）</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sz w:val="28"/>
          <w:szCs w:val="28"/>
        </w:rPr>
        <w:drawing>
          <wp:inline distT="0" distB="0" distL="114300" distR="114300">
            <wp:extent cx="3971925" cy="2677160"/>
            <wp:effectExtent l="4445" t="4445" r="5080" b="2349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kinsoku/>
        <w:wordWrap/>
        <w:overflowPunct/>
        <w:topLinePunct w:val="0"/>
        <w:bidi w:val="0"/>
        <w:snapToGrid/>
        <w:spacing w:line="578" w:lineRule="exact"/>
        <w:ind w:right="0" w:rightChars="0" w:firstLine="602" w:firstLineChars="200"/>
        <w:textAlignment w:val="auto"/>
        <w:outlineLvl w:val="2"/>
        <w:rPr>
          <w:rFonts w:ascii="仿宋" w:hAnsi="仿宋" w:eastAsia="仿宋"/>
          <w:b/>
          <w:bCs w:val="0"/>
          <w:color w:val="000000"/>
          <w:sz w:val="30"/>
          <w:szCs w:val="30"/>
        </w:rPr>
      </w:pPr>
      <w:r>
        <w:rPr>
          <w:rFonts w:hint="eastAsia" w:ascii="仿宋" w:hAnsi="仿宋" w:eastAsia="仿宋"/>
          <w:b/>
          <w:bCs w:val="0"/>
          <w:color w:val="000000"/>
          <w:sz w:val="30"/>
          <w:szCs w:val="30"/>
        </w:rPr>
        <w:t>（三）</w:t>
      </w:r>
      <w:r>
        <w:rPr>
          <w:rFonts w:hint="eastAsia" w:ascii="仿宋" w:hAnsi="仿宋" w:eastAsia="仿宋"/>
          <w:b/>
          <w:bCs w:val="0"/>
          <w:color w:val="000000"/>
          <w:sz w:val="30"/>
          <w:szCs w:val="30"/>
          <w:lang w:val="en-US" w:eastAsia="zh-CN"/>
        </w:rPr>
        <w:t>政府性基金</w:t>
      </w:r>
      <w:r>
        <w:rPr>
          <w:rFonts w:hint="eastAsia" w:ascii="仿宋" w:hAnsi="仿宋" w:eastAsia="仿宋"/>
          <w:b/>
          <w:bCs w:val="0"/>
          <w:color w:val="000000"/>
          <w:sz w:val="30"/>
          <w:szCs w:val="30"/>
        </w:rPr>
        <w:t>预算财政拨款支出决算具体情况</w:t>
      </w:r>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2018年</w:t>
      </w:r>
      <w:r>
        <w:rPr>
          <w:rFonts w:hint="eastAsia" w:ascii="仿宋_GB2312" w:hAnsi="仿宋_GB2312" w:eastAsia="仿宋_GB2312" w:cs="仿宋_GB2312"/>
          <w:sz w:val="28"/>
          <w:szCs w:val="28"/>
          <w:lang w:val="en-US" w:eastAsia="zh-CN"/>
        </w:rPr>
        <w:t>政府性基金</w:t>
      </w:r>
      <w:r>
        <w:rPr>
          <w:rFonts w:hint="eastAsia" w:ascii="仿宋_GB2312" w:hAnsi="仿宋_GB2312" w:eastAsia="仿宋_GB2312" w:cs="仿宋_GB2312"/>
          <w:sz w:val="28"/>
          <w:szCs w:val="28"/>
        </w:rPr>
        <w:t>预算支出决算数为</w:t>
      </w:r>
      <w:r>
        <w:rPr>
          <w:rFonts w:hint="eastAsia" w:ascii="仿宋_GB2312" w:hAnsi="仿宋_GB2312" w:eastAsia="仿宋_GB2312" w:cs="仿宋_GB2312"/>
          <w:sz w:val="28"/>
          <w:szCs w:val="28"/>
          <w:lang w:val="en-US" w:eastAsia="zh-CN"/>
        </w:rPr>
        <w:t>11795.89万元</w:t>
      </w:r>
      <w:r>
        <w:rPr>
          <w:rFonts w:hint="eastAsia" w:ascii="仿宋_GB2312" w:hAnsi="仿宋_GB2312" w:eastAsia="仿宋_GB2312" w:cs="仿宋_GB2312"/>
          <w:sz w:val="28"/>
          <w:szCs w:val="28"/>
        </w:rPr>
        <w:t>，完成预算</w:t>
      </w:r>
      <w:r>
        <w:rPr>
          <w:rFonts w:hint="eastAsia" w:ascii="仿宋_GB2312" w:hAnsi="仿宋_GB2312" w:eastAsia="仿宋_GB2312" w:cs="仿宋_GB2312"/>
          <w:sz w:val="28"/>
          <w:szCs w:val="28"/>
          <w:lang w:val="en-US" w:eastAsia="zh-CN"/>
        </w:rPr>
        <w:t>92.34</w:t>
      </w:r>
      <w:r>
        <w:rPr>
          <w:rFonts w:hint="eastAsia" w:ascii="仿宋_GB2312" w:hAnsi="仿宋_GB2312" w:eastAsia="仿宋_GB2312" w:cs="仿宋_GB2312"/>
          <w:sz w:val="28"/>
          <w:szCs w:val="28"/>
        </w:rPr>
        <w:t>%。其中：</w:t>
      </w:r>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城乡社区支出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212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国有土地使用权出让收入及对应专项债务收入安排的支出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征地和拆迁补偿支出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01</w:t>
      </w:r>
      <w:r>
        <w:rPr>
          <w:rFonts w:hint="eastAsia" w:ascii="仿宋_GB2312" w:hAnsi="仿宋_GB2312" w:eastAsia="仿宋_GB2312" w:cs="仿宋_GB2312"/>
          <w:sz w:val="28"/>
          <w:szCs w:val="28"/>
        </w:rPr>
        <w:t>）:支出决算为</w:t>
      </w:r>
      <w:r>
        <w:rPr>
          <w:rFonts w:hint="eastAsia" w:ascii="仿宋_GB2312" w:hAnsi="仿宋_GB2312" w:eastAsia="仿宋_GB2312" w:cs="仿宋_GB2312"/>
          <w:sz w:val="28"/>
          <w:szCs w:val="28"/>
          <w:lang w:val="en-US" w:eastAsia="zh-CN"/>
        </w:rPr>
        <w:t>8160.07</w:t>
      </w:r>
      <w:r>
        <w:rPr>
          <w:rFonts w:hint="eastAsia" w:ascii="仿宋_GB2312" w:hAnsi="仿宋_GB2312" w:eastAsia="仿宋_GB2312" w:cs="仿宋_GB2312"/>
          <w:sz w:val="28"/>
          <w:szCs w:val="28"/>
        </w:rPr>
        <w:t>万元，完成预算</w:t>
      </w:r>
      <w:r>
        <w:rPr>
          <w:rFonts w:hint="eastAsia" w:ascii="仿宋_GB2312" w:hAnsi="仿宋_GB2312" w:eastAsia="仿宋_GB2312" w:cs="仿宋_GB2312"/>
          <w:sz w:val="28"/>
          <w:szCs w:val="28"/>
          <w:lang w:val="en-US" w:eastAsia="zh-CN"/>
        </w:rPr>
        <w:t>74.92</w:t>
      </w:r>
      <w:r>
        <w:rPr>
          <w:rFonts w:hint="eastAsia" w:ascii="仿宋_GB2312" w:hAnsi="仿宋_GB2312" w:eastAsia="仿宋_GB2312" w:cs="仿宋_GB2312"/>
          <w:sz w:val="28"/>
          <w:szCs w:val="28"/>
        </w:rPr>
        <w:t>%，决算数小于预算数的主要原因是</w:t>
      </w:r>
      <w:r>
        <w:rPr>
          <w:rFonts w:hint="eastAsia" w:ascii="仿宋_GB2312" w:hAnsi="仿宋_GB2312" w:eastAsia="仿宋_GB2312" w:cs="仿宋_GB2312"/>
          <w:sz w:val="28"/>
          <w:szCs w:val="28"/>
          <w:lang w:eastAsia="zh-CN"/>
        </w:rPr>
        <w:t>由于支出经济科目的差异</w:t>
      </w:r>
      <w:r>
        <w:rPr>
          <w:rFonts w:hint="eastAsia" w:ascii="仿宋_GB2312" w:hAnsi="仿宋_GB2312" w:eastAsia="仿宋_GB2312" w:cs="仿宋_GB2312"/>
          <w:sz w:val="28"/>
          <w:szCs w:val="28"/>
        </w:rPr>
        <w:t>。</w:t>
      </w:r>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2.城乡社区支出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212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国有土地使用权出让收入及对应专项债务收入安排的支出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土地开发支出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02</w:t>
      </w:r>
      <w:r>
        <w:rPr>
          <w:rFonts w:hint="eastAsia" w:ascii="仿宋_GB2312" w:hAnsi="仿宋_GB2312" w:eastAsia="仿宋_GB2312" w:cs="仿宋_GB2312"/>
          <w:sz w:val="28"/>
          <w:szCs w:val="28"/>
        </w:rPr>
        <w:t>）:支出决算为</w:t>
      </w:r>
      <w:r>
        <w:rPr>
          <w:rFonts w:hint="eastAsia" w:ascii="仿宋_GB2312" w:hAnsi="仿宋_GB2312" w:eastAsia="仿宋_GB2312" w:cs="仿宋_GB2312"/>
          <w:sz w:val="28"/>
          <w:szCs w:val="28"/>
          <w:lang w:val="en-US" w:eastAsia="zh-CN"/>
        </w:rPr>
        <w:t>1881.82</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预算数为</w:t>
      </w:r>
      <w:r>
        <w:rPr>
          <w:rFonts w:hint="eastAsia" w:ascii="仿宋_GB2312" w:hAnsi="仿宋_GB2312" w:eastAsia="仿宋_GB2312" w:cs="仿宋_GB2312"/>
          <w:sz w:val="28"/>
          <w:szCs w:val="28"/>
          <w:lang w:val="en-US" w:eastAsia="zh-CN"/>
        </w:rPr>
        <w:t>0万元，</w:t>
      </w:r>
      <w:r>
        <w:rPr>
          <w:rFonts w:hint="eastAsia" w:ascii="仿宋_GB2312" w:hAnsi="仿宋_GB2312" w:eastAsia="仿宋_GB2312" w:cs="仿宋_GB2312"/>
          <w:sz w:val="28"/>
          <w:szCs w:val="28"/>
        </w:rPr>
        <w:t>决算数</w:t>
      </w:r>
      <w:r>
        <w:rPr>
          <w:rFonts w:hint="eastAsia" w:ascii="仿宋_GB2312" w:hAnsi="仿宋_GB2312" w:eastAsia="仿宋_GB2312" w:cs="仿宋_GB2312"/>
          <w:sz w:val="28"/>
          <w:szCs w:val="28"/>
          <w:lang w:eastAsia="zh-CN"/>
        </w:rPr>
        <w:t>大</w:t>
      </w:r>
      <w:r>
        <w:rPr>
          <w:rFonts w:hint="eastAsia" w:ascii="仿宋_GB2312" w:hAnsi="仿宋_GB2312" w:eastAsia="仿宋_GB2312" w:cs="仿宋_GB2312"/>
          <w:sz w:val="28"/>
          <w:szCs w:val="28"/>
        </w:rPr>
        <w:t>于预算数的主要原因是</w:t>
      </w:r>
      <w:r>
        <w:rPr>
          <w:rFonts w:hint="eastAsia" w:ascii="仿宋_GB2312" w:hAnsi="仿宋_GB2312" w:eastAsia="仿宋_GB2312" w:cs="仿宋_GB2312"/>
          <w:sz w:val="28"/>
          <w:szCs w:val="28"/>
          <w:lang w:eastAsia="zh-CN"/>
        </w:rPr>
        <w:t>由于支出经济科目的差异</w:t>
      </w:r>
      <w:r>
        <w:rPr>
          <w:rFonts w:hint="eastAsia" w:ascii="仿宋_GB2312" w:hAnsi="仿宋_GB2312" w:eastAsia="仿宋_GB2312" w:cs="仿宋_GB2312"/>
          <w:sz w:val="28"/>
          <w:szCs w:val="28"/>
        </w:rPr>
        <w:t>。</w:t>
      </w:r>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3.城乡社区支出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212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国有土地使收益基金及对应专项债务收入安排的支出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征地和拆迁补偿支出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01</w:t>
      </w:r>
      <w:r>
        <w:rPr>
          <w:rFonts w:hint="eastAsia" w:ascii="仿宋_GB2312" w:hAnsi="仿宋_GB2312" w:eastAsia="仿宋_GB2312" w:cs="仿宋_GB2312"/>
          <w:sz w:val="28"/>
          <w:szCs w:val="28"/>
        </w:rPr>
        <w:t>）:支出决算为</w:t>
      </w:r>
      <w:r>
        <w:rPr>
          <w:rFonts w:hint="eastAsia" w:ascii="仿宋_GB2312" w:hAnsi="仿宋_GB2312" w:eastAsia="仿宋_GB2312" w:cs="仿宋_GB2312"/>
          <w:sz w:val="28"/>
          <w:szCs w:val="28"/>
          <w:lang w:val="en-US" w:eastAsia="zh-CN"/>
        </w:rPr>
        <w:t>1754.00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预算数为</w:t>
      </w:r>
      <w:r>
        <w:rPr>
          <w:rFonts w:hint="eastAsia" w:ascii="仿宋_GB2312" w:hAnsi="仿宋_GB2312" w:eastAsia="仿宋_GB2312" w:cs="仿宋_GB2312"/>
          <w:sz w:val="28"/>
          <w:szCs w:val="28"/>
          <w:lang w:val="en-US" w:eastAsia="zh-CN"/>
        </w:rPr>
        <w:t>0万元，</w:t>
      </w:r>
      <w:r>
        <w:rPr>
          <w:rFonts w:hint="eastAsia" w:ascii="仿宋_GB2312" w:hAnsi="仿宋_GB2312" w:eastAsia="仿宋_GB2312" w:cs="仿宋_GB2312"/>
          <w:sz w:val="28"/>
          <w:szCs w:val="28"/>
        </w:rPr>
        <w:t>决算数</w:t>
      </w:r>
      <w:r>
        <w:rPr>
          <w:rFonts w:hint="eastAsia" w:ascii="仿宋_GB2312" w:hAnsi="仿宋_GB2312" w:eastAsia="仿宋_GB2312" w:cs="仿宋_GB2312"/>
          <w:sz w:val="28"/>
          <w:szCs w:val="28"/>
          <w:lang w:eastAsia="zh-CN"/>
        </w:rPr>
        <w:t>大</w:t>
      </w:r>
      <w:r>
        <w:rPr>
          <w:rFonts w:hint="eastAsia" w:ascii="仿宋_GB2312" w:hAnsi="仿宋_GB2312" w:eastAsia="仿宋_GB2312" w:cs="仿宋_GB2312"/>
          <w:sz w:val="28"/>
          <w:szCs w:val="28"/>
        </w:rPr>
        <w:t>于预算数的主要原因是</w:t>
      </w:r>
      <w:r>
        <w:rPr>
          <w:rFonts w:hint="eastAsia" w:ascii="仿宋_GB2312" w:hAnsi="仿宋_GB2312" w:eastAsia="仿宋_GB2312" w:cs="仿宋_GB2312"/>
          <w:sz w:val="28"/>
          <w:szCs w:val="28"/>
          <w:lang w:eastAsia="zh-CN"/>
        </w:rPr>
        <w:t>由于支出经济科目的差异。</w:t>
      </w:r>
    </w:p>
    <w:p>
      <w:pPr>
        <w:keepNext w:val="0"/>
        <w:keepLines w:val="0"/>
        <w:pageBreakBefore w:val="0"/>
        <w:numPr>
          <w:ilvl w:val="0"/>
          <w:numId w:val="2"/>
        </w:numPr>
        <w:kinsoku/>
        <w:wordWrap/>
        <w:overflowPunct/>
        <w:topLinePunct w:val="0"/>
        <w:bidi w:val="0"/>
        <w:snapToGrid/>
        <w:spacing w:line="578" w:lineRule="exact"/>
        <w:ind w:right="0" w:rightChars="0" w:firstLine="640" w:firstLineChars="200"/>
        <w:textAlignment w:val="auto"/>
        <w:outlineLvl w:val="1"/>
        <w:rPr>
          <w:rStyle w:val="25"/>
          <w:rFonts w:ascii="黑体" w:hAnsi="黑体" w:eastAsia="黑体"/>
          <w:b w:val="0"/>
          <w:sz w:val="32"/>
          <w:szCs w:val="32"/>
        </w:rPr>
      </w:pPr>
      <w:r>
        <w:rPr>
          <w:rStyle w:val="25"/>
          <w:rFonts w:hint="eastAsia" w:ascii="黑体" w:hAnsi="黑体" w:eastAsia="黑体"/>
          <w:b w:val="0"/>
          <w:sz w:val="32"/>
          <w:szCs w:val="32"/>
        </w:rPr>
        <w:t>国有资本经营预算支出决算情况说明</w:t>
      </w:r>
      <w:bookmarkEnd w:id="48"/>
      <w:bookmarkEnd w:id="49"/>
    </w:p>
    <w:p>
      <w:pPr>
        <w:keepNext w:val="0"/>
        <w:keepLines w:val="0"/>
        <w:pageBreakBefore w:val="0"/>
        <w:kinsoku/>
        <w:wordWrap/>
        <w:overflowPunct/>
        <w:topLinePunct w:val="0"/>
        <w:bidi w:val="0"/>
        <w:snapToGrid/>
        <w:spacing w:line="578" w:lineRule="exact"/>
        <w:ind w:right="0" w:rightChars="0" w:firstLine="560" w:firstLineChars="200"/>
        <w:textAlignment w:val="auto"/>
        <w:rPr>
          <w:rFonts w:ascii="仿宋_GB2312" w:eastAsia="仿宋_GB2312"/>
          <w:color w:val="000000"/>
          <w:sz w:val="28"/>
          <w:szCs w:val="28"/>
        </w:rPr>
      </w:pPr>
      <w:r>
        <w:rPr>
          <w:rFonts w:hint="eastAsia" w:ascii="仿宋_GB2312" w:hAnsi="仿宋_GB2312" w:eastAsia="仿宋_GB2312" w:cs="仿宋_GB2312"/>
          <w:sz w:val="28"/>
          <w:szCs w:val="28"/>
        </w:rPr>
        <w:t>2018年国有资本经营预算拨款支出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p>
    <w:p>
      <w:pPr>
        <w:pStyle w:val="23"/>
        <w:keepNext w:val="0"/>
        <w:keepLines w:val="0"/>
        <w:pageBreakBefore w:val="0"/>
        <w:numPr>
          <w:ilvl w:val="0"/>
          <w:numId w:val="0"/>
        </w:numPr>
        <w:kinsoku/>
        <w:wordWrap/>
        <w:overflowPunct/>
        <w:topLinePunct w:val="0"/>
        <w:bidi w:val="0"/>
        <w:snapToGrid/>
        <w:spacing w:line="578" w:lineRule="exact"/>
        <w:ind w:leftChars="200" w:right="0" w:rightChars="0" w:firstLine="280" w:firstLineChars="100"/>
        <w:textAlignment w:val="auto"/>
        <w:rPr>
          <w:rStyle w:val="25"/>
          <w:rFonts w:ascii="黑体" w:hAnsi="黑体" w:eastAsia="黑体"/>
          <w:b w:val="0"/>
          <w:sz w:val="28"/>
          <w:szCs w:val="28"/>
        </w:rPr>
      </w:pPr>
      <w:r>
        <w:rPr>
          <w:rStyle w:val="25"/>
          <w:rFonts w:hint="eastAsia" w:ascii="黑体" w:hAnsi="黑体" w:eastAsia="黑体"/>
          <w:b w:val="0"/>
          <w:sz w:val="28"/>
          <w:szCs w:val="28"/>
          <w:lang w:eastAsia="zh-CN"/>
        </w:rPr>
        <w:t>十、</w:t>
      </w:r>
      <w:r>
        <w:rPr>
          <w:rStyle w:val="25"/>
          <w:rFonts w:hint="eastAsia" w:ascii="黑体" w:hAnsi="黑体" w:eastAsia="黑体"/>
          <w:b w:val="0"/>
          <w:sz w:val="32"/>
          <w:szCs w:val="32"/>
        </w:rPr>
        <w:t>预算绩效情况说明</w:t>
      </w:r>
    </w:p>
    <w:p>
      <w:pPr>
        <w:keepNext w:val="0"/>
        <w:keepLines w:val="0"/>
        <w:pageBreakBefore w:val="0"/>
        <w:numPr>
          <w:ilvl w:val="0"/>
          <w:numId w:val="3"/>
        </w:numPr>
        <w:kinsoku/>
        <w:wordWrap/>
        <w:overflowPunct/>
        <w:topLinePunct w:val="0"/>
        <w:bidi w:val="0"/>
        <w:snapToGrid/>
        <w:spacing w:line="578" w:lineRule="exact"/>
        <w:ind w:right="0" w:rightChars="0" w:firstLine="602" w:firstLineChars="200"/>
        <w:textAlignment w:val="auto"/>
        <w:rPr>
          <w:rFonts w:ascii="仿宋" w:hAnsi="仿宋" w:eastAsia="仿宋" w:cs="楷体_GB2312"/>
          <w:b/>
          <w:bCs/>
          <w:sz w:val="30"/>
          <w:szCs w:val="30"/>
        </w:rPr>
      </w:pPr>
      <w:r>
        <w:rPr>
          <w:rFonts w:hint="eastAsia" w:ascii="仿宋" w:hAnsi="仿宋" w:eastAsia="仿宋" w:cs="楷体_GB2312"/>
          <w:b/>
          <w:bCs/>
          <w:sz w:val="30"/>
          <w:szCs w:val="30"/>
        </w:rPr>
        <w:t>预算绩效管理工作开展情况。</w:t>
      </w:r>
    </w:p>
    <w:p>
      <w:pPr>
        <w:keepNext w:val="0"/>
        <w:keepLines w:val="0"/>
        <w:pageBreakBefore w:val="0"/>
        <w:kinsoku/>
        <w:wordWrap/>
        <w:overflowPunct/>
        <w:topLinePunct w:val="0"/>
        <w:bidi w:val="0"/>
        <w:snapToGrid/>
        <w:spacing w:line="578" w:lineRule="exact"/>
        <w:ind w:right="0" w:righ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根据预算绩效管理要求，本单位在年初预算编制阶段，对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个项目编制了绩效目标，预算执行过程中，选取</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个项目开展绩效监控，年终执行完毕后，对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个项目开展了绩效目标完成情况梳理填报。</w:t>
      </w:r>
    </w:p>
    <w:p>
      <w:pPr>
        <w:keepNext w:val="0"/>
        <w:keepLines w:val="0"/>
        <w:pageBreakBefore w:val="0"/>
        <w:kinsoku/>
        <w:wordWrap/>
        <w:overflowPunct/>
        <w:topLinePunct w:val="0"/>
        <w:bidi w:val="0"/>
        <w:snapToGrid/>
        <w:spacing w:line="578" w:lineRule="exact"/>
        <w:ind w:right="0" w:righ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按要求组织了</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个项目绩效评价，从评价情况来看</w:t>
      </w:r>
      <w:r>
        <w:rPr>
          <w:rFonts w:hint="eastAsia" w:ascii="仿宋_GB2312" w:hAnsi="仿宋_GB2312" w:eastAsia="仿宋_GB2312" w:cs="仿宋_GB2312"/>
          <w:sz w:val="28"/>
          <w:szCs w:val="28"/>
          <w:lang w:val="zh-CN"/>
        </w:rPr>
        <w:t>截止201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底</w:t>
      </w:r>
      <w:r>
        <w:rPr>
          <w:rFonts w:hint="eastAsia" w:ascii="仿宋_GB2312" w:hAnsi="仿宋_GB2312" w:eastAsia="仿宋_GB2312" w:cs="仿宋_GB2312"/>
          <w:sz w:val="28"/>
          <w:szCs w:val="28"/>
          <w:lang w:val="zh-CN"/>
        </w:rPr>
        <w:t>景观大道拆迁安置房建设项目已基本完成，其完工进度与原定计划基本相符，于</w:t>
      </w:r>
      <w:r>
        <w:rPr>
          <w:rFonts w:hint="eastAsia" w:ascii="仿宋_GB2312" w:hAnsi="仿宋_GB2312" w:eastAsia="仿宋_GB2312" w:cs="仿宋_GB2312"/>
          <w:sz w:val="28"/>
          <w:szCs w:val="28"/>
          <w:lang w:val="en-US" w:eastAsia="zh-CN"/>
        </w:rPr>
        <w:t>2018年大竹县审计局对大竹县景观大道安置建设工程、大竹县护城河拆迁安置房教师新村二期工程（一、三标段）进行了竣工结算审计，并出具了审计报告。</w:t>
      </w:r>
      <w:r>
        <w:rPr>
          <w:rFonts w:hint="eastAsia" w:ascii="仿宋_GB2312" w:hAnsi="仿宋_GB2312" w:eastAsia="仿宋_GB2312" w:cs="仿宋_GB2312"/>
          <w:sz w:val="28"/>
          <w:szCs w:val="28"/>
          <w:lang w:val="zh-CN"/>
        </w:rPr>
        <w:t>并于</w:t>
      </w:r>
      <w:r>
        <w:rPr>
          <w:rFonts w:hint="eastAsia" w:ascii="仿宋_GB2312" w:hAnsi="仿宋_GB2312" w:eastAsia="仿宋_GB2312" w:cs="仿宋_GB2312"/>
          <w:sz w:val="28"/>
          <w:szCs w:val="28"/>
          <w:lang w:eastAsia="zh-CN"/>
        </w:rPr>
        <w:t>且该项目的效益情况较好。</w:t>
      </w:r>
    </w:p>
    <w:p>
      <w:pPr>
        <w:keepNext w:val="0"/>
        <w:keepLines w:val="0"/>
        <w:pageBreakBefore w:val="0"/>
        <w:numPr>
          <w:ilvl w:val="0"/>
          <w:numId w:val="3"/>
        </w:numPr>
        <w:kinsoku/>
        <w:wordWrap/>
        <w:overflowPunct/>
        <w:topLinePunct w:val="0"/>
        <w:bidi w:val="0"/>
        <w:snapToGrid/>
        <w:spacing w:line="578" w:lineRule="exact"/>
        <w:ind w:right="0" w:rightChars="0" w:firstLine="602" w:firstLineChars="200"/>
        <w:textAlignment w:val="auto"/>
        <w:rPr>
          <w:rFonts w:ascii="仿宋_GB2312" w:hAnsi="仿宋_GB2312" w:eastAsia="仿宋_GB2312" w:cs="仿宋_GB2312"/>
          <w:sz w:val="28"/>
          <w:szCs w:val="28"/>
        </w:rPr>
      </w:pPr>
      <w:r>
        <w:rPr>
          <w:rFonts w:hint="eastAsia" w:ascii="仿宋" w:hAnsi="仿宋" w:eastAsia="仿宋" w:cs="楷体_GB2312"/>
          <w:b/>
          <w:bCs/>
          <w:sz w:val="30"/>
          <w:szCs w:val="30"/>
        </w:rPr>
        <w:t>项目绩效目标完成情况。</w:t>
      </w:r>
      <w:r>
        <w:rPr>
          <w:rFonts w:hint="eastAsia" w:ascii="楷体_GB2312" w:hAnsi="楷体_GB2312" w:eastAsia="楷体_GB2312" w:cs="楷体_GB2312"/>
          <w:b/>
          <w:bCs/>
          <w:sz w:val="28"/>
          <w:szCs w:val="28"/>
        </w:rPr>
        <w:br w:type="textWrapping"/>
      </w:r>
      <w:r>
        <w:rPr>
          <w:rFonts w:hint="eastAsia" w:ascii="仿宋_GB2312" w:hAnsi="仿宋_GB2312" w:eastAsia="仿宋_GB2312" w:cs="仿宋_GB2312"/>
          <w:sz w:val="28"/>
          <w:szCs w:val="28"/>
        </w:rPr>
        <w:t xml:space="preserve">    本部门在2018年度部门决算中反映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个项目绩效目标实际完成情况。</w:t>
      </w:r>
    </w:p>
    <w:p>
      <w:pPr>
        <w:keepNext w:val="0"/>
        <w:keepLines w:val="0"/>
        <w:pageBreakBefore w:val="0"/>
        <w:numPr>
          <w:ilvl w:val="0"/>
          <w:numId w:val="3"/>
        </w:numPr>
        <w:kinsoku/>
        <w:wordWrap/>
        <w:overflowPunct/>
        <w:topLinePunct w:val="0"/>
        <w:bidi w:val="0"/>
        <w:snapToGrid/>
        <w:spacing w:line="578" w:lineRule="exact"/>
        <w:ind w:right="0" w:rightChars="0" w:firstLine="602" w:firstLineChars="200"/>
        <w:textAlignment w:val="auto"/>
        <w:rPr>
          <w:rFonts w:ascii="仿宋" w:hAnsi="仿宋" w:eastAsia="仿宋" w:cs="仿宋_GB2312"/>
          <w:sz w:val="30"/>
          <w:szCs w:val="30"/>
        </w:rPr>
      </w:pPr>
      <w:r>
        <w:rPr>
          <w:rFonts w:hint="eastAsia" w:ascii="仿宋" w:hAnsi="仿宋" w:eastAsia="仿宋" w:cs="楷体_GB2312"/>
          <w:b/>
          <w:bCs/>
          <w:sz w:val="30"/>
          <w:szCs w:val="30"/>
        </w:rPr>
        <w:t>部门开展绩效评价结果。</w:t>
      </w:r>
    </w:p>
    <w:p>
      <w:pPr>
        <w:keepNext w:val="0"/>
        <w:keepLines w:val="0"/>
        <w:pageBreakBefore w:val="0"/>
        <w:kinsoku/>
        <w:wordWrap/>
        <w:overflowPunct/>
        <w:topLinePunct w:val="0"/>
        <w:bidi w:val="0"/>
        <w:snapToGrid/>
        <w:spacing w:line="578" w:lineRule="exact"/>
        <w:ind w:right="0" w:rightChars="0" w:firstLine="560" w:firstLineChars="200"/>
        <w:textAlignment w:val="auto"/>
        <w:rPr>
          <w:rFonts w:ascii="方正小标宋简体" w:hAnsi="方正小标宋简体" w:eastAsia="方正小标宋简体" w:cs="方正小标宋简体"/>
          <w:sz w:val="28"/>
          <w:szCs w:val="28"/>
        </w:rPr>
      </w:pPr>
      <w:r>
        <w:rPr>
          <w:rFonts w:hint="eastAsia" w:ascii="仿宋_GB2312" w:hAnsi="仿宋_GB2312" w:eastAsia="仿宋_GB2312" w:cs="仿宋_GB2312"/>
          <w:sz w:val="28"/>
          <w:szCs w:val="28"/>
        </w:rPr>
        <w:t>本部门自行组织对</w:t>
      </w:r>
      <w:r>
        <w:rPr>
          <w:rFonts w:hint="eastAsia" w:ascii="仿宋_GB2312" w:hAnsi="仿宋_GB2312" w:eastAsia="仿宋_GB2312" w:cs="仿宋_GB2312"/>
          <w:sz w:val="28"/>
          <w:szCs w:val="28"/>
          <w:lang w:val="zh-CN"/>
        </w:rPr>
        <w:t>景观大道拆迁安置房建设</w:t>
      </w:r>
      <w:r>
        <w:rPr>
          <w:rFonts w:hint="eastAsia" w:ascii="仿宋_GB2312" w:hAnsi="仿宋_GB2312" w:eastAsia="仿宋_GB2312" w:cs="仿宋_GB2312"/>
          <w:sz w:val="28"/>
          <w:szCs w:val="28"/>
        </w:rPr>
        <w:t>项目开展了绩效评价，《</w:t>
      </w:r>
      <w:r>
        <w:rPr>
          <w:rFonts w:hint="eastAsia" w:ascii="仿宋_GB2312" w:hAnsi="仿宋_GB2312" w:eastAsia="仿宋_GB2312" w:cs="仿宋_GB2312"/>
          <w:sz w:val="28"/>
          <w:szCs w:val="28"/>
          <w:lang w:eastAsia="zh-CN"/>
        </w:rPr>
        <w:t>景观大道拆迁安置房</w:t>
      </w:r>
      <w:r>
        <w:rPr>
          <w:rFonts w:hint="eastAsia" w:ascii="仿宋_GB2312" w:hAnsi="仿宋_GB2312" w:eastAsia="仿宋_GB2312" w:cs="仿宋_GB2312"/>
          <w:sz w:val="28"/>
          <w:szCs w:val="28"/>
        </w:rPr>
        <w:t>项目2018年绩效评价报告》见附件。</w:t>
      </w:r>
    </w:p>
    <w:p>
      <w:pPr>
        <w:keepNext w:val="0"/>
        <w:keepLines w:val="0"/>
        <w:pageBreakBefore w:val="0"/>
        <w:kinsoku/>
        <w:wordWrap/>
        <w:overflowPunct/>
        <w:topLinePunct w:val="0"/>
        <w:bidi w:val="0"/>
        <w:snapToGrid/>
        <w:spacing w:line="578" w:lineRule="exact"/>
        <w:ind w:right="0" w:rightChars="0" w:firstLine="640" w:firstLineChars="200"/>
        <w:textAlignment w:val="auto"/>
        <w:outlineLvl w:val="1"/>
        <w:rPr>
          <w:rStyle w:val="25"/>
          <w:rFonts w:ascii="黑体" w:hAnsi="黑体" w:eastAsia="黑体"/>
          <w:sz w:val="32"/>
          <w:szCs w:val="32"/>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sz w:val="32"/>
          <w:szCs w:val="32"/>
        </w:rPr>
        <w:t>一、</w:t>
      </w:r>
      <w:r>
        <w:rPr>
          <w:rStyle w:val="25"/>
          <w:rFonts w:hint="eastAsia" w:ascii="黑体" w:hAnsi="黑体" w:eastAsia="黑体"/>
          <w:b w:val="0"/>
          <w:sz w:val="32"/>
          <w:szCs w:val="32"/>
        </w:rPr>
        <w:t>其他重要事项的情况说明</w:t>
      </w:r>
      <w:bookmarkEnd w:id="50"/>
      <w:bookmarkEnd w:id="51"/>
    </w:p>
    <w:p>
      <w:pPr>
        <w:keepNext w:val="0"/>
        <w:keepLines w:val="0"/>
        <w:pageBreakBefore w:val="0"/>
        <w:kinsoku/>
        <w:wordWrap/>
        <w:overflowPunct/>
        <w:topLinePunct w:val="0"/>
        <w:bidi w:val="0"/>
        <w:snapToGrid/>
        <w:spacing w:line="578" w:lineRule="exact"/>
        <w:ind w:right="0" w:rightChars="0" w:firstLine="643" w:firstLineChars="200"/>
        <w:textAlignment w:val="auto"/>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大竹县房屋征收局</w:t>
      </w:r>
      <w:r>
        <w:rPr>
          <w:rFonts w:hint="eastAsia" w:ascii="仿宋_GB2312" w:hAnsi="仿宋_GB2312" w:eastAsia="仿宋_GB2312" w:cs="仿宋_GB2312"/>
          <w:sz w:val="28"/>
          <w:szCs w:val="28"/>
        </w:rPr>
        <w:t>机关</w:t>
      </w:r>
      <w:r>
        <w:rPr>
          <w:rFonts w:hint="eastAsia" w:ascii="仿宋_GB2312" w:hAnsi="仿宋_GB2312" w:eastAsia="仿宋_GB2312" w:cs="仿宋_GB2312"/>
          <w:sz w:val="28"/>
          <w:szCs w:val="28"/>
          <w:lang w:eastAsia="zh-CN"/>
        </w:rPr>
        <w:t>执行事业单位会计制度，无机关运行经费支出。</w:t>
      </w:r>
    </w:p>
    <w:p>
      <w:pPr>
        <w:keepNext w:val="0"/>
        <w:keepLines w:val="0"/>
        <w:pageBreakBefore w:val="0"/>
        <w:kinsoku/>
        <w:wordWrap/>
        <w:overflowPunct/>
        <w:topLinePunct w:val="0"/>
        <w:autoSpaceDE w:val="0"/>
        <w:autoSpaceDN w:val="0"/>
        <w:bidi w:val="0"/>
        <w:adjustRightInd w:val="0"/>
        <w:snapToGrid/>
        <w:spacing w:line="578" w:lineRule="exact"/>
        <w:ind w:right="0" w:rightChars="0" w:firstLine="602" w:firstLineChars="200"/>
        <w:jc w:val="left"/>
        <w:textAlignment w:val="auto"/>
        <w:outlineLvl w:val="2"/>
        <w:rPr>
          <w:rFonts w:ascii="仿宋" w:hAnsi="仿宋" w:eastAsia="仿宋"/>
          <w:b/>
          <w:color w:val="000000"/>
          <w:sz w:val="30"/>
          <w:szCs w:val="30"/>
        </w:rPr>
      </w:pPr>
      <w:bookmarkStart w:id="53" w:name="_Toc15377223"/>
      <w:r>
        <w:rPr>
          <w:rFonts w:hint="eastAsia" w:ascii="仿宋" w:hAnsi="仿宋" w:eastAsia="仿宋"/>
          <w:b/>
          <w:color w:val="000000"/>
          <w:sz w:val="30"/>
          <w:szCs w:val="30"/>
        </w:rPr>
        <w:t>（二）政府采购支出情况</w:t>
      </w:r>
      <w:bookmarkEnd w:id="53"/>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2018年，</w:t>
      </w:r>
      <w:r>
        <w:rPr>
          <w:rFonts w:hint="eastAsia" w:ascii="仿宋_GB2312" w:hAnsi="仿宋_GB2312" w:eastAsia="仿宋_GB2312" w:cs="仿宋_GB2312"/>
          <w:sz w:val="28"/>
          <w:szCs w:val="28"/>
          <w:lang w:eastAsia="zh-CN"/>
        </w:rPr>
        <w:t>大竹县房屋征收局</w:t>
      </w:r>
      <w:r>
        <w:rPr>
          <w:rFonts w:hint="eastAsia" w:ascii="仿宋_GB2312" w:hAnsi="仿宋_GB2312" w:eastAsia="仿宋_GB2312" w:cs="仿宋_GB2312"/>
          <w:sz w:val="28"/>
          <w:szCs w:val="28"/>
        </w:rPr>
        <w:t>政府采购支出总额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万元，其中：政府采购货物支出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万元、政府采购工程支出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万元、政府采购服务支出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万元。授予中小企业合同金额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万元，占政府采购支出总额的</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%，其中：授予小微企业合同金额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万元，占政府采购支出总额的</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val="0"/>
        <w:autoSpaceDN w:val="0"/>
        <w:bidi w:val="0"/>
        <w:adjustRightInd w:val="0"/>
        <w:snapToGrid/>
        <w:spacing w:line="578" w:lineRule="exact"/>
        <w:ind w:right="0" w:rightChars="0" w:firstLine="602" w:firstLineChars="200"/>
        <w:jc w:val="left"/>
        <w:textAlignment w:val="auto"/>
        <w:outlineLvl w:val="2"/>
        <w:rPr>
          <w:rFonts w:ascii="仿宋" w:hAnsi="仿宋" w:eastAsia="仿宋"/>
          <w:b/>
          <w:color w:val="000000"/>
          <w:sz w:val="30"/>
          <w:szCs w:val="30"/>
        </w:rPr>
      </w:pPr>
      <w:bookmarkStart w:id="54" w:name="_Toc15377224"/>
      <w:r>
        <w:rPr>
          <w:rFonts w:hint="eastAsia" w:ascii="仿宋" w:hAnsi="仿宋" w:eastAsia="仿宋"/>
          <w:b/>
          <w:color w:val="000000"/>
          <w:sz w:val="30"/>
          <w:szCs w:val="30"/>
        </w:rPr>
        <w:t>（三）国有资产占有使用情况</w:t>
      </w:r>
      <w:bookmarkEnd w:id="54"/>
    </w:p>
    <w:p>
      <w:pPr>
        <w:keepNext w:val="0"/>
        <w:keepLines w:val="0"/>
        <w:pageBreakBefore w:val="0"/>
        <w:kinsoku/>
        <w:wordWrap/>
        <w:overflowPunct/>
        <w:topLinePunct w:val="0"/>
        <w:bidi w:val="0"/>
        <w:snapToGrid/>
        <w:spacing w:line="578"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截至2018年12月31日，</w:t>
      </w:r>
      <w:r>
        <w:rPr>
          <w:rFonts w:hint="eastAsia" w:ascii="仿宋_GB2312" w:hAnsi="仿宋_GB2312" w:eastAsia="仿宋_GB2312" w:cs="仿宋_GB2312"/>
          <w:sz w:val="28"/>
          <w:szCs w:val="28"/>
          <w:lang w:eastAsia="zh-CN"/>
        </w:rPr>
        <w:t>大竹县房屋征收局</w:t>
      </w:r>
      <w:r>
        <w:rPr>
          <w:rFonts w:hint="eastAsia" w:ascii="仿宋_GB2312" w:hAnsi="仿宋_GB2312" w:eastAsia="仿宋_GB2312" w:cs="仿宋_GB2312"/>
          <w:sz w:val="28"/>
          <w:szCs w:val="28"/>
        </w:rPr>
        <w:t>共有车辆</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辆，其中：部级领导干部用车</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辆、一般公务用车</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辆、一般执法执勤用车</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辆、特种专业技术用车</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辆、其他用车</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辆，单价50万元以上通用设备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台（套），单价100万元以上专用设备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台（套）。</w:t>
      </w:r>
    </w:p>
    <w:p>
      <w:pPr>
        <w:keepNext w:val="0"/>
        <w:keepLines w:val="0"/>
        <w:pageBreakBefore w:val="0"/>
        <w:kinsoku/>
        <w:wordWrap/>
        <w:overflowPunct/>
        <w:topLinePunct w:val="0"/>
        <w:bidi w:val="0"/>
        <w:snapToGrid/>
        <w:spacing w:line="578" w:lineRule="exact"/>
        <w:ind w:right="0" w:rightChars="0"/>
        <w:textAlignment w:val="auto"/>
        <w:rPr>
          <w:rFonts w:hint="eastAsia" w:ascii="仿宋_GB2312" w:eastAsia="仿宋_GB2312"/>
          <w:b/>
          <w:color w:val="000000"/>
          <w:sz w:val="28"/>
          <w:szCs w:val="28"/>
          <w:lang w:eastAsia="zh-CN"/>
        </w:rPr>
      </w:pPr>
    </w:p>
    <w:p>
      <w:pPr>
        <w:pageBreakBefore w:val="0"/>
        <w:widowControl/>
        <w:kinsoku/>
        <w:wordWrap/>
        <w:overflowPunct/>
        <w:topLinePunct w:val="0"/>
        <w:bidi w:val="0"/>
        <w:ind w:firstLine="562" w:firstLineChars="200"/>
        <w:jc w:val="left"/>
        <w:textAlignment w:val="auto"/>
        <w:rPr>
          <w:rFonts w:ascii="仿宋_GB2312" w:eastAsia="仿宋_GB2312"/>
          <w:b/>
          <w:color w:val="000000"/>
          <w:sz w:val="28"/>
          <w:szCs w:val="28"/>
        </w:rPr>
      </w:pPr>
      <w:r>
        <w:rPr>
          <w:rFonts w:ascii="仿宋_GB2312" w:eastAsia="仿宋_GB2312"/>
          <w:b/>
          <w:color w:val="000000"/>
          <w:sz w:val="28"/>
          <w:szCs w:val="28"/>
        </w:rPr>
        <w:br w:type="page"/>
      </w:r>
    </w:p>
    <w:p>
      <w:pPr>
        <w:pageBreakBefore w:val="0"/>
        <w:numPr>
          <w:ilvl w:val="0"/>
          <w:numId w:val="4"/>
        </w:numPr>
        <w:kinsoku/>
        <w:wordWrap/>
        <w:overflowPunct/>
        <w:topLinePunct w:val="0"/>
        <w:bidi w:val="0"/>
        <w:spacing w:line="600" w:lineRule="exact"/>
        <w:ind w:firstLine="883" w:firstLineChars="200"/>
        <w:jc w:val="center"/>
        <w:textAlignment w:val="auto"/>
        <w:outlineLvl w:val="0"/>
        <w:rPr>
          <w:rStyle w:val="24"/>
          <w:rFonts w:ascii="黑体" w:hAnsi="黑体" w:eastAsia="黑体"/>
          <w:b w:val="0"/>
          <w:sz w:val="44"/>
          <w:szCs w:val="44"/>
        </w:rPr>
      </w:pPr>
      <w:bookmarkStart w:id="55" w:name="_Toc15377225"/>
      <w:bookmarkStart w:id="56" w:name="_Toc15396613"/>
      <w:r>
        <w:rPr>
          <w:rFonts w:hint="eastAsia" w:ascii="黑体" w:hAnsi="黑体" w:eastAsia="黑体"/>
          <w:b/>
          <w:color w:val="000000"/>
          <w:sz w:val="44"/>
          <w:szCs w:val="44"/>
        </w:rPr>
        <w:t>名</w:t>
      </w:r>
      <w:r>
        <w:rPr>
          <w:rStyle w:val="24"/>
          <w:rFonts w:hint="eastAsia" w:ascii="黑体" w:hAnsi="黑体" w:eastAsia="黑体"/>
          <w:b w:val="0"/>
          <w:sz w:val="44"/>
          <w:szCs w:val="44"/>
        </w:rPr>
        <w:t>词解释</w:t>
      </w:r>
      <w:bookmarkEnd w:id="55"/>
      <w:bookmarkEnd w:id="56"/>
    </w:p>
    <w:p>
      <w:pPr>
        <w:pageBreakBefore w:val="0"/>
        <w:kinsoku/>
        <w:wordWrap/>
        <w:overflowPunct/>
        <w:topLinePunct w:val="0"/>
        <w:bidi w:val="0"/>
        <w:spacing w:line="600" w:lineRule="exact"/>
        <w:ind w:firstLine="562" w:firstLineChars="200"/>
        <w:jc w:val="left"/>
        <w:textAlignment w:val="auto"/>
        <w:rPr>
          <w:rFonts w:ascii="宋体"/>
          <w:b/>
          <w:color w:val="000000"/>
          <w:sz w:val="28"/>
          <w:szCs w:val="28"/>
        </w:rPr>
      </w:pPr>
    </w:p>
    <w:p>
      <w:pPr>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1.财政拨款收入：指单位从同级财政部门取得的财政预算资金。</w:t>
      </w:r>
    </w:p>
    <w:p>
      <w:pPr>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2.事业收入：指事业单位开展专业业务活动及辅助活动取得的收入。</w:t>
      </w:r>
    </w:p>
    <w:p>
      <w:pPr>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3.经营收入：指事业单位在专业业务活动及其辅助活动之外开展非独立核算经营活动取得的收入。</w:t>
      </w:r>
    </w:p>
    <w:p>
      <w:pPr>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4.其他收入：指单位取得的除上述收入以外的各项收入。</w:t>
      </w:r>
    </w:p>
    <w:p>
      <w:pPr>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6.年初结转和结余：指以前年度尚未完成、结转到本年按有关规定继续使用的资金。 </w:t>
      </w:r>
    </w:p>
    <w:p>
      <w:pPr>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7.结余分配：指事业单位按照事业单位会计制度的规定从非财政补助结余中分配的事业基金和职工福利基金等。</w:t>
      </w:r>
    </w:p>
    <w:p>
      <w:pPr>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8、年末结转和结余：指单位按有关规定结转到下年或以后年度继续使用的资金。</w:t>
      </w:r>
    </w:p>
    <w:p>
      <w:pPr>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9.社会保障和就业（</w:t>
      </w:r>
      <w:r>
        <w:rPr>
          <w:rFonts w:hint="eastAsia" w:ascii="仿宋_GB2312" w:hAnsi="仿宋_GB2312" w:eastAsia="仿宋_GB2312" w:cs="仿宋_GB2312"/>
          <w:sz w:val="28"/>
          <w:szCs w:val="28"/>
          <w:lang w:val="en-US" w:eastAsia="zh-CN"/>
        </w:rPr>
        <w:t>208</w:t>
      </w:r>
      <w:r>
        <w:rPr>
          <w:rFonts w:hint="eastAsia" w:ascii="仿宋_GB2312" w:hAnsi="仿宋_GB2312" w:eastAsia="仿宋_GB2312" w:cs="仿宋_GB2312"/>
          <w:sz w:val="28"/>
          <w:szCs w:val="28"/>
        </w:rPr>
        <w:t>）行政事业单位离退休（</w:t>
      </w:r>
      <w:r>
        <w:rPr>
          <w:rFonts w:hint="eastAsia" w:ascii="仿宋_GB2312" w:hAnsi="仿宋_GB2312" w:eastAsia="仿宋_GB2312" w:cs="仿宋_GB2312"/>
          <w:sz w:val="28"/>
          <w:szCs w:val="28"/>
          <w:lang w:val="en-US" w:eastAsia="zh-CN"/>
        </w:rPr>
        <w:t>05</w:t>
      </w:r>
      <w:r>
        <w:rPr>
          <w:rFonts w:hint="eastAsia" w:ascii="仿宋_GB2312" w:hAnsi="仿宋_GB2312" w:eastAsia="仿宋_GB2312" w:cs="仿宋_GB2312"/>
          <w:sz w:val="28"/>
          <w:szCs w:val="28"/>
        </w:rPr>
        <w:t>）机关事业单位基本养老保险缴费支出（</w:t>
      </w:r>
      <w:r>
        <w:rPr>
          <w:rFonts w:hint="eastAsia" w:ascii="仿宋_GB2312" w:hAnsi="仿宋_GB2312" w:eastAsia="仿宋_GB2312" w:cs="仿宋_GB2312"/>
          <w:sz w:val="28"/>
          <w:szCs w:val="28"/>
          <w:lang w:val="en-US" w:eastAsia="zh-CN"/>
        </w:rPr>
        <w:t>05</w:t>
      </w:r>
      <w:r>
        <w:rPr>
          <w:rFonts w:hint="eastAsia" w:ascii="仿宋_GB2312" w:hAnsi="仿宋_GB2312" w:eastAsia="仿宋_GB2312" w:cs="仿宋_GB2312"/>
          <w:sz w:val="28"/>
          <w:szCs w:val="28"/>
        </w:rPr>
        <w:t>）：指机关事业单位实施养老保险制度由单位缴纳的基本养老保险支出。</w:t>
      </w:r>
    </w:p>
    <w:p>
      <w:pPr>
        <w:spacing w:line="60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社会保障和就业（208）行政事业单位离退休（05）事业单位离退休（02）：指反映实行归口管理的事业单位开支的离退休经费。</w:t>
      </w:r>
    </w:p>
    <w:p>
      <w:pPr>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.城乡社区（</w:t>
      </w:r>
      <w:r>
        <w:rPr>
          <w:rFonts w:hint="eastAsia" w:ascii="仿宋_GB2312" w:hAnsi="仿宋_GB2312" w:eastAsia="仿宋_GB2312" w:cs="仿宋_GB2312"/>
          <w:sz w:val="28"/>
          <w:szCs w:val="28"/>
          <w:lang w:val="en-US" w:eastAsia="zh-CN"/>
        </w:rPr>
        <w:t>212</w:t>
      </w:r>
      <w:r>
        <w:rPr>
          <w:rFonts w:hint="eastAsia" w:ascii="仿宋_GB2312" w:hAnsi="仿宋_GB2312" w:eastAsia="仿宋_GB2312" w:cs="仿宋_GB2312"/>
          <w:sz w:val="28"/>
          <w:szCs w:val="28"/>
        </w:rPr>
        <w:t>）城乡社区管理事务（</w:t>
      </w:r>
      <w:r>
        <w:rPr>
          <w:rFonts w:hint="eastAsia" w:ascii="仿宋_GB2312" w:hAnsi="仿宋_GB2312" w:eastAsia="仿宋_GB2312" w:cs="仿宋_GB2312"/>
          <w:sz w:val="28"/>
          <w:szCs w:val="28"/>
          <w:lang w:val="en-US" w:eastAsia="zh-CN"/>
        </w:rPr>
        <w:t>01</w:t>
      </w:r>
      <w:r>
        <w:rPr>
          <w:rFonts w:hint="eastAsia" w:ascii="仿宋_GB2312" w:hAnsi="仿宋_GB2312" w:eastAsia="仿宋_GB2312" w:cs="仿宋_GB2312"/>
          <w:sz w:val="28"/>
          <w:szCs w:val="28"/>
        </w:rPr>
        <w:t>）工程建设管理（</w:t>
      </w:r>
      <w:r>
        <w:rPr>
          <w:rFonts w:hint="eastAsia" w:ascii="仿宋_GB2312" w:hAnsi="仿宋_GB2312" w:eastAsia="仿宋_GB2312" w:cs="仿宋_GB2312"/>
          <w:sz w:val="28"/>
          <w:szCs w:val="28"/>
          <w:lang w:val="en-US" w:eastAsia="zh-CN"/>
        </w:rPr>
        <w:t>06</w:t>
      </w:r>
      <w:r>
        <w:rPr>
          <w:rFonts w:hint="eastAsia" w:ascii="仿宋_GB2312" w:hAnsi="仿宋_GB2312" w:eastAsia="仿宋_GB2312" w:cs="仿宋_GB2312"/>
          <w:sz w:val="28"/>
          <w:szCs w:val="28"/>
        </w:rPr>
        <w:t>）：指反映调控建设市场运行、拟定建设市场法规、实施建筑工程质量、安全、工程勘察设计监管等方面的支出。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.城乡社区（212）城乡社区公共设施（03）小城镇基础设施建设（03）：指反映用于小城镇路、气、水、电等基础建设方面的支出。</w:t>
      </w:r>
    </w:p>
    <w:p>
      <w:pPr>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.住房保障（</w:t>
      </w:r>
      <w:r>
        <w:rPr>
          <w:rFonts w:hint="eastAsia" w:ascii="仿宋_GB2312" w:hAnsi="仿宋_GB2312" w:eastAsia="仿宋_GB2312" w:cs="仿宋_GB2312"/>
          <w:sz w:val="28"/>
          <w:szCs w:val="28"/>
          <w:lang w:val="en-US" w:eastAsia="zh-CN"/>
        </w:rPr>
        <w:t>221</w:t>
      </w:r>
      <w:r>
        <w:rPr>
          <w:rFonts w:hint="eastAsia" w:ascii="仿宋_GB2312" w:hAnsi="仿宋_GB2312" w:eastAsia="仿宋_GB2312" w:cs="仿宋_GB2312"/>
          <w:sz w:val="28"/>
          <w:szCs w:val="28"/>
        </w:rPr>
        <w:t>）保障性安居工程支出（</w:t>
      </w:r>
      <w:r>
        <w:rPr>
          <w:rFonts w:hint="eastAsia" w:ascii="仿宋_GB2312" w:hAnsi="仿宋_GB2312" w:eastAsia="仿宋_GB2312" w:cs="仿宋_GB2312"/>
          <w:sz w:val="28"/>
          <w:szCs w:val="28"/>
          <w:lang w:val="en-US" w:eastAsia="zh-CN"/>
        </w:rPr>
        <w:t>01</w:t>
      </w:r>
      <w:r>
        <w:rPr>
          <w:rFonts w:hint="eastAsia" w:ascii="仿宋_GB2312" w:hAnsi="仿宋_GB2312" w:eastAsia="仿宋_GB2312" w:cs="仿宋_GB2312"/>
          <w:sz w:val="28"/>
          <w:szCs w:val="28"/>
        </w:rPr>
        <w:t>）棚户区改造（</w:t>
      </w:r>
      <w:r>
        <w:rPr>
          <w:rFonts w:hint="eastAsia" w:ascii="仿宋_GB2312" w:hAnsi="仿宋_GB2312" w:eastAsia="仿宋_GB2312" w:cs="仿宋_GB2312"/>
          <w:sz w:val="28"/>
          <w:szCs w:val="28"/>
          <w:lang w:val="en-US" w:eastAsia="zh-CN"/>
        </w:rPr>
        <w:t>03</w:t>
      </w:r>
      <w:r>
        <w:rPr>
          <w:rFonts w:hint="eastAsia" w:ascii="仿宋_GB2312" w:hAnsi="仿宋_GB2312" w:eastAsia="仿宋_GB2312" w:cs="仿宋_GB2312"/>
          <w:sz w:val="28"/>
          <w:szCs w:val="28"/>
        </w:rPr>
        <w:t>）：指反映棚户区改造方面的支出。</w:t>
      </w:r>
    </w:p>
    <w:p>
      <w:pPr>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住房保障（</w:t>
      </w:r>
      <w:r>
        <w:rPr>
          <w:rFonts w:hint="eastAsia" w:ascii="仿宋_GB2312" w:hAnsi="仿宋_GB2312" w:eastAsia="仿宋_GB2312" w:cs="仿宋_GB2312"/>
          <w:sz w:val="28"/>
          <w:szCs w:val="28"/>
          <w:lang w:val="en-US" w:eastAsia="zh-CN"/>
        </w:rPr>
        <w:t>221</w:t>
      </w:r>
      <w:r>
        <w:rPr>
          <w:rFonts w:hint="eastAsia" w:ascii="仿宋_GB2312" w:hAnsi="仿宋_GB2312" w:eastAsia="仿宋_GB2312" w:cs="仿宋_GB2312"/>
          <w:sz w:val="28"/>
          <w:szCs w:val="28"/>
        </w:rPr>
        <w:t>）住房改革支出（</w:t>
      </w:r>
      <w:r>
        <w:rPr>
          <w:rFonts w:hint="eastAsia" w:ascii="仿宋_GB2312" w:hAnsi="仿宋_GB2312" w:eastAsia="仿宋_GB2312" w:cs="仿宋_GB2312"/>
          <w:sz w:val="28"/>
          <w:szCs w:val="28"/>
          <w:lang w:val="en-US" w:eastAsia="zh-CN"/>
        </w:rPr>
        <w:t>02</w:t>
      </w:r>
      <w:r>
        <w:rPr>
          <w:rFonts w:hint="eastAsia" w:ascii="仿宋_GB2312" w:hAnsi="仿宋_GB2312" w:eastAsia="仿宋_GB2312" w:cs="仿宋_GB2312"/>
          <w:sz w:val="28"/>
          <w:szCs w:val="28"/>
        </w:rPr>
        <w:t>）住房公积金（</w:t>
      </w:r>
      <w:r>
        <w:rPr>
          <w:rFonts w:hint="eastAsia" w:ascii="仿宋_GB2312" w:hAnsi="仿宋_GB2312" w:eastAsia="仿宋_GB2312" w:cs="仿宋_GB2312"/>
          <w:sz w:val="28"/>
          <w:szCs w:val="28"/>
          <w:lang w:val="en-US" w:eastAsia="zh-CN"/>
        </w:rPr>
        <w:t>01</w:t>
      </w:r>
      <w:r>
        <w:rPr>
          <w:rFonts w:hint="eastAsia" w:ascii="仿宋_GB2312" w:hAnsi="仿宋_GB2312" w:eastAsia="仿宋_GB2312" w:cs="仿宋_GB2312"/>
          <w:sz w:val="28"/>
          <w:szCs w:val="28"/>
        </w:rPr>
        <w:t>）：指反映行政事业单位按人力资源和社会保障部、财政部规定的基本工资和津贴补贴以及规定比例为职工缴纳的住房公积金</w:t>
      </w:r>
      <w:r>
        <w:rPr>
          <w:rFonts w:hint="eastAsia" w:ascii="仿宋_GB2312" w:hAnsi="仿宋_GB2312" w:eastAsia="仿宋_GB2312" w:cs="仿宋_GB2312"/>
          <w:sz w:val="28"/>
          <w:szCs w:val="28"/>
          <w:lang w:eastAsia="zh-CN"/>
        </w:rPr>
        <w:t>。</w:t>
      </w:r>
    </w:p>
    <w:p>
      <w:pPr>
        <w:ind w:firstLine="640" w:firstLineChars="200"/>
        <w:rPr>
          <w:rFonts w:ascii="仿宋" w:hAnsi="仿宋" w:eastAsia="仿宋"/>
          <w:color w:val="auto"/>
          <w:sz w:val="32"/>
          <w:szCs w:val="32"/>
        </w:rPr>
      </w:pPr>
      <w:r>
        <w:rPr>
          <w:rFonts w:ascii="仿宋" w:hAnsi="仿宋" w:eastAsia="仿宋"/>
          <w:color w:val="auto"/>
          <w:sz w:val="32"/>
          <w:szCs w:val="32"/>
        </w:rPr>
        <w:t>15.</w:t>
      </w:r>
      <w:r>
        <w:rPr>
          <w:rStyle w:val="14"/>
          <w:rFonts w:hint="eastAsia" w:ascii="仿宋" w:hAnsi="仿宋" w:eastAsia="仿宋"/>
          <w:b w:val="0"/>
          <w:color w:val="auto"/>
          <w:sz w:val="32"/>
          <w:szCs w:val="32"/>
        </w:rPr>
        <w:t>城乡社区支出（</w:t>
      </w:r>
      <w:r>
        <w:rPr>
          <w:rStyle w:val="14"/>
          <w:rFonts w:ascii="仿宋" w:hAnsi="仿宋" w:eastAsia="仿宋"/>
          <w:b w:val="0"/>
          <w:color w:val="auto"/>
          <w:sz w:val="32"/>
          <w:szCs w:val="32"/>
        </w:rPr>
        <w:t>212</w:t>
      </w:r>
      <w:r>
        <w:rPr>
          <w:rStyle w:val="14"/>
          <w:rFonts w:hint="eastAsia" w:ascii="仿宋" w:hAnsi="仿宋" w:eastAsia="仿宋"/>
          <w:b w:val="0"/>
          <w:color w:val="auto"/>
          <w:sz w:val="32"/>
          <w:szCs w:val="32"/>
        </w:rPr>
        <w:t>）国有土地收益基金及对应专项债务收入安排的支出（</w:t>
      </w:r>
      <w:r>
        <w:rPr>
          <w:rStyle w:val="14"/>
          <w:rFonts w:hint="eastAsia" w:ascii="仿宋" w:hAnsi="仿宋" w:eastAsia="仿宋"/>
          <w:b w:val="0"/>
          <w:color w:val="auto"/>
          <w:sz w:val="32"/>
          <w:szCs w:val="32"/>
          <w:lang w:val="en-US" w:eastAsia="zh-CN"/>
        </w:rPr>
        <w:t>10</w:t>
      </w:r>
      <w:r>
        <w:rPr>
          <w:rStyle w:val="14"/>
          <w:rFonts w:hint="eastAsia" w:ascii="仿宋" w:hAnsi="仿宋" w:eastAsia="仿宋"/>
          <w:b w:val="0"/>
          <w:color w:val="auto"/>
          <w:sz w:val="32"/>
          <w:szCs w:val="32"/>
        </w:rPr>
        <w:t>） 征地和拆迁补偿支出（</w:t>
      </w:r>
      <w:r>
        <w:rPr>
          <w:rStyle w:val="14"/>
          <w:rFonts w:ascii="仿宋" w:hAnsi="仿宋" w:eastAsia="仿宋"/>
          <w:b w:val="0"/>
          <w:color w:val="auto"/>
          <w:sz w:val="32"/>
          <w:szCs w:val="32"/>
        </w:rPr>
        <w:t>01</w:t>
      </w:r>
      <w:r>
        <w:rPr>
          <w:rFonts w:hint="eastAsia" w:ascii="仿宋" w:hAnsi="仿宋" w:eastAsia="仿宋"/>
          <w:color w:val="auto"/>
          <w:sz w:val="32"/>
          <w:szCs w:val="32"/>
        </w:rPr>
        <w:t>）：指</w:t>
      </w:r>
      <w:r>
        <w:rPr>
          <w:rFonts w:hint="eastAsia" w:ascii="仿宋" w:hAnsi="仿宋" w:eastAsia="仿宋"/>
          <w:color w:val="auto"/>
          <w:sz w:val="32"/>
          <w:szCs w:val="32"/>
          <w:lang w:eastAsia="zh-CN"/>
        </w:rPr>
        <w:t>从国有土地收益基金中安排用于收购储备土地需要支付的前期土地补偿费、安置补助费、地上附着物和青苗补偿费、拆迁补偿费支出</w:t>
      </w:r>
      <w:r>
        <w:rPr>
          <w:rFonts w:hint="eastAsia" w:ascii="仿宋" w:hAnsi="仿宋" w:eastAsia="仿宋"/>
          <w:color w:val="auto"/>
          <w:sz w:val="32"/>
          <w:szCs w:val="32"/>
        </w:rPr>
        <w:t>。</w:t>
      </w:r>
    </w:p>
    <w:p>
      <w:pPr>
        <w:ind w:firstLine="640" w:firstLineChars="200"/>
        <w:rPr>
          <w:rStyle w:val="14"/>
          <w:rFonts w:ascii="仿宋" w:hAnsi="仿宋" w:eastAsia="仿宋"/>
          <w:b w:val="0"/>
          <w:color w:val="auto"/>
          <w:sz w:val="32"/>
          <w:szCs w:val="32"/>
        </w:rPr>
      </w:pPr>
      <w:r>
        <w:rPr>
          <w:rFonts w:ascii="仿宋" w:hAnsi="仿宋" w:eastAsia="仿宋"/>
          <w:color w:val="auto"/>
          <w:sz w:val="32"/>
          <w:szCs w:val="32"/>
        </w:rPr>
        <w:t>16.</w:t>
      </w:r>
      <w:r>
        <w:rPr>
          <w:rStyle w:val="14"/>
          <w:rFonts w:hint="eastAsia" w:ascii="仿宋" w:hAnsi="仿宋" w:eastAsia="仿宋"/>
          <w:b w:val="0"/>
          <w:color w:val="auto"/>
          <w:sz w:val="32"/>
          <w:szCs w:val="32"/>
        </w:rPr>
        <w:t>住房保障支出（</w:t>
      </w:r>
      <w:r>
        <w:rPr>
          <w:rStyle w:val="14"/>
          <w:rFonts w:hint="eastAsia" w:ascii="仿宋" w:hAnsi="仿宋" w:eastAsia="仿宋"/>
          <w:b w:val="0"/>
          <w:color w:val="auto"/>
          <w:sz w:val="32"/>
          <w:szCs w:val="32"/>
          <w:lang w:val="en-US" w:eastAsia="zh-CN"/>
        </w:rPr>
        <w:t>221</w:t>
      </w:r>
      <w:r>
        <w:rPr>
          <w:rStyle w:val="14"/>
          <w:rFonts w:hint="eastAsia" w:ascii="仿宋" w:hAnsi="仿宋" w:eastAsia="仿宋"/>
          <w:b w:val="0"/>
          <w:color w:val="auto"/>
          <w:sz w:val="32"/>
          <w:szCs w:val="32"/>
        </w:rPr>
        <w:t>）保障性安居工程支出（</w:t>
      </w:r>
      <w:r>
        <w:rPr>
          <w:rStyle w:val="14"/>
          <w:rFonts w:ascii="仿宋" w:hAnsi="仿宋" w:eastAsia="仿宋"/>
          <w:b w:val="0"/>
          <w:color w:val="auto"/>
          <w:sz w:val="32"/>
          <w:szCs w:val="32"/>
        </w:rPr>
        <w:t>01</w:t>
      </w:r>
      <w:r>
        <w:rPr>
          <w:rStyle w:val="14"/>
          <w:rFonts w:hint="eastAsia" w:ascii="仿宋" w:hAnsi="仿宋" w:eastAsia="仿宋"/>
          <w:b w:val="0"/>
          <w:color w:val="auto"/>
          <w:sz w:val="32"/>
          <w:szCs w:val="32"/>
        </w:rPr>
        <w:t>）其他保障性安居工程支出（</w:t>
      </w:r>
      <w:r>
        <w:rPr>
          <w:rStyle w:val="14"/>
          <w:rFonts w:ascii="仿宋" w:hAnsi="仿宋" w:eastAsia="仿宋"/>
          <w:b w:val="0"/>
          <w:color w:val="auto"/>
          <w:sz w:val="32"/>
          <w:szCs w:val="32"/>
        </w:rPr>
        <w:t>99</w:t>
      </w:r>
      <w:r>
        <w:rPr>
          <w:rStyle w:val="14"/>
          <w:rFonts w:hint="eastAsia" w:ascii="仿宋" w:hAnsi="仿宋" w:eastAsia="仿宋"/>
          <w:b w:val="0"/>
          <w:color w:val="auto"/>
          <w:sz w:val="32"/>
          <w:szCs w:val="32"/>
        </w:rPr>
        <w:t>）</w:t>
      </w:r>
      <w:r>
        <w:rPr>
          <w:rStyle w:val="14"/>
          <w:rFonts w:ascii="仿宋" w:hAnsi="仿宋" w:eastAsia="仿宋"/>
          <w:b w:val="0"/>
          <w:color w:val="auto"/>
          <w:sz w:val="32"/>
          <w:szCs w:val="32"/>
        </w:rPr>
        <w:t>:</w:t>
      </w:r>
      <w:r>
        <w:rPr>
          <w:rStyle w:val="14"/>
          <w:rFonts w:hint="eastAsia" w:ascii="仿宋" w:hAnsi="仿宋" w:eastAsia="仿宋"/>
          <w:b w:val="0"/>
          <w:color w:val="auto"/>
          <w:sz w:val="32"/>
          <w:szCs w:val="32"/>
        </w:rPr>
        <w:t>指</w:t>
      </w:r>
      <w:r>
        <w:rPr>
          <w:rStyle w:val="14"/>
          <w:rFonts w:hint="eastAsia" w:ascii="仿宋" w:hAnsi="仿宋" w:eastAsia="仿宋"/>
          <w:b w:val="0"/>
          <w:color w:val="auto"/>
          <w:sz w:val="32"/>
          <w:szCs w:val="32"/>
          <w:lang w:eastAsia="zh-CN"/>
        </w:rPr>
        <w:t>其他用于保障性住房方面的开支</w:t>
      </w:r>
      <w:r>
        <w:rPr>
          <w:rStyle w:val="14"/>
          <w:rFonts w:hint="eastAsia" w:ascii="仿宋" w:hAnsi="仿宋" w:eastAsia="仿宋"/>
          <w:b w:val="0"/>
          <w:color w:val="auto"/>
          <w:sz w:val="32"/>
          <w:szCs w:val="32"/>
        </w:rPr>
        <w:t>。</w:t>
      </w:r>
    </w:p>
    <w:p>
      <w:pPr>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.基本支出：指为保障机构正常运转、完成日常工作任务而发生的人员支出和公用支出。</w:t>
      </w:r>
    </w:p>
    <w:p>
      <w:pPr>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 xml:space="preserve">.项目支出：指在基本支出之外为完成特定行政任务和事业发展目标所发生的支出。 </w:t>
      </w:r>
    </w:p>
    <w:p>
      <w:pPr>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.经营支出：指事业单位在专业业务活动及其辅助活动之外开展非独立核算经营活动发生的支出。</w:t>
      </w:r>
    </w:p>
    <w:p>
      <w:pPr>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hint="eastAsia"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Style w:val="24"/>
          <w:rFonts w:hint="eastAsia" w:ascii="黑体" w:hAnsi="黑体" w:eastAsia="黑体"/>
          <w:b w:val="0"/>
          <w:sz w:val="32"/>
          <w:szCs w:val="32"/>
          <w:lang w:val="en-US" w:eastAsia="zh-CN"/>
        </w:rPr>
      </w:pPr>
      <w:r>
        <w:rPr>
          <w:rStyle w:val="24"/>
          <w:rFonts w:hint="eastAsia" w:ascii="黑体" w:hAnsi="黑体" w:eastAsia="黑体"/>
          <w:b w:val="0"/>
          <w:sz w:val="32"/>
          <w:szCs w:val="32"/>
          <w:lang w:eastAsia="zh-CN"/>
        </w:rPr>
        <w:t>附件</w:t>
      </w:r>
      <w:r>
        <w:rPr>
          <w:rStyle w:val="24"/>
          <w:rFonts w:hint="eastAsia" w:ascii="黑体" w:hAnsi="黑体" w:eastAsia="黑体"/>
          <w:b w:val="0"/>
          <w:sz w:val="32"/>
          <w:szCs w:val="32"/>
          <w:lang w:val="en-US" w:eastAsia="zh-CN"/>
        </w:rPr>
        <w:t>1</w:t>
      </w:r>
    </w:p>
    <w:p>
      <w:pPr>
        <w:spacing w:line="600" w:lineRule="exact"/>
        <w:jc w:val="left"/>
        <w:outlineLvl w:val="0"/>
        <w:rPr>
          <w:rStyle w:val="24"/>
          <w:rFonts w:hint="default" w:ascii="黑体" w:hAnsi="黑体" w:eastAsia="黑体"/>
          <w:b w:val="0"/>
          <w:sz w:val="32"/>
          <w:szCs w:val="32"/>
          <w:lang w:val="en-US" w:eastAsia="zh-CN"/>
        </w:rPr>
      </w:pP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2018年</w:t>
      </w:r>
      <w:r>
        <w:rPr>
          <w:rFonts w:hint="eastAsia" w:ascii="黑体" w:hAnsi="黑体" w:eastAsia="黑体" w:cs="方正小标宋简体"/>
          <w:sz w:val="44"/>
          <w:szCs w:val="44"/>
          <w:lang w:eastAsia="zh-CN"/>
        </w:rPr>
        <w:t>大竹县</w:t>
      </w:r>
      <w:r>
        <w:rPr>
          <w:rFonts w:hint="eastAsia" w:ascii="黑体" w:hAnsi="黑体" w:eastAsia="黑体" w:cs="方正小标宋简体"/>
          <w:sz w:val="44"/>
          <w:szCs w:val="44"/>
          <w:lang w:val="zh-CN" w:eastAsia="zh-CN"/>
        </w:rPr>
        <w:t>景观大道拆迁安置房建设项目</w:t>
      </w:r>
      <w:r>
        <w:rPr>
          <w:rFonts w:hint="eastAsia" w:ascii="黑体" w:hAnsi="黑体" w:eastAsia="黑体" w:cs="方正小标宋简体"/>
          <w:sz w:val="44"/>
          <w:szCs w:val="44"/>
        </w:rPr>
        <w:t>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一</w:t>
      </w:r>
      <w:r>
        <w:rPr>
          <w:rFonts w:ascii="仿宋" w:hAnsi="仿宋" w:eastAsia="仿宋" w:cs="仿宋_GB2312"/>
          <w:b/>
          <w:bCs/>
          <w:sz w:val="32"/>
          <w:szCs w:val="32"/>
        </w:rPr>
        <w:t>、评价工作开展及项目情况</w:t>
      </w:r>
    </w:p>
    <w:p>
      <w:pPr>
        <w:spacing w:line="58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按照县财政的工作部署及大竹县财政局《关于开展2019年财政绩效评价工作的通知》（竹财预〔2019〕15号）文件的要求，我单位组织相关人员对</w:t>
      </w:r>
      <w:r>
        <w:rPr>
          <w:rFonts w:hint="eastAsia" w:ascii="仿宋_GB2312" w:hAnsi="仿宋_GB2312" w:eastAsia="仿宋_GB2312" w:cs="仿宋_GB2312"/>
          <w:sz w:val="28"/>
          <w:szCs w:val="28"/>
          <w:lang w:val="zh-CN"/>
        </w:rPr>
        <w:t>景观大道拆迁安置房建设项目</w:t>
      </w:r>
      <w:r>
        <w:rPr>
          <w:rFonts w:hint="eastAsia" w:ascii="仿宋" w:hAnsi="仿宋" w:eastAsia="仿宋" w:cs="仿宋_GB2312"/>
          <w:sz w:val="28"/>
          <w:szCs w:val="28"/>
          <w:lang w:val="en-US" w:eastAsia="zh-CN"/>
        </w:rPr>
        <w:t>按照项目支出绩效评价指标体系对该项目的项目决策、项目管理、项目绩效采用采用错项扣分法和比率分值法进行了综合自评。</w:t>
      </w:r>
    </w:p>
    <w:p>
      <w:pPr>
        <w:spacing w:line="58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二</w:t>
      </w:r>
      <w:r>
        <w:rPr>
          <w:rFonts w:ascii="仿宋" w:hAnsi="仿宋" w:eastAsia="仿宋" w:cs="仿宋_GB2312"/>
          <w:b/>
          <w:bCs/>
          <w:sz w:val="32"/>
          <w:szCs w:val="32"/>
        </w:rPr>
        <w:t>、评价结论及绩效分析</w:t>
      </w:r>
    </w:p>
    <w:p>
      <w:pPr>
        <w:spacing w:line="580" w:lineRule="exact"/>
        <w:ind w:firstLine="602" w:firstLineChars="200"/>
        <w:rPr>
          <w:rFonts w:ascii="仿宋" w:hAnsi="仿宋" w:eastAsia="仿宋" w:cs="仿宋_GB2312"/>
          <w:b/>
          <w:bCs/>
          <w:sz w:val="30"/>
          <w:szCs w:val="30"/>
        </w:rPr>
      </w:pPr>
      <w:r>
        <w:rPr>
          <w:rFonts w:ascii="仿宋" w:hAnsi="仿宋" w:eastAsia="仿宋" w:cs="仿宋_GB2312"/>
          <w:b/>
          <w:bCs/>
          <w:sz w:val="30"/>
          <w:szCs w:val="30"/>
        </w:rPr>
        <w:t>（一）评价结论</w:t>
      </w:r>
    </w:p>
    <w:p>
      <w:pPr>
        <w:spacing w:line="58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zh-CN"/>
        </w:rPr>
        <w:t>按照县财政部署我单位对景观大道拆迁安置房建设采用错项扣分法和比率分值法对该项目的设计、建设以及完成情况进行综合自评，确保</w:t>
      </w:r>
      <w:r>
        <w:rPr>
          <w:rFonts w:hint="eastAsia" w:ascii="仿宋" w:hAnsi="仿宋" w:eastAsia="仿宋" w:cs="仿宋_GB2312"/>
          <w:sz w:val="28"/>
          <w:szCs w:val="28"/>
          <w:lang w:val="zh-CN" w:eastAsia="zh-CN"/>
        </w:rPr>
        <w:t>了</w:t>
      </w:r>
      <w:r>
        <w:rPr>
          <w:rFonts w:hint="eastAsia" w:ascii="仿宋" w:hAnsi="仿宋" w:eastAsia="仿宋" w:cs="仿宋_GB2312"/>
          <w:sz w:val="28"/>
          <w:szCs w:val="28"/>
          <w:lang w:val="zh-CN"/>
        </w:rPr>
        <w:t>自评结果科学有效</w:t>
      </w:r>
      <w:r>
        <w:rPr>
          <w:rFonts w:hint="eastAsia" w:ascii="仿宋" w:hAnsi="仿宋" w:eastAsia="仿宋" w:cs="仿宋_GB2312"/>
          <w:sz w:val="28"/>
          <w:szCs w:val="28"/>
          <w:lang w:val="en-US" w:eastAsia="zh-CN"/>
        </w:rPr>
        <w:t>,我单位在本次自评中综合得分为92分，其中在景观大道拆迁安置房的项目决策、项目实施和完成结果中得分18分；在项目效果中得分27分；在项目效益中得分27分。</w:t>
      </w:r>
    </w:p>
    <w:p>
      <w:pPr>
        <w:spacing w:line="580" w:lineRule="exact"/>
        <w:ind w:firstLine="602" w:firstLineChars="200"/>
        <w:rPr>
          <w:rFonts w:ascii="仿宋" w:hAnsi="仿宋" w:eastAsia="仿宋" w:cs="仿宋_GB2312"/>
          <w:b/>
          <w:bCs/>
          <w:sz w:val="30"/>
          <w:szCs w:val="30"/>
        </w:rPr>
      </w:pPr>
      <w:r>
        <w:rPr>
          <w:rFonts w:ascii="仿宋" w:hAnsi="仿宋" w:eastAsia="仿宋" w:cs="仿宋_GB2312"/>
          <w:b/>
          <w:bCs/>
          <w:sz w:val="30"/>
          <w:szCs w:val="30"/>
        </w:rPr>
        <w:t>（二）绩效分析</w:t>
      </w:r>
    </w:p>
    <w:p>
      <w:pPr>
        <w:spacing w:line="580" w:lineRule="exact"/>
        <w:ind w:firstLine="562" w:firstLineChars="200"/>
        <w:rPr>
          <w:rFonts w:ascii="仿宋" w:hAnsi="仿宋" w:eastAsia="仿宋" w:cs="仿宋_GB2312"/>
          <w:b/>
          <w:bCs/>
          <w:sz w:val="28"/>
          <w:szCs w:val="28"/>
        </w:rPr>
      </w:pPr>
      <w:r>
        <w:rPr>
          <w:rFonts w:ascii="仿宋" w:hAnsi="仿宋" w:eastAsia="仿宋" w:cs="仿宋_GB2312"/>
          <w:b/>
          <w:bCs/>
          <w:sz w:val="28"/>
          <w:szCs w:val="28"/>
        </w:rPr>
        <w:t>1、项目决策</w:t>
      </w:r>
    </w:p>
    <w:p>
      <w:pPr>
        <w:spacing w:line="578"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大竹县发展和改革局于2013年1月1</w:t>
      </w:r>
      <w:r>
        <w:rPr>
          <w:rFonts w:hint="eastAsia" w:ascii="仿宋" w:hAnsi="仿宋" w:eastAsia="仿宋" w:cs="仿宋"/>
          <w:sz w:val="28"/>
          <w:szCs w:val="28"/>
          <w:lang w:val="en-US" w:eastAsia="zh-CN"/>
        </w:rPr>
        <w:t>4</w:t>
      </w:r>
      <w:r>
        <w:rPr>
          <w:rFonts w:hint="eastAsia" w:ascii="仿宋" w:hAnsi="仿宋" w:eastAsia="仿宋" w:cs="仿宋"/>
          <w:sz w:val="28"/>
          <w:szCs w:val="28"/>
        </w:rPr>
        <w:t>日发布了《大竹县发展和改革局关于大竹县</w:t>
      </w:r>
      <w:r>
        <w:rPr>
          <w:rFonts w:hint="eastAsia" w:ascii="仿宋" w:hAnsi="仿宋" w:eastAsia="仿宋" w:cs="仿宋"/>
          <w:sz w:val="28"/>
          <w:szCs w:val="28"/>
          <w:lang w:eastAsia="zh-CN"/>
        </w:rPr>
        <w:t>景观大道拆迁安置房建设工程可行性研究报告的批复</w:t>
      </w:r>
      <w:r>
        <w:rPr>
          <w:rFonts w:hint="eastAsia" w:ascii="仿宋" w:hAnsi="仿宋" w:eastAsia="仿宋" w:cs="仿宋"/>
          <w:sz w:val="28"/>
          <w:szCs w:val="28"/>
        </w:rPr>
        <w:t>》竹发改投资[2013]</w:t>
      </w:r>
      <w:r>
        <w:rPr>
          <w:rFonts w:hint="eastAsia" w:ascii="仿宋" w:hAnsi="仿宋" w:eastAsia="仿宋" w:cs="仿宋"/>
          <w:sz w:val="28"/>
          <w:szCs w:val="28"/>
          <w:lang w:val="en-US" w:eastAsia="zh-CN"/>
        </w:rPr>
        <w:t>1</w:t>
      </w:r>
      <w:r>
        <w:rPr>
          <w:rFonts w:hint="eastAsia" w:ascii="仿宋" w:hAnsi="仿宋" w:eastAsia="仿宋" w:cs="仿宋"/>
          <w:sz w:val="28"/>
          <w:szCs w:val="28"/>
        </w:rPr>
        <w:t>号文件，根据该文件，</w:t>
      </w:r>
      <w:r>
        <w:rPr>
          <w:rFonts w:hint="eastAsia" w:ascii="仿宋" w:hAnsi="仿宋" w:eastAsia="仿宋" w:cs="仿宋"/>
          <w:sz w:val="28"/>
          <w:szCs w:val="28"/>
          <w:lang w:eastAsia="zh-CN"/>
        </w:rPr>
        <w:t>大竹县竹和房征投资开发有限公司为</w:t>
      </w:r>
      <w:r>
        <w:rPr>
          <w:rFonts w:hint="eastAsia" w:ascii="仿宋" w:hAnsi="仿宋" w:eastAsia="仿宋" w:cs="仿宋"/>
          <w:sz w:val="28"/>
          <w:szCs w:val="28"/>
        </w:rPr>
        <w:t>大竹县</w:t>
      </w:r>
      <w:r>
        <w:rPr>
          <w:rFonts w:hint="eastAsia" w:ascii="仿宋" w:hAnsi="仿宋" w:eastAsia="仿宋" w:cs="仿宋"/>
          <w:sz w:val="28"/>
          <w:szCs w:val="28"/>
          <w:lang w:eastAsia="zh-CN"/>
        </w:rPr>
        <w:t>景观大道拆迁安置房建设工程项目的业主单位，负责具体组织实施该项目建设，我单位为主管部门，全过程监督该项目的建设。</w:t>
      </w:r>
      <w:r>
        <w:rPr>
          <w:rFonts w:hint="eastAsia" w:ascii="仿宋" w:hAnsi="仿宋" w:eastAsia="仿宋" w:cs="仿宋"/>
          <w:sz w:val="28"/>
          <w:szCs w:val="28"/>
        </w:rPr>
        <w:t>大竹县</w:t>
      </w:r>
      <w:r>
        <w:rPr>
          <w:rFonts w:hint="eastAsia" w:ascii="仿宋" w:hAnsi="仿宋" w:eastAsia="仿宋" w:cs="仿宋"/>
          <w:sz w:val="28"/>
          <w:szCs w:val="28"/>
          <w:lang w:eastAsia="zh-CN"/>
        </w:rPr>
        <w:t>景观大道拆迁安置房建设</w:t>
      </w:r>
      <w:r>
        <w:rPr>
          <w:rFonts w:hint="eastAsia" w:ascii="仿宋" w:hAnsi="仿宋" w:eastAsia="仿宋" w:cs="仿宋"/>
          <w:sz w:val="28"/>
          <w:szCs w:val="28"/>
        </w:rPr>
        <w:t>项目位于大竹县</w:t>
      </w:r>
      <w:r>
        <w:rPr>
          <w:rFonts w:hint="eastAsia" w:ascii="仿宋" w:hAnsi="仿宋" w:eastAsia="仿宋" w:cs="仿宋"/>
          <w:sz w:val="28"/>
          <w:szCs w:val="28"/>
          <w:lang w:eastAsia="zh-CN"/>
        </w:rPr>
        <w:t>竹北乡街道居委会</w:t>
      </w:r>
      <w:r>
        <w:rPr>
          <w:rFonts w:hint="eastAsia" w:ascii="仿宋" w:hAnsi="仿宋" w:eastAsia="仿宋" w:cs="仿宋"/>
          <w:sz w:val="28"/>
          <w:szCs w:val="28"/>
          <w:lang w:val="en-US" w:eastAsia="zh-CN"/>
        </w:rPr>
        <w:t>2组和双马村</w:t>
      </w:r>
      <w:r>
        <w:rPr>
          <w:rFonts w:hint="eastAsia" w:ascii="仿宋" w:hAnsi="仿宋" w:eastAsia="仿宋" w:cs="仿宋"/>
          <w:sz w:val="28"/>
          <w:szCs w:val="28"/>
        </w:rPr>
        <w:t>，</w:t>
      </w:r>
      <w:r>
        <w:rPr>
          <w:rFonts w:hint="eastAsia" w:ascii="仿宋" w:hAnsi="仿宋" w:eastAsia="仿宋" w:cs="仿宋"/>
          <w:sz w:val="28"/>
          <w:szCs w:val="28"/>
          <w:lang w:eastAsia="zh-CN"/>
        </w:rPr>
        <w:t>该项目新建安置房</w:t>
      </w:r>
      <w:r>
        <w:rPr>
          <w:rFonts w:hint="eastAsia" w:ascii="仿宋" w:hAnsi="仿宋" w:eastAsia="仿宋" w:cs="仿宋"/>
          <w:sz w:val="28"/>
          <w:szCs w:val="28"/>
          <w:lang w:val="en-US" w:eastAsia="zh-CN"/>
        </w:rPr>
        <w:t>708户，总建筑面积81425.47㎡,预计建设工期为24个月，该工程预计投资15684.96万元。该项目主要是拆迁、安置房建设和配套道路建设，规划建设用地面积51025.00平方米，总建筑面积78590.25平方米，其中住宅面积71708平方米，商业建筑面积6882.25平方米，绿地面积17792.12平方米，道路面积11483.23平方米。景观大道安置建设项目旨在建设多层安置房32栋共计840套安置房，对被拆迁区域内的762户被拆迁户进行安置，旨在改善旧房棚户区居民生活环境，促进社会稳定，提升城市形象，加快大竹县城镇化进程，从而促进大竹县经济建设等方面发展,该项目于2014年下半年开工，2016年底竣工。</w:t>
      </w:r>
    </w:p>
    <w:p>
      <w:pPr>
        <w:spacing w:line="580" w:lineRule="exact"/>
        <w:ind w:firstLine="562" w:firstLineChars="200"/>
        <w:rPr>
          <w:rFonts w:ascii="仿宋" w:hAnsi="仿宋" w:eastAsia="仿宋" w:cs="仿宋_GB2312"/>
          <w:b/>
          <w:bCs/>
          <w:sz w:val="28"/>
          <w:szCs w:val="28"/>
        </w:rPr>
      </w:pPr>
      <w:r>
        <w:rPr>
          <w:rFonts w:ascii="仿宋" w:hAnsi="仿宋" w:eastAsia="仿宋" w:cs="仿宋_GB2312"/>
          <w:b/>
          <w:bCs/>
          <w:sz w:val="28"/>
          <w:szCs w:val="28"/>
        </w:rPr>
        <w:t>2、项目管理</w:t>
      </w:r>
    </w:p>
    <w:p>
      <w:pPr>
        <w:spacing w:line="580" w:lineRule="exact"/>
        <w:ind w:firstLine="560" w:firstLineChars="200"/>
        <w:rPr>
          <w:rFonts w:hint="eastAsia" w:ascii="仿宋" w:hAnsi="仿宋" w:eastAsia="仿宋" w:cs="仿宋_GB2312"/>
          <w:sz w:val="28"/>
          <w:szCs w:val="28"/>
          <w:lang w:val="zh-CN"/>
        </w:rPr>
      </w:pPr>
      <w:r>
        <w:rPr>
          <w:rFonts w:hint="eastAsia" w:ascii="仿宋" w:hAnsi="仿宋" w:eastAsia="仿宋" w:cs="仿宋_GB2312"/>
          <w:sz w:val="28"/>
          <w:szCs w:val="28"/>
          <w:lang w:val="zh-CN"/>
        </w:rPr>
        <w:t>大竹县景观大道拆迁安置房项目具体由我局安置股负责具体实施并负责监管，并严格按照有关部门相关制度和流程做好该项目的招投标、政府采购、项目公示等相关工作。该项目的建设资金由计划财务股具体向县财政局申报、管理。由安置股和计划财务股负责登记该项目工程款的拨付台账，并严格执行县财政局有关项目建设的相关制度，并按投资计划、工程进度和约定支付方式及时向县财政申报资金，实行专款专用。</w:t>
      </w:r>
    </w:p>
    <w:p>
      <w:pPr>
        <w:spacing w:line="580" w:lineRule="exact"/>
        <w:ind w:firstLine="562" w:firstLineChars="200"/>
        <w:rPr>
          <w:rFonts w:ascii="仿宋" w:hAnsi="仿宋" w:eastAsia="仿宋" w:cs="仿宋_GB2312"/>
          <w:b/>
          <w:bCs/>
          <w:sz w:val="28"/>
          <w:szCs w:val="28"/>
        </w:rPr>
      </w:pPr>
      <w:r>
        <w:rPr>
          <w:rFonts w:ascii="仿宋" w:hAnsi="仿宋" w:eastAsia="仿宋" w:cs="仿宋_GB2312"/>
          <w:b/>
          <w:bCs/>
          <w:sz w:val="28"/>
          <w:szCs w:val="28"/>
        </w:rPr>
        <w:t>3、项目绩效</w:t>
      </w:r>
    </w:p>
    <w:p>
      <w:pPr>
        <w:spacing w:line="580" w:lineRule="exact"/>
        <w:ind w:firstLine="560" w:firstLineChars="200"/>
        <w:rPr>
          <w:rFonts w:hint="eastAsia" w:ascii="仿宋" w:hAnsi="仿宋" w:eastAsia="仿宋" w:cs="仿宋_GB2312"/>
          <w:sz w:val="28"/>
          <w:szCs w:val="28"/>
          <w:lang w:val="zh-CN" w:eastAsia="zh-CN"/>
        </w:rPr>
      </w:pPr>
      <w:r>
        <w:rPr>
          <w:rFonts w:hint="eastAsia" w:ascii="仿宋" w:hAnsi="仿宋" w:eastAsia="仿宋" w:cs="仿宋_GB2312"/>
          <w:sz w:val="28"/>
          <w:szCs w:val="28"/>
          <w:lang w:val="zh-CN"/>
        </w:rPr>
        <w:t>截止201</w:t>
      </w:r>
      <w:r>
        <w:rPr>
          <w:rFonts w:hint="eastAsia" w:ascii="仿宋" w:hAnsi="仿宋" w:eastAsia="仿宋" w:cs="仿宋_GB2312"/>
          <w:sz w:val="28"/>
          <w:szCs w:val="28"/>
          <w:lang w:val="en-US" w:eastAsia="zh-CN"/>
        </w:rPr>
        <w:t>6</w:t>
      </w:r>
      <w:r>
        <w:rPr>
          <w:rFonts w:hint="eastAsia" w:ascii="仿宋" w:hAnsi="仿宋" w:eastAsia="仿宋" w:cs="仿宋_GB2312"/>
          <w:sz w:val="28"/>
          <w:szCs w:val="28"/>
          <w:lang w:val="zh-CN"/>
        </w:rPr>
        <w:t>年</w:t>
      </w:r>
      <w:r>
        <w:rPr>
          <w:rFonts w:hint="eastAsia" w:ascii="仿宋" w:hAnsi="仿宋" w:eastAsia="仿宋" w:cs="仿宋_GB2312"/>
          <w:sz w:val="28"/>
          <w:szCs w:val="28"/>
          <w:lang w:val="en-US" w:eastAsia="zh-CN"/>
        </w:rPr>
        <w:t>底</w:t>
      </w:r>
      <w:r>
        <w:rPr>
          <w:rFonts w:hint="eastAsia" w:ascii="仿宋" w:hAnsi="仿宋" w:eastAsia="仿宋" w:cs="仿宋_GB2312"/>
          <w:sz w:val="28"/>
          <w:szCs w:val="28"/>
          <w:lang w:val="zh-CN"/>
        </w:rPr>
        <w:t>景观大道拆迁安置房建设项目已基本完成，其完工进度与原定计划基本相符，于</w:t>
      </w:r>
      <w:r>
        <w:rPr>
          <w:rFonts w:hint="eastAsia" w:ascii="仿宋" w:hAnsi="仿宋" w:eastAsia="仿宋" w:cs="仿宋_GB2312"/>
          <w:sz w:val="28"/>
          <w:szCs w:val="28"/>
          <w:lang w:val="en-US" w:eastAsia="zh-CN"/>
        </w:rPr>
        <w:t>2018年大竹县审计局对大竹县景观大道安置建设工程、大竹县护城河拆迁安置房教师新村二期工程（一、三标段）进行了竣工结算审计，并出具了审计报告。</w:t>
      </w:r>
      <w:r>
        <w:rPr>
          <w:rFonts w:hint="eastAsia" w:ascii="仿宋" w:hAnsi="仿宋" w:eastAsia="仿宋" w:cs="仿宋_GB2312"/>
          <w:sz w:val="28"/>
          <w:szCs w:val="28"/>
          <w:lang w:val="zh-CN"/>
        </w:rPr>
        <w:t>并于2018年下半年启动了景观大道拆迁安置房的返迁工作。景观大道拆迁安置房项目的实施，有助于改善原被拆迁居民的居住环境，提高其生活质量；虽然该项目在施工过程中产生的废气、噪音等会对环境造成不利影响，但我们在项目实施过程中采取了有力的环保措施有效的将污染降到了最低，同时，我们在项目设计过程中考虑了污水排放系统和绿化工程有利于该项目区的生态环境保护；另外，该项目的实施对我县被拆迁居民的生产生活、安居乐业，以及对加快我县城市建设、统筹城乡一体化协调发展都有重大意义。从</w:t>
      </w:r>
      <w:r>
        <w:rPr>
          <w:rFonts w:hint="eastAsia" w:ascii="仿宋" w:hAnsi="仿宋" w:eastAsia="仿宋" w:cs="仿宋_GB2312"/>
          <w:sz w:val="28"/>
          <w:szCs w:val="28"/>
          <w:lang w:val="zh-CN" w:eastAsia="zh-CN"/>
        </w:rPr>
        <w:t>2018年下半年的景观大道的返迁工作可以看出广大安置户对于该项目的建设都比较满意。</w:t>
      </w:r>
    </w:p>
    <w:p>
      <w:pPr>
        <w:spacing w:line="5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三</w:t>
      </w:r>
      <w:r>
        <w:rPr>
          <w:rFonts w:ascii="仿宋" w:hAnsi="仿宋" w:eastAsia="仿宋" w:cs="仿宋_GB2312"/>
          <w:b/>
          <w:bCs/>
          <w:sz w:val="28"/>
          <w:szCs w:val="28"/>
        </w:rPr>
        <w:t>、存在主要问题</w:t>
      </w:r>
    </w:p>
    <w:p>
      <w:pPr>
        <w:spacing w:line="58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由于景观大道拆迁安置房建设项目涉及到拆迁和安置，事关群众的切身利益，少数被拆迁户处于自身利益的考虑对于拆迁和安置的原则、方案和标准不能完全满意，难免引起了冲突和上访事件，为此，政府应加大宣传力度获得群众满意，在拆迁和安置过程中严格按照程序公开透明的依法拆迁和安置，确保群众合法利益不被侵犯。</w:t>
      </w:r>
    </w:p>
    <w:p>
      <w:pPr>
        <w:spacing w:line="5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lang w:eastAsia="zh-CN"/>
        </w:rPr>
        <w:t>四、</w:t>
      </w:r>
      <w:r>
        <w:rPr>
          <w:rFonts w:ascii="仿宋" w:hAnsi="仿宋" w:eastAsia="仿宋" w:cs="仿宋_GB2312"/>
          <w:b/>
          <w:bCs/>
          <w:sz w:val="28"/>
          <w:szCs w:val="28"/>
        </w:rPr>
        <w:t>相关措施建议</w:t>
      </w:r>
    </w:p>
    <w:p>
      <w:pPr>
        <w:numPr>
          <w:ilvl w:val="0"/>
          <w:numId w:val="0"/>
        </w:numPr>
        <w:spacing w:line="580" w:lineRule="exact"/>
        <w:ind w:left="640" w:leftChars="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      无。</w:t>
      </w:r>
    </w:p>
    <w:p>
      <w:pPr>
        <w:spacing w:line="600" w:lineRule="exact"/>
        <w:jc w:val="center"/>
        <w:outlineLvl w:val="0"/>
        <w:rPr>
          <w:rFonts w:hint="eastAsia" w:ascii="黑体" w:hAnsi="黑体" w:eastAsia="黑体"/>
          <w:color w:val="000000"/>
          <w:sz w:val="44"/>
          <w:szCs w:val="44"/>
        </w:rPr>
      </w:pPr>
      <w:bookmarkStart w:id="59" w:name="_Toc15396618"/>
    </w:p>
    <w:p>
      <w:pPr>
        <w:spacing w:line="600" w:lineRule="exact"/>
        <w:jc w:val="both"/>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Fonts w:ascii="仿宋" w:hAnsi="仿宋" w:eastAsia="仿宋"/>
          <w:color w:val="00000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4"/>
    </w:p>
    <w:p>
      <w:pPr>
        <w:pStyle w:val="3"/>
        <w:rPr>
          <w:rFonts w:ascii="仿宋" w:hAnsi="仿宋" w:eastAsia="仿宋"/>
          <w:color w:val="000000"/>
        </w:rPr>
      </w:pPr>
      <w:bookmarkStart w:id="65"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14:textFill>
            <w14:solidFill>
              <w14:schemeClr w14:val="tx1"/>
            </w14:solidFill>
          </w14:textFill>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7793571F"/>
    <w:multiLevelType w:val="singleLevel"/>
    <w:tmpl w:val="7793571F"/>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10C055FF"/>
    <w:rsid w:val="16BB723D"/>
    <w:rsid w:val="215473F4"/>
    <w:rsid w:val="218F28C7"/>
    <w:rsid w:val="240371BF"/>
    <w:rsid w:val="29FD04D3"/>
    <w:rsid w:val="2BB1207D"/>
    <w:rsid w:val="312369C7"/>
    <w:rsid w:val="319F7F4E"/>
    <w:rsid w:val="3E147575"/>
    <w:rsid w:val="47AD60B8"/>
    <w:rsid w:val="484313D8"/>
    <w:rsid w:val="4B771BCC"/>
    <w:rsid w:val="4BFF637F"/>
    <w:rsid w:val="5D1153E1"/>
    <w:rsid w:val="66254DEF"/>
    <w:rsid w:val="724821DE"/>
    <w:rsid w:val="7A5B1AD9"/>
    <w:rsid w:val="7B93659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4037;&#20316;&#36164;&#26009;\&#25151;&#24449;&#23616;&#36164;&#26009;\&#19978;&#25253;&#30340;&#25991;&#20214;\2019&#24180;\&#19978;&#25253;&#22478;&#24314;\2018&#24180;&#20915;&#31639;&#20844;&#24320;\&#20915;&#31639;&#20844;&#24320;&#39292;&#29366;&#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4037;&#20316;&#36164;&#26009;\&#25151;&#24449;&#23616;&#36164;&#26009;\&#19978;&#25253;&#30340;&#25991;&#20214;\2019&#24180;\&#19978;&#25253;&#22478;&#24314;\2018&#24180;&#20915;&#31639;&#20844;&#24320;\&#20915;&#31639;&#20844;&#24320;&#39292;&#29366;&#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4037;&#20316;&#36164;&#26009;\&#25151;&#24449;&#23616;&#36164;&#26009;\&#19978;&#25253;&#30340;&#25991;&#20214;\2019&#24180;\&#19978;&#25253;&#22478;&#24314;\2018&#24180;&#20915;&#31639;&#20844;&#24320;\&#20915;&#31639;&#20844;&#24320;&#39292;&#29366;&#222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4037;&#20316;&#36164;&#26009;\&#25151;&#24449;&#23616;&#36164;&#26009;\&#19978;&#25253;&#30340;&#25991;&#20214;\2019&#24180;\&#19978;&#25253;&#22478;&#24314;\2018&#24180;&#20915;&#31639;&#20844;&#24320;\&#20915;&#31639;&#20844;&#24320;&#39292;&#29366;&#222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4037;&#20316;&#36164;&#26009;\&#25151;&#24449;&#23616;&#36164;&#26009;\&#19978;&#25253;&#30340;&#25991;&#20214;\2019&#24180;\&#19978;&#25253;&#22478;&#24314;\2018&#24180;&#20915;&#31639;&#20844;&#24320;\&#20915;&#31639;&#20844;&#24320;&#39292;&#29366;&#222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4037;&#20316;&#36164;&#26009;\&#25151;&#24449;&#23616;&#36164;&#26009;\&#19978;&#25253;&#30340;&#25991;&#20214;\2019&#24180;\&#19978;&#25253;&#22478;&#24314;\2018&#24180;&#20915;&#31639;&#20844;&#24320;\&#20915;&#31639;&#20844;&#24320;&#39292;&#29366;&#2227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4037;&#20316;&#36164;&#26009;\&#25151;&#24449;&#23616;&#36164;&#26009;\&#19978;&#25253;&#30340;&#25991;&#20214;\2019&#24180;\&#19978;&#25253;&#22478;&#24314;\2018&#24180;&#20915;&#31639;&#20844;&#24320;\&#20915;&#31639;&#20844;&#24320;&#39292;&#29366;&#22270;.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4037;&#20316;&#36164;&#26009;\&#25151;&#24449;&#23616;&#36164;&#26009;\&#19978;&#25253;&#30340;&#25991;&#20214;\2019&#24180;\&#19978;&#25253;&#22478;&#24314;\2018&#24180;&#20915;&#31639;&#20844;&#24320;\&#20915;&#31639;&#20844;&#24320;&#39292;&#29366;&#22270;.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4037;&#20316;&#36164;&#26009;\&#25151;&#24449;&#23616;&#36164;&#26009;\&#19978;&#25253;&#30340;&#25991;&#20214;\2019&#24180;\&#19978;&#25253;&#22478;&#24314;\2018&#24180;&#20915;&#31639;&#20844;&#24320;\&#20915;&#31639;&#20844;&#24320;&#39292;&#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b="1"/>
              <a:t>收、支决算总计变动情况图</a:t>
            </a:r>
            <a:endParaRPr sz="1800" b="1"/>
          </a:p>
        </c:rich>
      </c:tx>
      <c:layout/>
      <c:overlay val="0"/>
      <c:spPr>
        <a:noFill/>
        <a:ln>
          <a:noFill/>
        </a:ln>
        <a:effectLst/>
      </c:spPr>
    </c:title>
    <c:autoTitleDeleted val="0"/>
    <c:plotArea>
      <c:layout/>
      <c:barChart>
        <c:barDir val="col"/>
        <c:grouping val="clustered"/>
        <c:varyColors val="0"/>
        <c:ser>
          <c:idx val="0"/>
          <c:order val="0"/>
          <c:tx>
            <c:strRef>
              <c:f>[决算公开饼状图.xlsx]Sheet1!$A$2</c:f>
              <c:strCache>
                <c:ptCount val="1"/>
                <c:pt idx="0">
                  <c:v>2017年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[决算公开饼状图.xlsx]Sheet1!$B$1:$C$1</c:f>
              <c:strCache>
                <c:ptCount val="2"/>
                <c:pt idx="0">
                  <c:v>收入（万元）</c:v>
                </c:pt>
                <c:pt idx="1">
                  <c:v>支出（万元）</c:v>
                </c:pt>
              </c:strCache>
            </c:strRef>
          </c:cat>
          <c:val>
            <c:numRef>
              <c:f>[决算公开饼状图.xlsx]Sheet1!$B$2:$C$2</c:f>
              <c:numCache>
                <c:formatCode>General</c:formatCode>
                <c:ptCount val="2"/>
                <c:pt idx="0">
                  <c:v>15618.99</c:v>
                </c:pt>
                <c:pt idx="1">
                  <c:v>13281.18</c:v>
                </c:pt>
              </c:numCache>
            </c:numRef>
          </c:val>
        </c:ser>
        <c:ser>
          <c:idx val="1"/>
          <c:order val="1"/>
          <c:tx>
            <c:strRef>
              <c:f>[决算公开饼状图.xlsx]Sheet1!$A$3</c:f>
              <c:strCache>
                <c:ptCount val="1"/>
                <c:pt idx="0">
                  <c:v>2018年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[决算公开饼状图.xlsx]Sheet1!$B$1:$C$1</c:f>
              <c:strCache>
                <c:ptCount val="2"/>
                <c:pt idx="0">
                  <c:v>收入（万元）</c:v>
                </c:pt>
                <c:pt idx="1">
                  <c:v>支出（万元）</c:v>
                </c:pt>
              </c:strCache>
            </c:strRef>
          </c:cat>
          <c:val>
            <c:numRef>
              <c:f>[决算公开饼状图.xlsx]Sheet1!$B$3:$C$3</c:f>
              <c:numCache>
                <c:formatCode>General</c:formatCode>
                <c:ptCount val="2"/>
                <c:pt idx="0">
                  <c:v>40231.24</c:v>
                </c:pt>
                <c:pt idx="1">
                  <c:v>17880.07</c:v>
                </c:pt>
              </c:numCache>
            </c:numRef>
          </c:val>
        </c:ser>
        <c:dLbls>
          <c:showLegendKey val="0"/>
          <c:showVal val="1"/>
          <c:showCatName val="0"/>
          <c:showSerName val="0"/>
          <c:showPercent val="0"/>
          <c:showBubbleSize val="0"/>
        </c:dLbls>
        <c:gapWidth val="219"/>
        <c:overlap val="-27"/>
        <c:axId val="963169272"/>
        <c:axId val="29321099"/>
      </c:barChart>
      <c:catAx>
        <c:axId val="9631692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321099"/>
        <c:crosses val="autoZero"/>
        <c:auto val="1"/>
        <c:lblAlgn val="ctr"/>
        <c:lblOffset val="100"/>
        <c:noMultiLvlLbl val="0"/>
      </c:catAx>
      <c:valAx>
        <c:axId val="293210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31692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t>收入决算结构图</a:t>
            </a:r>
            <a:endParaRPr lang="zh-CN"/>
          </a:p>
        </c:rich>
      </c:tx>
      <c:layout/>
      <c:overlay val="0"/>
    </c:title>
    <c:autoTitleDeleted val="0"/>
    <c:plotArea>
      <c:layout/>
      <c:pieChart>
        <c:varyColors val="1"/>
        <c:ser>
          <c:idx val="0"/>
          <c:order val="0"/>
          <c:tx>
            <c:strRef>
              <c:f>[决算公开饼状图.xlsx]Sheet1!$A$33</c:f>
              <c:strCache>
                <c:ptCount val="1"/>
                <c:pt idx="0">
                  <c:v>金额（万元）</c:v>
                </c:pt>
              </c:strCache>
            </c:strRef>
          </c:tx>
          <c:explosion val="0"/>
          <c:dPt>
            <c:idx val="0"/>
            <c:bubble3D val="0"/>
          </c:dPt>
          <c:dPt>
            <c:idx val="1"/>
            <c:bubble3D val="0"/>
          </c:dPt>
          <c:dLbls>
            <c:dLbl>
              <c:idx val="0"/>
              <c:layout>
                <c:manualLayout>
                  <c:x val="0.14869109947644"/>
                  <c:y val="0.062370041949992"/>
                </c:manualLayout>
              </c:layout>
              <c:dLblPos val="inEnd"/>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963350785340315"/>
                  <c:y val="-0.112266075509986"/>
                </c:manualLayout>
              </c:layout>
              <c:dLblPos val="inEnd"/>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[决算公开饼状图.xlsx]Sheet1!$B$32:$C$32</c:f>
              <c:strCache>
                <c:ptCount val="2"/>
                <c:pt idx="0">
                  <c:v>一般公共预算财政拨款收入</c:v>
                </c:pt>
                <c:pt idx="1">
                  <c:v>政府性基金预算财政拨款收入</c:v>
                </c:pt>
              </c:strCache>
            </c:strRef>
          </c:cat>
          <c:val>
            <c:numRef>
              <c:f>[决算公开饼状图.xlsx]Sheet1!$B$33:$C$33</c:f>
              <c:numCache>
                <c:formatCode>General</c:formatCode>
                <c:ptCount val="2"/>
                <c:pt idx="0">
                  <c:v>25357.54</c:v>
                </c:pt>
                <c:pt idx="1">
                  <c:v>14873.7</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16786412169683"/>
          <c:y val="0.351477940812958"/>
          <c:w val="0.32457484437482"/>
          <c:h val="0.28707402716916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spc="0" baseline="0">
                <a:solidFill>
                  <a:schemeClr val="tx1">
                    <a:lumMod val="65000"/>
                    <a:lumOff val="35000"/>
                  </a:schemeClr>
                </a:solidFill>
                <a:latin typeface="+mn-lt"/>
                <a:ea typeface="+mn-ea"/>
                <a:cs typeface="+mn-cs"/>
              </a:defRPr>
            </a:pPr>
            <a:r>
              <a:rPr lang="zh-CN" altLang="en-US" sz="1800" b="1">
                <a:solidFill>
                  <a:schemeClr val="tx1"/>
                </a:solidFill>
              </a:rPr>
              <a:t>支出决算结构图</a:t>
            </a:r>
            <a:endParaRPr altLang="en-US" sz="1800" b="1">
              <a:solidFill>
                <a:schemeClr val="tx1"/>
              </a:solidFill>
            </a:endParaRPr>
          </a:p>
        </c:rich>
      </c:tx>
      <c:layout/>
      <c:overlay val="0"/>
      <c:spPr>
        <a:solidFill>
          <a:sysClr val="window" lastClr="FFFFFF"/>
        </a:solidFill>
        <a:ln>
          <a:noFill/>
        </a:ln>
        <a:effectLst/>
      </c:spPr>
    </c:title>
    <c:autoTitleDeleted val="0"/>
    <c:plotArea>
      <c:layout>
        <c:manualLayout>
          <c:layoutTarget val="inner"/>
          <c:xMode val="edge"/>
          <c:yMode val="edge"/>
          <c:x val="0.24592075724577"/>
          <c:y val="0.175393154486586"/>
          <c:w val="0.433723404255319"/>
          <c:h val="0.754301572617947"/>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32652538113587"/>
                  <c:y val="-0.0714506107643113"/>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203750544479812"/>
                  <c:y val="0.0465177329244575"/>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[决算公开饼状图.xlsx]Sheet1!$B$56:$C$56</c:f>
              <c:strCache>
                <c:ptCount val="2"/>
                <c:pt idx="0">
                  <c:v>基本支出</c:v>
                </c:pt>
                <c:pt idx="1">
                  <c:v>项目支出</c:v>
                </c:pt>
              </c:strCache>
            </c:strRef>
          </c:cat>
          <c:val>
            <c:numRef>
              <c:f>[决算公开饼状图.xlsx]Sheet1!$B$57:$C$57</c:f>
              <c:numCache>
                <c:formatCode>General</c:formatCode>
                <c:ptCount val="2"/>
                <c:pt idx="0">
                  <c:v>594.8</c:v>
                </c:pt>
                <c:pt idx="1">
                  <c:v>17285.27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70296321655445"/>
          <c:y val="0.492203257201545"/>
          <c:w val="0.122349947802418"/>
          <c:h val="0.149754976280139"/>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财政拨款收、支变动情况</a:t>
            </a:r>
            <a:endParaRPr altLang="en-US"/>
          </a:p>
        </c:rich>
      </c:tx>
      <c:layout/>
      <c:overlay val="0"/>
    </c:title>
    <c:autoTitleDeleted val="0"/>
    <c:plotArea>
      <c:layout>
        <c:manualLayout>
          <c:layoutTarget val="inner"/>
          <c:xMode val="edge"/>
          <c:yMode val="edge"/>
          <c:x val="0.0826678569248612"/>
          <c:y val="0.178600823045267"/>
          <c:w val="0.651583043398645"/>
          <c:h val="0.676231165548751"/>
        </c:manualLayout>
      </c:layout>
      <c:barChart>
        <c:barDir val="col"/>
        <c:grouping val="clustered"/>
        <c:varyColors val="0"/>
        <c:ser>
          <c:idx val="0"/>
          <c:order val="0"/>
          <c:tx>
            <c:strRef>
              <c:f>[决算公开饼状图.xlsx]Sheet1!$A$83</c:f>
              <c:strCache>
                <c:ptCount val="1"/>
                <c:pt idx="0">
                  <c:v>2018年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[决算公开饼状图.xlsx]Sheet1!$B$82:$C$82</c:f>
              <c:strCache>
                <c:ptCount val="2"/>
                <c:pt idx="0">
                  <c:v>财政拨款收入（万元）</c:v>
                </c:pt>
                <c:pt idx="1">
                  <c:v>财政拨款支出（万元）</c:v>
                </c:pt>
              </c:strCache>
            </c:strRef>
          </c:cat>
          <c:val>
            <c:numRef>
              <c:f>[决算公开饼状图.xlsx]Sheet1!$B$83:$C$83</c:f>
              <c:numCache>
                <c:formatCode>General</c:formatCode>
                <c:ptCount val="2"/>
                <c:pt idx="0">
                  <c:v>40231.24</c:v>
                </c:pt>
                <c:pt idx="1">
                  <c:v>17880.07</c:v>
                </c:pt>
              </c:numCache>
            </c:numRef>
          </c:val>
        </c:ser>
        <c:ser>
          <c:idx val="1"/>
          <c:order val="1"/>
          <c:tx>
            <c:strRef>
              <c:f>[决算公开饼状图.xlsx]Sheet1!$A$84</c:f>
              <c:strCache>
                <c:ptCount val="1"/>
                <c:pt idx="0">
                  <c:v>2017年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[决算公开饼状图.xlsx]Sheet1!$B$82:$C$82</c:f>
              <c:strCache>
                <c:ptCount val="2"/>
                <c:pt idx="0">
                  <c:v>财政拨款收入（万元）</c:v>
                </c:pt>
                <c:pt idx="1">
                  <c:v>财政拨款支出（万元）</c:v>
                </c:pt>
              </c:strCache>
            </c:strRef>
          </c:cat>
          <c:val>
            <c:numRef>
              <c:f>[决算公开饼状图.20191119175134069.xlsx]Sheet1!$B$84:$C$84</c:f>
              <c:numCache>
                <c:formatCode>General</c:formatCode>
                <c:ptCount val="2"/>
                <c:pt idx="0">
                  <c:v>15618.99</c:v>
                </c:pt>
                <c:pt idx="1">
                  <c:v>13281.18</c:v>
                </c:pt>
              </c:numCache>
            </c:numRef>
          </c:val>
        </c:ser>
        <c:dLbls>
          <c:showLegendKey val="0"/>
          <c:showVal val="1"/>
          <c:showCatName val="0"/>
          <c:showSerName val="0"/>
          <c:showPercent val="0"/>
          <c:showBubbleSize val="0"/>
        </c:dLbls>
        <c:gapWidth val="150"/>
        <c:axId val="83856768"/>
        <c:axId val="83866752"/>
      </c:barChart>
      <c:catAx>
        <c:axId val="838567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3866752"/>
        <c:crosses val="autoZero"/>
        <c:auto val="1"/>
        <c:lblAlgn val="ctr"/>
        <c:lblOffset val="100"/>
        <c:noMultiLvlLbl val="0"/>
      </c:catAx>
      <c:valAx>
        <c:axId val="83866752"/>
        <c:scaling>
          <c:orientation val="minMax"/>
        </c:scaling>
        <c:delete val="0"/>
        <c:axPos val="l"/>
        <c:majorGridlines/>
        <c:numFmt formatCode="General" sourceLinked="1"/>
        <c:majorTickMark val="none"/>
        <c:minorTickMark val="none"/>
        <c:tickLblPos val="nextTo"/>
        <c:spPr>
          <a:noFill/>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856768"/>
        <c:crosses val="autoZero"/>
        <c:crossBetween val="between"/>
      </c:valAx>
      <c:spPr>
        <a:noFill/>
        <a:ln>
          <a:noFill/>
        </a:ln>
        <a:effectLst/>
      </c:spPr>
    </c:plotArea>
    <c:legend>
      <c:legendPos val="r"/>
      <c:layout>
        <c:manualLayout>
          <c:xMode val="edge"/>
          <c:yMode val="edge"/>
          <c:x val="0.813708264664592"/>
          <c:y val="0.410801983085448"/>
          <c:w val="0.114250133544286"/>
          <c:h val="0.12654418197725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altLang="en-US"/>
              <a:t>一般公共预算财政拨款支出</a:t>
            </a:r>
            <a:r>
              <a:rPr lang="zh-CN" altLang="en-US"/>
              <a:t>变动情况</a:t>
            </a:r>
            <a:endParaRPr altLang="en-US"/>
          </a:p>
        </c:rich>
      </c:tx>
      <c:layout/>
      <c:overlay val="0"/>
    </c:title>
    <c:autoTitleDeleted val="0"/>
    <c:plotArea>
      <c:layout>
        <c:manualLayout>
          <c:layoutTarget val="inner"/>
          <c:xMode val="edge"/>
          <c:yMode val="edge"/>
          <c:x val="0.105267087055913"/>
          <c:y val="0.152816901408451"/>
          <c:w val="0.450625256223056"/>
          <c:h val="0.752168241939346"/>
        </c:manualLayout>
      </c:layout>
      <c:barChart>
        <c:barDir val="col"/>
        <c:grouping val="clustered"/>
        <c:varyColors val="0"/>
        <c:ser>
          <c:idx val="0"/>
          <c:order val="0"/>
          <c:tx>
            <c:strRef>
              <c:f>[决算公开饼状图.xlsx]Sheet1!$A$109</c:f>
              <c:strCache>
                <c:ptCount val="1"/>
                <c:pt idx="0">
                  <c:v>一般公共预算财政拨款支出（万元）</c:v>
                </c:pt>
              </c:strCache>
            </c:strRef>
          </c:tx>
          <c:spPr>
            <a:solidFill>
              <a:schemeClr val="accent1"/>
            </a:solidFill>
            <a:ln>
              <a:noFill/>
            </a:ln>
            <a:effectLst/>
          </c:spPr>
          <c:invertIfNegative val="0"/>
          <c:dLbls>
            <c:dLbl>
              <c:idx val="0"/>
              <c:layout>
                <c:manualLayout>
                  <c:x val="0.0018700327255727"/>
                  <c:y val="-0.122772277227723"/>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74006545114533"/>
                  <c:y val="-0.099009900990099"/>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[决算公开饼状图.xlsx]Sheet1!$B$108:$C$108</c:f>
              <c:strCache>
                <c:ptCount val="2"/>
                <c:pt idx="0">
                  <c:v>2017年</c:v>
                </c:pt>
                <c:pt idx="1">
                  <c:v>2018年</c:v>
                </c:pt>
              </c:strCache>
            </c:strRef>
          </c:cat>
          <c:val>
            <c:numRef>
              <c:f>[决算公开饼状图.xlsx]Sheet1!$B$109:$C$109</c:f>
              <c:numCache>
                <c:formatCode>General</c:formatCode>
                <c:ptCount val="2"/>
                <c:pt idx="0">
                  <c:v>9848.09</c:v>
                </c:pt>
                <c:pt idx="1">
                  <c:v>6084.18</c:v>
                </c:pt>
              </c:numCache>
            </c:numRef>
          </c:val>
        </c:ser>
        <c:dLbls>
          <c:showLegendKey val="0"/>
          <c:showVal val="1"/>
          <c:showCatName val="0"/>
          <c:showSerName val="0"/>
          <c:showPercent val="0"/>
          <c:showBubbleSize val="0"/>
        </c:dLbls>
        <c:gapWidth val="75"/>
        <c:overlap val="40"/>
        <c:axId val="105753984"/>
        <c:axId val="105772160"/>
      </c:barChart>
      <c:catAx>
        <c:axId val="1057539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105772160"/>
        <c:crosses val="autoZero"/>
        <c:auto val="1"/>
        <c:lblAlgn val="ctr"/>
        <c:lblOffset val="100"/>
        <c:noMultiLvlLbl val="0"/>
      </c:catAx>
      <c:valAx>
        <c:axId val="105772160"/>
        <c:scaling>
          <c:orientation val="minMax"/>
        </c:scaling>
        <c:delete val="0"/>
        <c:axPos val="l"/>
        <c:majorGridlines/>
        <c:numFmt formatCode="#,##0.00;[Red]\-#,##0.00" sourceLinked="0"/>
        <c:majorTickMark val="none"/>
        <c:minorTickMark val="none"/>
        <c:tickLblPos val="nextTo"/>
        <c:spPr>
          <a:noFill/>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5753984"/>
        <c:crosses val="autoZero"/>
        <c:crossBetween val="between"/>
      </c:valAx>
      <c:spPr>
        <a:noFill/>
        <a:ln>
          <a:noFill/>
        </a:ln>
        <a:effectLst/>
      </c:spPr>
    </c:plotArea>
    <c:legend>
      <c:legendPos val="r"/>
      <c:layout>
        <c:manualLayout>
          <c:xMode val="edge"/>
          <c:yMode val="edge"/>
          <c:x val="0.568405029241576"/>
          <c:y val="0.527332538538317"/>
          <c:w val="0.394183761182775"/>
          <c:h val="0.059419429965620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一般公共预算财政拨款支出结构</a:t>
            </a:r>
            <a:endParaRPr lang="zh-CN" altLang="en-US"/>
          </a:p>
        </c:rich>
      </c:tx>
      <c:layout/>
      <c:overlay val="0"/>
    </c:title>
    <c:autoTitleDeleted val="0"/>
    <c:plotArea>
      <c:layout>
        <c:manualLayout>
          <c:layoutTarget val="inner"/>
          <c:xMode val="edge"/>
          <c:yMode val="edge"/>
          <c:x val="0.177532959093969"/>
          <c:y val="0.255476375887243"/>
          <c:w val="0.42314189487376"/>
          <c:h val="0.744782462939796"/>
        </c:manualLayout>
      </c:layout>
      <c:pieChart>
        <c:varyColors val="1"/>
        <c:ser>
          <c:idx val="0"/>
          <c:order val="0"/>
          <c:explosion val="25"/>
          <c:dPt>
            <c:idx val="0"/>
            <c:bubble3D val="0"/>
          </c:dPt>
          <c:dPt>
            <c:idx val="1"/>
            <c:bubble3D val="0"/>
          </c:dPt>
          <c:dPt>
            <c:idx val="2"/>
            <c:bubble3D val="0"/>
          </c:dPt>
          <c:dLbls>
            <c:dLbl>
              <c:idx val="0"/>
              <c:layout>
                <c:manualLayout>
                  <c:x val="-0.115764326334208"/>
                  <c:y val="-0.011377588218139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4059930008749"/>
                  <c:y val="0.051294838145231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46942475940507"/>
                  <c:y val="-0.036828885972586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[决算公开饼状图.xlsx]Sheet1!$B$143:$D$143</c:f>
              <c:strCache>
                <c:ptCount val="3"/>
                <c:pt idx="0">
                  <c:v>社会保障和就业支出</c:v>
                </c:pt>
                <c:pt idx="1">
                  <c:v>住房保障支出</c:v>
                </c:pt>
                <c:pt idx="2">
                  <c:v>城乡社区支出</c:v>
                </c:pt>
              </c:strCache>
            </c:strRef>
          </c:cat>
          <c:val>
            <c:numRef>
              <c:f>[决算公开饼状图.xlsx]Sheet1!$B$144:$D$144</c:f>
              <c:numCache>
                <c:formatCode>General</c:formatCode>
                <c:ptCount val="3"/>
                <c:pt idx="0">
                  <c:v>43.41</c:v>
                </c:pt>
                <c:pt idx="1">
                  <c:v>5515.54</c:v>
                </c:pt>
                <c:pt idx="2">
                  <c:v>525.23</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731089533869119"/>
          <c:y val="0.459651449386001"/>
          <c:w val="0.255235254909885"/>
          <c:h val="0.2409925767589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spc="0" baseline="0">
                <a:solidFill>
                  <a:schemeClr val="tx1"/>
                </a:solidFill>
                <a:latin typeface="+mn-lt"/>
                <a:ea typeface="+mn-ea"/>
                <a:cs typeface="+mn-cs"/>
              </a:defRPr>
            </a:pPr>
            <a:r>
              <a:rPr altLang="en-US" sz="1800" b="1">
                <a:solidFill>
                  <a:schemeClr val="tx1"/>
                </a:solidFill>
              </a:rPr>
              <a:t>三公经费</a:t>
            </a:r>
            <a:r>
              <a:rPr lang="zh-CN" altLang="en-US" sz="1800" b="1">
                <a:solidFill>
                  <a:schemeClr val="tx1"/>
                </a:solidFill>
              </a:rPr>
              <a:t>财政拨款支出结构</a:t>
            </a:r>
            <a:r>
              <a:rPr altLang="en-US" sz="1800" b="1">
                <a:solidFill>
                  <a:schemeClr val="tx1"/>
                </a:solidFill>
              </a:rPr>
              <a:t>（万元）</a:t>
            </a:r>
            <a:endParaRPr altLang="en-US" sz="1800" b="1">
              <a:solidFill>
                <a:schemeClr val="tx1"/>
              </a:solidFill>
            </a:endParaRPr>
          </a:p>
        </c:rich>
      </c:tx>
      <c:layout/>
      <c:overlay val="0"/>
      <c:spPr>
        <a:noFill/>
        <a:ln>
          <a:noFill/>
        </a:ln>
        <a:effectLst/>
      </c:spPr>
    </c:title>
    <c:autoTitleDeleted val="0"/>
    <c:plotArea>
      <c:layout>
        <c:manualLayout>
          <c:layoutTarget val="inner"/>
          <c:xMode val="edge"/>
          <c:yMode val="edge"/>
          <c:x val="0.137524582931407"/>
          <c:y val="0.20484429065744"/>
          <c:w val="0.371889838556505"/>
          <c:h val="0.677508650519032"/>
        </c:manualLayout>
      </c:layout>
      <c:pieChart>
        <c:varyColors val="1"/>
        <c:ser>
          <c:idx val="0"/>
          <c:order val="0"/>
          <c:tx>
            <c:strRef>
              <c:f>[决算公开饼状图.xlsx]Sheet1!$A$168</c:f>
              <c:strCache>
                <c:ptCount val="1"/>
                <c:pt idx="0">
                  <c:v>三公经费支出（万元）</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47286821705426"/>
                  <c:y val="-0.0501930501930502"/>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872093023255814"/>
                  <c:y val="0.0579150579150579"/>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0077519379845"/>
                  <c:y val="-0.0694980694980695"/>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[决算公开饼状图.xlsx]Sheet1!$B$167:$D$167</c:f>
              <c:strCache>
                <c:ptCount val="3"/>
                <c:pt idx="0">
                  <c:v>公务接待费</c:v>
                </c:pt>
                <c:pt idx="1">
                  <c:v>公务用车购置及运行维护费</c:v>
                </c:pt>
                <c:pt idx="2">
                  <c:v>因公出国（境）费</c:v>
                </c:pt>
              </c:strCache>
            </c:strRef>
          </c:cat>
          <c:val>
            <c:numRef>
              <c:f>[决算公开饼状图.xlsx]Sheet1!$B$168:$D$168</c:f>
              <c:numCache>
                <c:formatCode>General</c:formatCode>
                <c:ptCount val="3"/>
                <c:pt idx="0">
                  <c:v>1.7</c:v>
                </c:pt>
                <c:pt idx="1">
                  <c:v>6.98</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90327897047057"/>
          <c:y val="0.404183581723565"/>
          <c:w val="0.255594060916804"/>
          <c:h val="0.24951874258960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12366148531952"/>
          <c:y val="0.0275793650793651"/>
          <c:w val="0.869361111111111"/>
          <c:h val="0.710972222222222"/>
        </c:manualLayout>
      </c:layout>
      <c:barChart>
        <c:barDir val="col"/>
        <c:grouping val="clustered"/>
        <c:varyColors val="0"/>
        <c:ser>
          <c:idx val="0"/>
          <c:order val="0"/>
          <c:tx>
            <c:strRef>
              <c:f>[决算公开饼状图.xlsx]Sheet1!$A$197</c:f>
              <c:strCache>
                <c:ptCount val="1"/>
                <c:pt idx="0">
                  <c:v>政府性基金预算财政拨款支出（万元)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[决算公开饼状图.xlsx]Sheet1!$B$196:$C$196</c:f>
              <c:strCache>
                <c:ptCount val="2"/>
                <c:pt idx="0">
                  <c:v>2017年</c:v>
                </c:pt>
                <c:pt idx="1">
                  <c:v>2018年</c:v>
                </c:pt>
              </c:strCache>
            </c:strRef>
          </c:cat>
          <c:val>
            <c:numRef>
              <c:f>[决算公开饼状图.xlsx]Sheet1!$B$197:$C$197</c:f>
              <c:numCache>
                <c:formatCode>General</c:formatCode>
                <c:ptCount val="2"/>
                <c:pt idx="0">
                  <c:v>3433.1</c:v>
                </c:pt>
                <c:pt idx="1">
                  <c:v>11795.89</c:v>
                </c:pt>
              </c:numCache>
            </c:numRef>
          </c:val>
        </c:ser>
        <c:dLbls>
          <c:showLegendKey val="0"/>
          <c:showVal val="1"/>
          <c:showCatName val="0"/>
          <c:showSerName val="0"/>
          <c:showPercent val="0"/>
          <c:showBubbleSize val="0"/>
        </c:dLbls>
        <c:gapWidth val="219"/>
        <c:overlap val="-27"/>
        <c:axId val="495818903"/>
        <c:axId val="118869126"/>
      </c:barChart>
      <c:catAx>
        <c:axId val="49581890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8869126"/>
        <c:crosses val="autoZero"/>
        <c:auto val="1"/>
        <c:lblAlgn val="ctr"/>
        <c:lblOffset val="100"/>
        <c:noMultiLvlLbl val="0"/>
      </c:catAx>
      <c:valAx>
        <c:axId val="1188691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58189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政府性基金预算财政拨款支出决算结构图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[决算公开饼状图.xlsx]Sheet1!$B$226:$F$226</c:f>
              <c:strCache>
                <c:ptCount val="5"/>
                <c:pt idx="0">
                  <c:v>文化体育与传媒支出</c:v>
                </c:pt>
                <c:pt idx="1">
                  <c:v>社会保障和就业支出</c:v>
                </c:pt>
                <c:pt idx="2">
                  <c:v>城乡社区支出</c:v>
                </c:pt>
                <c:pt idx="3">
                  <c:v>农林水支出</c:v>
                </c:pt>
                <c:pt idx="4">
                  <c:v>商业服务业支出</c:v>
                </c:pt>
              </c:strCache>
            </c:strRef>
          </c:cat>
          <c:val>
            <c:numRef>
              <c:f>[决算公开饼状图.xlsx]Sheet1!$B$227:$F$227</c:f>
              <c:numCache>
                <c:formatCode>General</c:formatCode>
                <c:ptCount val="5"/>
                <c:pt idx="0">
                  <c:v>0</c:v>
                </c:pt>
                <c:pt idx="1" c:formatCode="0%">
                  <c:v>1</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13</TotalTime>
  <ScaleCrop>false</ScaleCrop>
  <LinksUpToDate>false</LinksUpToDate>
  <CharactersWithSpaces>9641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Crystal</cp:lastModifiedBy>
  <cp:lastPrinted>2019-11-21T06:23:07Z</cp:lastPrinted>
  <dcterms:modified xsi:type="dcterms:W3CDTF">2019-11-21T06:33:51Z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