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lang w:val="en-US" w:eastAsia="zh-CN"/>
        </w:rPr>
        <w:t>2018年度</w:t>
      </w:r>
    </w:p>
    <w:p>
      <w:pPr>
        <w:spacing w:line="600" w:lineRule="exact"/>
        <w:jc w:val="center"/>
        <w:rPr>
          <w:rFonts w:hint="default"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lang w:val="en-US" w:eastAsia="zh-CN"/>
        </w:rPr>
        <w:t>大竹县级机关幼儿园部门决算公开</w:t>
      </w: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4"/>
      </w:pPr>
      <w:r>
        <w:rPr>
          <w:rFonts w:hint="eastAsia"/>
        </w:rPr>
        <w:t>公开时间：2019年</w:t>
      </w:r>
      <w:r>
        <w:rPr>
          <w:rFonts w:hint="eastAsia"/>
          <w:lang w:val="en-US" w:eastAsia="zh-CN"/>
        </w:rPr>
        <w:t>11</w:t>
      </w:r>
      <w:r>
        <w:rPr>
          <w:rFonts w:hint="eastAsia"/>
        </w:rPr>
        <w:t>月</w:t>
      </w:r>
      <w:r>
        <w:rPr>
          <w:rFonts w:hint="eastAsia"/>
          <w:lang w:val="en-US" w:eastAsia="zh-CN"/>
        </w:rPr>
        <w:t xml:space="preserve"> 23 </w:t>
      </w:r>
      <w:r>
        <w:rPr>
          <w:rFonts w:hint="eastAsia"/>
        </w:rPr>
        <w:t>日</w:t>
      </w:r>
    </w:p>
    <w:p/>
    <w:p>
      <w:pPr>
        <w:pStyle w:val="4"/>
        <w:rPr>
          <w:rFonts w:cstheme="minorBidi"/>
        </w:rPr>
      </w:pPr>
      <w:r>
        <w:fldChar w:fldCharType="begin"/>
      </w:r>
      <w:r>
        <w:instrText xml:space="preserve"> HYPERLINK \l "_Toc15396599" </w:instrText>
      </w:r>
      <w:r>
        <w:fldChar w:fldCharType="separate"/>
      </w:r>
      <w:r>
        <w:rPr>
          <w:rStyle w:val="9"/>
          <w:rFonts w:hint="eastAsia"/>
        </w:rPr>
        <w:t>第一部分</w:t>
      </w:r>
      <w:r>
        <w:rPr>
          <w:rStyle w:val="9"/>
        </w:rPr>
        <w:t xml:space="preserve"> </w:t>
      </w:r>
      <w:r>
        <w:rPr>
          <w:rStyle w:val="9"/>
          <w:rFonts w:hint="eastAsia"/>
        </w:rPr>
        <w:t>部门概况</w:t>
      </w:r>
      <w:r>
        <w:tab/>
      </w:r>
      <w:r>
        <w:rPr>
          <w:rFonts w:hint="eastAsia"/>
        </w:rPr>
        <w:t>4</w:t>
      </w:r>
      <w:r>
        <w:rPr>
          <w:rFonts w:hint="eastAsia"/>
        </w:rPr>
        <w:fldChar w:fldCharType="end"/>
      </w:r>
    </w:p>
    <w:p>
      <w:pPr>
        <w:pStyle w:val="5"/>
        <w:rPr>
          <w:rFonts w:ascii="仿宋" w:hAnsi="仿宋" w:eastAsia="仿宋" w:cstheme="minorBidi"/>
          <w:sz w:val="28"/>
          <w:szCs w:val="28"/>
        </w:rPr>
      </w:pPr>
      <w:r>
        <w:fldChar w:fldCharType="begin"/>
      </w:r>
      <w:r>
        <w:instrText xml:space="preserve"> HYPERLINK \l "_Toc15396600" </w:instrText>
      </w:r>
      <w:r>
        <w:fldChar w:fldCharType="separate"/>
      </w:r>
      <w:r>
        <w:rPr>
          <w:rStyle w:val="9"/>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"_Toc15396601" </w:instrText>
      </w:r>
      <w:r>
        <w:fldChar w:fldCharType="separate"/>
      </w:r>
      <w:r>
        <w:rPr>
          <w:rStyle w:val="9"/>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4"/>
      </w:pPr>
      <w:r>
        <w:fldChar w:fldCharType="begin"/>
      </w:r>
      <w:r>
        <w:instrText xml:space="preserve"> HYPERLINK \l "_Toc15396602" </w:instrText>
      </w:r>
      <w:r>
        <w:fldChar w:fldCharType="separate"/>
      </w:r>
      <w:r>
        <w:rPr>
          <w:rStyle w:val="9"/>
          <w:rFonts w:hint="eastAsia"/>
        </w:rPr>
        <w:t>第二部分</w:t>
      </w:r>
      <w:r>
        <w:rPr>
          <w:rStyle w:val="9"/>
        </w:rPr>
        <w:t xml:space="preserve"> 2018</w:t>
      </w:r>
      <w:r>
        <w:rPr>
          <w:rStyle w:val="9"/>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5"/>
        <w:rPr>
          <w:rFonts w:ascii="仿宋" w:hAnsi="仿宋" w:eastAsia="仿宋" w:cstheme="minorBidi"/>
          <w:sz w:val="28"/>
          <w:szCs w:val="28"/>
        </w:rPr>
      </w:pPr>
      <w:r>
        <w:fldChar w:fldCharType="begin"/>
      </w:r>
      <w:r>
        <w:instrText xml:space="preserve"> HYPERLINK \l "_Toc15396603" </w:instrText>
      </w:r>
      <w:r>
        <w:fldChar w:fldCharType="separate"/>
      </w:r>
      <w:r>
        <w:rPr>
          <w:rStyle w:val="9"/>
          <w:rFonts w:hint="eastAsia" w:ascii="仿宋" w:hAnsi="仿宋" w:eastAsia="仿宋" w:cstheme="majorBidi"/>
          <w:bCs/>
          <w:sz w:val="28"/>
          <w:szCs w:val="28"/>
        </w:rPr>
        <w:t>一、</w:t>
      </w:r>
      <w:r>
        <w:rPr>
          <w:rStyle w:val="9"/>
          <w:rFonts w:hint="eastAsia" w:ascii="仿宋" w:hAnsi="仿宋" w:eastAsia="仿宋"/>
          <w:sz w:val="28"/>
          <w:szCs w:val="28"/>
        </w:rPr>
        <w:t>收</w:t>
      </w:r>
      <w:r>
        <w:rPr>
          <w:rStyle w:val="9"/>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"_Toc15396604" </w:instrText>
      </w:r>
      <w:r>
        <w:fldChar w:fldCharType="separate"/>
      </w:r>
      <w:r>
        <w:rPr>
          <w:rStyle w:val="9"/>
          <w:rFonts w:hint="eastAsia" w:ascii="仿宋" w:hAnsi="仿宋" w:eastAsia="仿宋" w:cstheme="majorBidi"/>
          <w:bCs/>
          <w:sz w:val="28"/>
          <w:szCs w:val="28"/>
        </w:rPr>
        <w:t>二、</w:t>
      </w:r>
      <w:r>
        <w:rPr>
          <w:rStyle w:val="9"/>
          <w:rFonts w:hint="eastAsia" w:ascii="仿宋" w:hAnsi="仿宋" w:eastAsia="仿宋"/>
          <w:sz w:val="28"/>
          <w:szCs w:val="28"/>
        </w:rPr>
        <w:t>收</w:t>
      </w:r>
      <w:r>
        <w:rPr>
          <w:rStyle w:val="9"/>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"_Toc15396605" </w:instrText>
      </w:r>
      <w:r>
        <w:fldChar w:fldCharType="separate"/>
      </w:r>
      <w:r>
        <w:rPr>
          <w:rStyle w:val="9"/>
          <w:rFonts w:hint="eastAsia" w:ascii="仿宋" w:hAnsi="仿宋" w:eastAsia="仿宋" w:cstheme="majorBidi"/>
          <w:bCs/>
          <w:sz w:val="28"/>
          <w:szCs w:val="28"/>
        </w:rPr>
        <w:t>三、</w:t>
      </w:r>
      <w:r>
        <w:rPr>
          <w:rStyle w:val="9"/>
          <w:rFonts w:hint="eastAsia" w:ascii="仿宋" w:hAnsi="仿宋" w:eastAsia="仿宋"/>
          <w:sz w:val="28"/>
          <w:szCs w:val="28"/>
        </w:rPr>
        <w:t>支</w:t>
      </w:r>
      <w:r>
        <w:rPr>
          <w:rStyle w:val="9"/>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"_Toc15396606" </w:instrText>
      </w:r>
      <w:r>
        <w:fldChar w:fldCharType="separate"/>
      </w:r>
      <w:r>
        <w:rPr>
          <w:rStyle w:val="9"/>
          <w:rFonts w:hint="eastAsia" w:ascii="仿宋" w:hAnsi="仿宋" w:eastAsia="仿宋"/>
          <w:sz w:val="28"/>
          <w:szCs w:val="28"/>
        </w:rPr>
        <w:t>四、财</w:t>
      </w:r>
      <w:r>
        <w:rPr>
          <w:rStyle w:val="9"/>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"_Toc15396607" </w:instrText>
      </w:r>
      <w:r>
        <w:fldChar w:fldCharType="separate"/>
      </w:r>
      <w:r>
        <w:rPr>
          <w:rStyle w:val="9"/>
          <w:rFonts w:hint="eastAsia" w:ascii="仿宋" w:hAnsi="仿宋" w:eastAsia="仿宋"/>
          <w:sz w:val="28"/>
          <w:szCs w:val="28"/>
        </w:rPr>
        <w:t>五、一</w:t>
      </w:r>
      <w:r>
        <w:rPr>
          <w:rStyle w:val="9"/>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"_Toc15396608" </w:instrText>
      </w:r>
      <w:r>
        <w:fldChar w:fldCharType="separate"/>
      </w:r>
      <w:r>
        <w:rPr>
          <w:rStyle w:val="9"/>
          <w:rFonts w:hint="eastAsia" w:ascii="仿宋" w:hAnsi="仿宋" w:eastAsia="仿宋"/>
          <w:sz w:val="28"/>
          <w:szCs w:val="28"/>
        </w:rPr>
        <w:t>六、一</w:t>
      </w:r>
      <w:r>
        <w:rPr>
          <w:rStyle w:val="9"/>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"_Toc15396609" </w:instrText>
      </w:r>
      <w:r>
        <w:fldChar w:fldCharType="separate"/>
      </w:r>
      <w:r>
        <w:rPr>
          <w:rStyle w:val="9"/>
          <w:rFonts w:hint="eastAsia" w:ascii="仿宋" w:hAnsi="仿宋" w:eastAsia="仿宋"/>
          <w:sz w:val="28"/>
          <w:szCs w:val="28"/>
        </w:rPr>
        <w:t>七、</w:t>
      </w:r>
      <w:r>
        <w:rPr>
          <w:rStyle w:val="9"/>
          <w:rFonts w:ascii="仿宋" w:hAnsi="仿宋" w:eastAsia="仿宋"/>
          <w:sz w:val="28"/>
          <w:szCs w:val="28"/>
        </w:rPr>
        <w:t>“</w:t>
      </w:r>
      <w:r>
        <w:rPr>
          <w:rStyle w:val="9"/>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"_Toc15396610" </w:instrText>
      </w:r>
      <w:r>
        <w:fldChar w:fldCharType="separate"/>
      </w:r>
      <w:r>
        <w:rPr>
          <w:rStyle w:val="9"/>
          <w:rFonts w:hint="eastAsia" w:ascii="仿宋" w:hAnsi="仿宋" w:eastAsia="仿宋"/>
          <w:sz w:val="28"/>
          <w:szCs w:val="28"/>
        </w:rPr>
        <w:t>八、</w:t>
      </w:r>
      <w:r>
        <w:rPr>
          <w:rStyle w:val="9"/>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"_Toc15396611" </w:instrText>
      </w:r>
      <w:r>
        <w:fldChar w:fldCharType="separate"/>
      </w:r>
      <w:r>
        <w:rPr>
          <w:rStyle w:val="9"/>
          <w:rFonts w:hint="eastAsia" w:ascii="仿宋" w:hAnsi="仿宋" w:eastAsia="仿宋" w:cstheme="majorBidi"/>
          <w:bCs/>
          <w:sz w:val="28"/>
          <w:szCs w:val="28"/>
        </w:rPr>
        <w:t>九、</w:t>
      </w:r>
      <w:r>
        <w:rPr>
          <w:rStyle w:val="9"/>
          <w:rFonts w:hint="eastAsia" w:ascii="仿宋" w:hAnsi="仿宋" w:eastAsia="仿宋"/>
          <w:sz w:val="28"/>
          <w:szCs w:val="28"/>
        </w:rPr>
        <w:t xml:space="preserve"> 国</w:t>
      </w:r>
      <w:r>
        <w:rPr>
          <w:rStyle w:val="9"/>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"_Toc15396612" </w:instrText>
      </w:r>
      <w:r>
        <w:fldChar w:fldCharType="separate"/>
      </w:r>
      <w:r>
        <w:rPr>
          <w:rStyle w:val="9"/>
          <w:rFonts w:hint="eastAsia" w:ascii="仿宋" w:hAnsi="仿宋" w:eastAsia="仿宋"/>
          <w:sz w:val="28"/>
          <w:szCs w:val="28"/>
        </w:rPr>
        <w:t>十</w:t>
      </w:r>
      <w:r>
        <w:rPr>
          <w:rStyle w:val="9"/>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4"/>
        <w:rPr>
          <w:rFonts w:cstheme="minorBidi"/>
        </w:rPr>
      </w:pPr>
      <w:r>
        <w:fldChar w:fldCharType="begin"/>
      </w:r>
      <w:r>
        <w:instrText xml:space="preserve"> HYPERLINK \l "_Toc15396613" </w:instrText>
      </w:r>
      <w:r>
        <w:fldChar w:fldCharType="separate"/>
      </w:r>
      <w:r>
        <w:rPr>
          <w:rStyle w:val="9"/>
          <w:rFonts w:hint="eastAsia"/>
          <w:bCs/>
          <w:kern w:val="44"/>
        </w:rPr>
        <w:t>第三部分</w:t>
      </w:r>
      <w:r>
        <w:rPr>
          <w:rStyle w:val="9"/>
          <w:rFonts w:hint="eastAsia"/>
        </w:rPr>
        <w:t xml:space="preserve"> 名</w:t>
      </w:r>
      <w:r>
        <w:rPr>
          <w:rStyle w:val="9"/>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4"/>
        <w:rPr>
          <w:rFonts w:cstheme="minorBidi"/>
        </w:rPr>
      </w:pPr>
      <w:r>
        <w:fldChar w:fldCharType="begin"/>
      </w:r>
      <w:r>
        <w:instrText xml:space="preserve"> HYPERLINK \l "_Toc15396614" </w:instrText>
      </w:r>
      <w:r>
        <w:fldChar w:fldCharType="separate"/>
      </w:r>
      <w:r>
        <w:rPr>
          <w:rStyle w:val="9"/>
          <w:rFonts w:hint="eastAsia"/>
        </w:rPr>
        <w:t>第</w:t>
      </w:r>
      <w:r>
        <w:rPr>
          <w:rStyle w:val="9"/>
          <w:rFonts w:hint="eastAsia"/>
          <w:bCs/>
          <w:kern w:val="44"/>
        </w:rPr>
        <w:t>四部分</w:t>
      </w:r>
      <w:r>
        <w:rPr>
          <w:rStyle w:val="9"/>
          <w:bCs/>
          <w:kern w:val="44"/>
        </w:rPr>
        <w:t xml:space="preserve"> </w:t>
      </w:r>
      <w:r>
        <w:rPr>
          <w:rStyle w:val="9"/>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5"/>
        <w:rPr>
          <w:rFonts w:ascii="仿宋" w:hAnsi="仿宋" w:eastAsia="仿宋" w:cstheme="minorBidi"/>
          <w:sz w:val="28"/>
          <w:szCs w:val="28"/>
        </w:rPr>
      </w:pPr>
      <w:r>
        <w:fldChar w:fldCharType="begin"/>
      </w:r>
      <w:r>
        <w:instrText xml:space="preserve"> HYPERLINK \l "_Toc15396615" </w:instrText>
      </w:r>
      <w:r>
        <w:fldChar w:fldCharType="separate"/>
      </w:r>
      <w:r>
        <w:rPr>
          <w:rStyle w:val="9"/>
          <w:rFonts w:hint="eastAsia" w:ascii="仿宋" w:hAnsi="仿宋" w:eastAsia="仿宋"/>
          <w:kern w:val="44"/>
          <w:sz w:val="28"/>
          <w:szCs w:val="28"/>
        </w:rPr>
        <w:t>附件</w:t>
      </w:r>
      <w:r>
        <w:rPr>
          <w:rStyle w:val="9"/>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fldChar w:fldCharType="begin"/>
      </w:r>
      <w:r>
        <w:instrText xml:space="preserve"> HYPERLINK \l "_Toc15396617" </w:instrText>
      </w:r>
      <w:r>
        <w:fldChar w:fldCharType="separate"/>
      </w:r>
      <w:r>
        <w:rPr>
          <w:rStyle w:val="9"/>
          <w:rFonts w:hint="eastAsia" w:ascii="仿宋" w:hAnsi="仿宋" w:eastAsia="仿宋"/>
          <w:kern w:val="44"/>
          <w:sz w:val="28"/>
          <w:szCs w:val="28"/>
        </w:rPr>
        <w:t>附件</w:t>
      </w:r>
      <w:r>
        <w:rPr>
          <w:rStyle w:val="9"/>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4"/>
        <w:rPr>
          <w:rFonts w:cstheme="minorBidi"/>
        </w:rPr>
      </w:pPr>
      <w:r>
        <w:fldChar w:fldCharType="begin"/>
      </w:r>
      <w:r>
        <w:instrText xml:space="preserve"> HYPERLINK \l "_Toc15396618" </w:instrText>
      </w:r>
      <w:r>
        <w:fldChar w:fldCharType="separate"/>
      </w:r>
      <w:r>
        <w:rPr>
          <w:rStyle w:val="9"/>
          <w:rFonts w:hint="eastAsia"/>
        </w:rPr>
        <w:t>第</w:t>
      </w:r>
      <w:r>
        <w:rPr>
          <w:rStyle w:val="9"/>
          <w:rFonts w:hint="eastAsia"/>
          <w:bCs/>
          <w:kern w:val="44"/>
        </w:rPr>
        <w:t>五部分</w:t>
      </w:r>
      <w:r>
        <w:rPr>
          <w:rStyle w:val="9"/>
          <w:bCs/>
          <w:kern w:val="44"/>
        </w:rPr>
        <w:t xml:space="preserve"> </w:t>
      </w:r>
      <w:r>
        <w:rPr>
          <w:rStyle w:val="9"/>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5"/>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9"/>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9"/>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9"/>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9"/>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9"/>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9"/>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9"/>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9"/>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9"/>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9"/>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9"/>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5"/>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9"/>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spacing w:line="600" w:lineRule="exact"/>
        <w:jc w:val="center"/>
        <w:rPr>
          <w:rFonts w:hint="eastAsia" w:ascii="方正小标宋简体" w:hAnsi="宋体" w:eastAsia="方正小标宋简体"/>
          <w:color w:val="000000"/>
          <w:sz w:val="44"/>
          <w:szCs w:val="44"/>
        </w:rPr>
      </w:pPr>
      <w:r>
        <w:rPr>
          <w:rFonts w:ascii="仿宋" w:hAnsi="仿宋" w:eastAsia="仿宋"/>
          <w:color w:val="000000"/>
          <w:sz w:val="24"/>
        </w:rPr>
        <w:fldChar w:fldCharType="end"/>
      </w: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大竹县级机关幼儿园</w:t>
      </w: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2018年部门决算编制说明</w:t>
      </w:r>
    </w:p>
    <w:p>
      <w:pPr>
        <w:spacing w:line="600" w:lineRule="exact"/>
        <w:jc w:val="center"/>
        <w:rPr>
          <w:rFonts w:ascii="宋体" w:hAnsi="宋体"/>
          <w:b/>
          <w:color w:val="000000"/>
          <w:sz w:val="44"/>
          <w:szCs w:val="44"/>
        </w:rPr>
      </w:pP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一、基本职能及主要工作</w:t>
      </w:r>
    </w:p>
    <w:p>
      <w:pPr>
        <w:ind w:firstLine="640" w:firstLineChars="200"/>
        <w:jc w:val="left"/>
        <w:rPr>
          <w:rFonts w:ascii="仿宋_GB2312" w:eastAsia="仿宋_GB2312"/>
          <w:sz w:val="32"/>
          <w:szCs w:val="32"/>
        </w:rPr>
      </w:pPr>
      <w:r>
        <w:rPr>
          <w:rFonts w:hint="eastAsia" w:ascii="仿宋_GB2312" w:eastAsia="仿宋_GB2312"/>
          <w:sz w:val="32"/>
          <w:szCs w:val="32"/>
        </w:rPr>
        <w:t>（一）主要职能：大竹县机关幼儿园是负责大竹县县级行政事业单位职工子女幼儿教育工作</w:t>
      </w:r>
      <w:r>
        <w:rPr>
          <w:rFonts w:hint="eastAsia" w:ascii="仿宋_GB2312" w:eastAsia="仿宋_GB2312"/>
          <w:sz w:val="30"/>
          <w:szCs w:val="30"/>
        </w:rPr>
        <w:t>。</w:t>
      </w:r>
      <w:r>
        <w:rPr>
          <w:rFonts w:hint="eastAsia" w:ascii="仿宋_GB2312" w:eastAsia="仿宋_GB2312"/>
          <w:sz w:val="30"/>
          <w:szCs w:val="30"/>
        </w:rPr>
        <w:br w:type="textWrapping"/>
      </w:r>
      <w:r>
        <w:rPr>
          <w:rFonts w:hint="eastAsia" w:ascii="仿宋_GB2312" w:eastAsia="仿宋_GB2312"/>
          <w:color w:val="000000"/>
          <w:sz w:val="30"/>
          <w:szCs w:val="30"/>
        </w:rPr>
        <w:t xml:space="preserve">　 </w:t>
      </w:r>
      <w:r>
        <w:rPr>
          <w:rFonts w:hint="eastAsia" w:ascii="仿宋_GB2312" w:eastAsia="仿宋_GB2312"/>
          <w:sz w:val="32"/>
          <w:szCs w:val="32"/>
        </w:rPr>
        <w:t>（二）机关幼儿园2018年重点工作</w:t>
      </w:r>
      <w:r>
        <w:rPr>
          <w:rFonts w:hint="eastAsia" w:ascii="仿宋_GB2312" w:eastAsia="仿宋_GB2312"/>
          <w:sz w:val="32"/>
          <w:szCs w:val="32"/>
        </w:rPr>
        <w:br w:type="textWrapping"/>
      </w:r>
      <w:r>
        <w:rPr>
          <w:rFonts w:hint="eastAsia" w:ascii="仿宋_GB2312" w:eastAsia="仿宋_GB2312"/>
          <w:sz w:val="32"/>
          <w:szCs w:val="32"/>
        </w:rPr>
        <w:t>　　1、加强党风廉政建设，不断强化拒腐防变能力。</w:t>
      </w:r>
    </w:p>
    <w:p>
      <w:pPr>
        <w:numPr>
          <w:ilvl w:val="0"/>
          <w:numId w:val="1"/>
        </w:numPr>
        <w:jc w:val="left"/>
        <w:rPr>
          <w:rFonts w:ascii="仿宋_GB2312" w:eastAsia="仿宋_GB2312"/>
          <w:sz w:val="32"/>
          <w:szCs w:val="32"/>
        </w:rPr>
      </w:pPr>
      <w:r>
        <w:rPr>
          <w:rFonts w:hint="eastAsia" w:ascii="仿宋_GB2312" w:eastAsia="仿宋_GB2312"/>
          <w:sz w:val="32"/>
          <w:szCs w:val="32"/>
        </w:rPr>
        <w:t>加强幼儿教育工作。</w:t>
      </w:r>
    </w:p>
    <w:p>
      <w:pPr>
        <w:ind w:firstLine="600"/>
        <w:rPr>
          <w:rFonts w:ascii="仿宋_GB2312" w:eastAsia="仿宋_GB2312"/>
          <w:sz w:val="32"/>
          <w:szCs w:val="32"/>
        </w:rPr>
      </w:pPr>
      <w:r>
        <w:rPr>
          <w:rFonts w:hint="eastAsia" w:ascii="仿宋_GB2312" w:eastAsia="仿宋_GB2312"/>
          <w:sz w:val="32"/>
          <w:szCs w:val="32"/>
        </w:rPr>
        <w:t>3、加强教师队伍建设、加快幼师力量培训。</w:t>
      </w:r>
    </w:p>
    <w:p>
      <w:pPr>
        <w:pStyle w:val="2"/>
        <w:adjustRightInd w:val="0"/>
        <w:snapToGrid w:val="0"/>
        <w:spacing w:before="93" w:line="600" w:lineRule="exact"/>
        <w:ind w:left="596" w:leftChars="284" w:firstLine="28" w:firstLineChars="9"/>
        <w:rPr>
          <w:rFonts w:ascii="黑体" w:eastAsia="黑体"/>
          <w:color w:val="000000"/>
          <w:sz w:val="32"/>
          <w:szCs w:val="32"/>
        </w:rPr>
      </w:pPr>
      <w:r>
        <w:rPr>
          <w:rFonts w:hint="eastAsia" w:ascii="黑体" w:eastAsia="黑体"/>
          <w:color w:val="000000"/>
          <w:sz w:val="32"/>
          <w:szCs w:val="32"/>
        </w:rPr>
        <w:t>二、部门概况</w:t>
      </w:r>
    </w:p>
    <w:p>
      <w:pPr>
        <w:rPr>
          <w:rFonts w:ascii="仿宋_GB2312" w:eastAsia="仿宋_GB2312"/>
          <w:sz w:val="30"/>
          <w:szCs w:val="30"/>
        </w:rPr>
      </w:pPr>
      <w:r>
        <w:rPr>
          <w:rFonts w:hint="eastAsia" w:ascii="仿宋_GB2312" w:eastAsia="仿宋_GB2312"/>
          <w:color w:val="000000"/>
          <w:sz w:val="28"/>
          <w:szCs w:val="28"/>
        </w:rPr>
        <w:t xml:space="preserve">    </w:t>
      </w:r>
      <w:r>
        <w:rPr>
          <w:rFonts w:hint="eastAsia" w:ascii="仿宋_GB2312" w:eastAsia="仿宋_GB2312"/>
          <w:sz w:val="32"/>
          <w:szCs w:val="32"/>
        </w:rPr>
        <w:t>大竹县县级机关幼儿园为事业单位，财政一级预算。</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三、收支决算总体情况说明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大竹县县级机关幼儿园2018年收入决算397.78万元，是一般公共预算拨款收入233.36万元，占58.66%，事业收入164.42万元，占41.34%。　</w:t>
      </w:r>
    </w:p>
    <w:p>
      <w:pPr>
        <w:spacing w:line="600" w:lineRule="exact"/>
        <w:jc w:val="center"/>
        <w:rPr>
          <w:rFonts w:ascii="仿宋_GB2312" w:eastAsia="仿宋_GB2312"/>
          <w:b/>
          <w:sz w:val="32"/>
          <w:szCs w:val="32"/>
        </w:rPr>
      </w:pPr>
      <w:r>
        <w:rPr>
          <w:rFonts w:hint="eastAsia" w:ascii="仿宋_GB2312" w:eastAsia="仿宋_GB2312"/>
          <w:b/>
          <w:sz w:val="32"/>
          <w:szCs w:val="32"/>
        </w:rPr>
        <w:t>2018年度收入总体图（单位：万元）</w:t>
      </w:r>
    </w:p>
    <w:p>
      <w:pPr>
        <w:jc w:val="center"/>
        <w:rPr>
          <w:rFonts w:hint="eastAsia"/>
        </w:rPr>
      </w:pPr>
      <w:r>
        <w:drawing>
          <wp:inline distT="0" distB="0" distL="0" distR="0">
            <wp:extent cx="4595495" cy="276669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srcRect/>
                    <a:stretch>
                      <a:fillRect/>
                    </a:stretch>
                  </pic:blipFill>
                  <pic:spPr>
                    <a:xfrm>
                      <a:off x="0" y="0"/>
                      <a:ext cx="4595495" cy="2766695"/>
                    </a:xfrm>
                    <a:prstGeom prst="rect">
                      <a:avLst/>
                    </a:prstGeom>
                    <a:noFill/>
                    <a:ln w="9525">
                      <a:noFill/>
                      <a:miter lim="800000"/>
                      <a:headEnd/>
                      <a:tailEnd/>
                    </a:ln>
                  </pic:spPr>
                </pic:pic>
              </a:graphicData>
            </a:graphic>
          </wp:inline>
        </w:drawing>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大竹县县级机关幼儿园2018年支出决算397.78万元。其中：学前教育361.25万元,占90.81%；社会保障和就业支出20.34万元，占5.11 %；住房保障支出12.2万元，占3.06%。</w:t>
      </w:r>
    </w:p>
    <w:p>
      <w:pPr>
        <w:spacing w:line="600" w:lineRule="exact"/>
        <w:jc w:val="center"/>
        <w:rPr>
          <w:rFonts w:ascii="仿宋_GB2312" w:eastAsia="仿宋_GB2312"/>
          <w:b/>
          <w:sz w:val="32"/>
          <w:szCs w:val="32"/>
        </w:rPr>
      </w:pPr>
      <w:r>
        <w:rPr>
          <w:rFonts w:hint="eastAsia" w:ascii="仿宋_GB2312" w:eastAsia="仿宋_GB2312"/>
          <w:b/>
          <w:sz w:val="32"/>
          <w:szCs w:val="32"/>
        </w:rPr>
        <w:t>2018年总体支出图(单位:万元)</w:t>
      </w:r>
    </w:p>
    <w:p>
      <w:pPr>
        <w:jc w:val="center"/>
        <w:rPr>
          <w:rFonts w:hint="eastAsia"/>
        </w:rPr>
      </w:pPr>
      <w:r>
        <w:drawing>
          <wp:inline distT="0" distB="0" distL="0" distR="0">
            <wp:extent cx="4548505" cy="2743200"/>
            <wp:effectExtent l="1905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srcRect/>
                    <a:stretch>
                      <a:fillRect/>
                    </a:stretch>
                  </pic:blipFill>
                  <pic:spPr>
                    <a:xfrm>
                      <a:off x="0" y="0"/>
                      <a:ext cx="4548505" cy="2743200"/>
                    </a:xfrm>
                    <a:prstGeom prst="rect">
                      <a:avLst/>
                    </a:prstGeom>
                    <a:noFill/>
                    <a:ln w="9525">
                      <a:noFill/>
                      <a:miter lim="800000"/>
                      <a:headEnd/>
                      <a:tailEnd/>
                    </a:ln>
                  </pic:spPr>
                </pic:pic>
              </a:graphicData>
            </a:graphic>
          </wp:inline>
        </w:drawing>
      </w:r>
    </w:p>
    <w:p>
      <w:pPr>
        <w:spacing w:line="600" w:lineRule="exact"/>
        <w:ind w:firstLine="640" w:firstLineChars="200"/>
        <w:rPr>
          <w:rFonts w:ascii="仿宋_GB2312" w:eastAsia="仿宋_GB2312"/>
          <w:color w:val="000000"/>
          <w:sz w:val="32"/>
          <w:szCs w:val="32"/>
        </w:rPr>
      </w:pPr>
      <w:r>
        <w:rPr>
          <w:rFonts w:hint="eastAsia" w:ascii="黑体" w:eastAsia="黑体"/>
          <w:color w:val="000000"/>
          <w:sz w:val="32"/>
          <w:szCs w:val="32"/>
        </w:rPr>
        <w:t>四、财政拨款收入支出决算总体情况说明</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2018年度财政拨款收、支总计233.36万元。与2017年165.13增加68.23万元，增长41.35%，原因是：学校维修项目资金48万元，比上年增加，人员增加和工资水平提高等原因。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财政拨款收入支出决算总体图(单位:万元)</w:t>
      </w:r>
    </w:p>
    <w:p>
      <w:pPr>
        <w:jc w:val="center"/>
        <w:rPr>
          <w:rFonts w:hint="eastAsia"/>
        </w:rPr>
      </w:pPr>
      <w:r>
        <w:drawing>
          <wp:inline distT="0" distB="0" distL="0" distR="0">
            <wp:extent cx="4631690" cy="276669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srcRect/>
                    <a:stretch>
                      <a:fillRect/>
                    </a:stretch>
                  </pic:blipFill>
                  <pic:spPr>
                    <a:xfrm>
                      <a:off x="0" y="0"/>
                      <a:ext cx="4631690" cy="2766695"/>
                    </a:xfrm>
                    <a:prstGeom prst="rect">
                      <a:avLst/>
                    </a:prstGeom>
                    <a:noFill/>
                    <a:ln w="9525">
                      <a:noFill/>
                      <a:miter lim="800000"/>
                      <a:headEnd/>
                      <a:tailEnd/>
                    </a:ln>
                  </pic:spPr>
                </pic:pic>
              </a:graphicData>
            </a:graphic>
          </wp:inline>
        </w:drawing>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五、一般公共预算财政拨款支出决算情况说明</w:t>
      </w:r>
    </w:p>
    <w:p>
      <w:pPr>
        <w:ind w:firstLine="600"/>
        <w:rPr>
          <w:rFonts w:ascii="仿宋_GB2312" w:eastAsia="仿宋_GB2312"/>
          <w:sz w:val="32"/>
          <w:szCs w:val="32"/>
        </w:rPr>
      </w:pPr>
      <w:r>
        <w:rPr>
          <w:rStyle w:val="8"/>
          <w:rFonts w:hint="eastAsia" w:ascii="仿宋_GB2312" w:eastAsia="仿宋_GB2312"/>
          <w:color w:val="000000"/>
          <w:sz w:val="30"/>
          <w:szCs w:val="30"/>
        </w:rPr>
        <w:t>1.教育支出（类）普通教育（款）学前教育（项）：</w:t>
      </w:r>
      <w:r>
        <w:rPr>
          <w:rFonts w:hint="eastAsia" w:ascii="仿宋_GB2312" w:eastAsia="仿宋_GB2312"/>
          <w:sz w:val="32"/>
          <w:szCs w:val="32"/>
        </w:rPr>
        <w:t>2018年决算支出196.83万元，主要是人员工资、社保、办公费、维修项目资金。</w:t>
      </w:r>
      <w:r>
        <w:rPr>
          <w:rFonts w:hint="eastAsia" w:ascii="仿宋_GB2312" w:eastAsia="仿宋_GB2312"/>
          <w:sz w:val="30"/>
          <w:szCs w:val="30"/>
        </w:rPr>
        <w:br w:type="textWrapping"/>
      </w:r>
      <w:r>
        <w:rPr>
          <w:rFonts w:hint="eastAsia" w:ascii="仿宋_GB2312" w:eastAsia="仿宋_GB2312"/>
          <w:color w:val="000000"/>
          <w:sz w:val="28"/>
          <w:szCs w:val="28"/>
        </w:rPr>
        <w:t>　　2</w:t>
      </w:r>
      <w:r>
        <w:rPr>
          <w:rStyle w:val="8"/>
          <w:rFonts w:hint="eastAsia" w:ascii="仿宋_GB2312" w:eastAsia="仿宋_GB2312"/>
          <w:color w:val="000000"/>
          <w:sz w:val="30"/>
          <w:szCs w:val="30"/>
        </w:rPr>
        <w:t>.住房保障（类）住房改革支出（款）住房公积金（项）:</w:t>
      </w:r>
      <w:r>
        <w:rPr>
          <w:rFonts w:hint="eastAsia" w:ascii="仿宋_GB2312" w:eastAsia="仿宋_GB2312"/>
          <w:sz w:val="32"/>
          <w:szCs w:val="32"/>
        </w:rPr>
        <w:t xml:space="preserve">2018年决算数为12.2万元，主要用于：部门按人力资源和社会保障部、财政部规定的比例为职工缴纳的住房公积金支出。 </w:t>
      </w:r>
    </w:p>
    <w:p>
      <w:pPr>
        <w:rPr>
          <w:rFonts w:ascii="黑体" w:eastAsia="黑体"/>
          <w:color w:val="000000"/>
          <w:sz w:val="32"/>
          <w:szCs w:val="32"/>
        </w:rPr>
      </w:pPr>
      <w:r>
        <w:rPr>
          <w:rFonts w:hint="eastAsia" w:ascii="仿宋_GB2312" w:eastAsia="仿宋_GB2312"/>
          <w:color w:val="000000"/>
          <w:sz w:val="28"/>
          <w:szCs w:val="28"/>
        </w:rPr>
        <w:t xml:space="preserve">   3</w:t>
      </w:r>
      <w:r>
        <w:rPr>
          <w:rFonts w:hint="eastAsia" w:ascii="仿宋_GB2312" w:eastAsia="仿宋_GB2312"/>
          <w:color w:val="000000"/>
          <w:sz w:val="30"/>
          <w:szCs w:val="30"/>
        </w:rPr>
        <w:t>.</w:t>
      </w:r>
      <w:r>
        <w:rPr>
          <w:rStyle w:val="8"/>
          <w:rFonts w:hint="eastAsia" w:ascii="仿宋_GB2312" w:eastAsia="仿宋_GB2312"/>
          <w:color w:val="000000"/>
          <w:sz w:val="30"/>
          <w:szCs w:val="30"/>
        </w:rPr>
        <w:t>社会保障和就业支出（类）行政单位离退休（款）机关事业单位基本养老保险（项）：</w:t>
      </w:r>
      <w:r>
        <w:rPr>
          <w:rFonts w:hint="eastAsia" w:ascii="仿宋_GB2312" w:eastAsia="仿宋_GB2312"/>
          <w:sz w:val="32"/>
          <w:szCs w:val="32"/>
        </w:rPr>
        <w:t>2018年决算数为20.34万元，主要用于职工基本养老保险单位部分的缴纳。</w:t>
      </w:r>
      <w:r>
        <w:rPr>
          <w:rFonts w:hint="eastAsia" w:ascii="仿宋_GB2312" w:eastAsia="仿宋_GB2312"/>
          <w:sz w:val="32"/>
          <w:szCs w:val="32"/>
        </w:rPr>
        <w:br w:type="textWrapping"/>
      </w:r>
      <w:r>
        <w:rPr>
          <w:rFonts w:hint="eastAsia" w:ascii="仿宋_GB2312" w:eastAsia="仿宋_GB2312"/>
          <w:color w:val="000000"/>
          <w:sz w:val="30"/>
          <w:szCs w:val="30"/>
        </w:rPr>
        <w:t xml:space="preserve">   </w:t>
      </w:r>
      <w:r>
        <w:rPr>
          <w:rFonts w:hint="eastAsia" w:ascii="黑体" w:eastAsia="黑体"/>
          <w:color w:val="000000"/>
          <w:sz w:val="32"/>
          <w:szCs w:val="32"/>
        </w:rPr>
        <w:t>六、一般公共预算财政拨款基本支出决算情况说明</w:t>
      </w:r>
    </w:p>
    <w:p>
      <w:pPr>
        <w:rPr>
          <w:rFonts w:ascii="仿宋_GB2312" w:eastAsia="仿宋_GB2312"/>
          <w:sz w:val="32"/>
          <w:szCs w:val="32"/>
        </w:rPr>
      </w:pPr>
      <w:r>
        <w:rPr>
          <w:rFonts w:hint="eastAsia" w:ascii="仿宋_GB2312" w:eastAsia="仿宋_GB2312"/>
          <w:color w:val="000000"/>
          <w:sz w:val="28"/>
          <w:szCs w:val="28"/>
        </w:rPr>
        <w:t xml:space="preserve">　  </w:t>
      </w:r>
      <w:r>
        <w:rPr>
          <w:rFonts w:hint="eastAsia" w:ascii="仿宋_GB2312" w:eastAsia="仿宋_GB2312"/>
          <w:sz w:val="32"/>
          <w:szCs w:val="32"/>
        </w:rPr>
        <w:t>2018年一般公共决算基本支出185.36万元，其中：</w:t>
      </w:r>
      <w:r>
        <w:rPr>
          <w:rFonts w:hint="eastAsia" w:ascii="仿宋_GB2312" w:eastAsia="仿宋_GB2312"/>
          <w:sz w:val="32"/>
          <w:szCs w:val="32"/>
        </w:rPr>
        <w:br w:type="textWrapping"/>
      </w:r>
      <w:r>
        <w:rPr>
          <w:rFonts w:hint="eastAsia" w:ascii="仿宋_GB2312" w:eastAsia="仿宋_GB2312"/>
          <w:sz w:val="32"/>
          <w:szCs w:val="32"/>
        </w:rPr>
        <w:t>　 人员经费157.57万元，主要包括：基本工资、津贴补贴、奖金、社会保险缴费、绩效工资、机关事业单位基本养老保险缴费、职业年金缴费、其他工资福利支出、离休费、住房公积金、其他对个人和家庭的补助支出。</w:t>
      </w:r>
      <w:r>
        <w:rPr>
          <w:rFonts w:hint="eastAsia" w:ascii="仿宋_GB2312" w:eastAsia="仿宋_GB2312"/>
          <w:color w:val="000000"/>
          <w:sz w:val="30"/>
          <w:szCs w:val="30"/>
        </w:rPr>
        <w:br w:type="textWrapping"/>
      </w:r>
      <w:r>
        <w:rPr>
          <w:rFonts w:hint="eastAsia" w:ascii="仿宋_GB2312" w:eastAsia="仿宋_GB2312"/>
          <w:color w:val="000000"/>
          <w:sz w:val="30"/>
          <w:szCs w:val="30"/>
        </w:rPr>
        <w:t>　　</w:t>
      </w:r>
      <w:r>
        <w:rPr>
          <w:rFonts w:hint="eastAsia" w:ascii="仿宋_GB2312" w:eastAsia="仿宋_GB2312"/>
          <w:sz w:val="32"/>
          <w:szCs w:val="32"/>
        </w:rPr>
        <w:t>公用经费27.79万元，主要包括：办公费、印刷费、手续费、水费、电费、邮电费、差旅费、维修（护）费、会议费、培训费、劳务费、工会经费、福利费、其他交通费、其他商品和服务支出。</w:t>
      </w:r>
    </w:p>
    <w:p>
      <w:pPr>
        <w:spacing w:line="600" w:lineRule="exact"/>
        <w:ind w:firstLine="640"/>
        <w:rPr>
          <w:rFonts w:ascii="黑体" w:eastAsia="黑体"/>
          <w:color w:val="000000"/>
          <w:sz w:val="32"/>
          <w:szCs w:val="32"/>
        </w:rPr>
      </w:pPr>
      <w:r>
        <w:rPr>
          <w:rFonts w:hint="eastAsia" w:ascii="仿宋_GB2312" w:eastAsia="仿宋_GB2312"/>
          <w:sz w:val="32"/>
          <w:szCs w:val="32"/>
        </w:rPr>
        <w:t>一般公共决算项目支出48万元，主要包括：主要是学校维修改建资金。</w:t>
      </w:r>
      <w:r>
        <w:rPr>
          <w:rFonts w:hint="eastAsia" w:ascii="仿宋_GB2312" w:eastAsia="仿宋_GB2312"/>
          <w:sz w:val="32"/>
          <w:szCs w:val="32"/>
        </w:rPr>
        <w:br w:type="textWrapping"/>
      </w:r>
      <w:r>
        <w:rPr>
          <w:rFonts w:hint="eastAsia" w:ascii="仿宋_GB2312" w:eastAsia="仿宋_GB2312"/>
          <w:color w:val="000000"/>
          <w:sz w:val="30"/>
          <w:szCs w:val="30"/>
        </w:rPr>
        <w:t xml:space="preserve">   </w:t>
      </w:r>
      <w:r>
        <w:rPr>
          <w:rFonts w:hint="eastAsia" w:ascii="黑体" w:eastAsia="黑体"/>
          <w:color w:val="000000"/>
          <w:sz w:val="32"/>
          <w:szCs w:val="32"/>
        </w:rPr>
        <w:t>七、“三公”经费财政拨款支出决算情况说明</w:t>
      </w:r>
    </w:p>
    <w:p>
      <w:pPr>
        <w:spacing w:line="600" w:lineRule="exact"/>
        <w:ind w:firstLine="321" w:firstLineChars="100"/>
        <w:rPr>
          <w:rFonts w:ascii="仿宋_GB2312" w:eastAsia="仿宋_GB2312"/>
          <w:b/>
          <w:color w:val="000000"/>
          <w:sz w:val="32"/>
          <w:szCs w:val="32"/>
        </w:rPr>
      </w:pPr>
      <w:r>
        <w:rPr>
          <w:rFonts w:hint="eastAsia" w:ascii="仿宋_GB2312" w:eastAsia="仿宋_GB2312"/>
          <w:b/>
          <w:color w:val="000000"/>
          <w:sz w:val="32"/>
          <w:szCs w:val="32"/>
        </w:rPr>
        <w:t>“三公”经费财政拨款支出决算总体情况说明</w:t>
      </w:r>
    </w:p>
    <w:p>
      <w:pPr>
        <w:spacing w:line="600" w:lineRule="exact"/>
        <w:ind w:firstLine="640"/>
        <w:rPr>
          <w:rFonts w:ascii="仿宋_GB2312" w:eastAsia="仿宋_GB2312"/>
          <w:color w:val="000000"/>
          <w:sz w:val="32"/>
          <w:szCs w:val="32"/>
        </w:rPr>
      </w:pPr>
      <w:r>
        <w:rPr>
          <w:rFonts w:hint="eastAsia" w:ascii="仿宋_GB2312" w:eastAsia="仿宋_GB2312"/>
          <w:sz w:val="32"/>
          <w:szCs w:val="32"/>
        </w:rPr>
        <w:t>2018年度“三公”经费财政拨款支出决算为0.21万元，主要是我园正式职工少，招聘临时工多，财政解决的指标，只够发工资和基本运转。靠少量的学费收入维持运转。财政拨款开支的接待费0.21万元</w:t>
      </w:r>
      <w:r>
        <w:rPr>
          <w:rFonts w:hint="eastAsia" w:ascii="仿宋_GB2312" w:eastAsia="仿宋_GB2312"/>
          <w:color w:val="000000"/>
          <w:sz w:val="32"/>
          <w:szCs w:val="32"/>
        </w:rPr>
        <w:t>。</w:t>
      </w:r>
    </w:p>
    <w:p>
      <w:pPr>
        <w:spacing w:line="600" w:lineRule="exact"/>
        <w:ind w:firstLine="640"/>
        <w:rPr>
          <w:rFonts w:ascii="黑体" w:eastAsia="黑体"/>
          <w:color w:val="000000"/>
          <w:sz w:val="32"/>
          <w:szCs w:val="32"/>
        </w:rPr>
      </w:pPr>
      <w:r>
        <w:rPr>
          <w:rFonts w:hint="eastAsia" w:ascii="黑体" w:eastAsia="黑体"/>
          <w:color w:val="000000"/>
          <w:sz w:val="32"/>
          <w:szCs w:val="32"/>
        </w:rPr>
        <w:t>八、政府性基金预算支出决算情况说明</w:t>
      </w:r>
    </w:p>
    <w:p>
      <w:pPr>
        <w:spacing w:line="600" w:lineRule="exact"/>
        <w:ind w:firstLine="640"/>
        <w:rPr>
          <w:rFonts w:ascii="仿宋_GB2312" w:eastAsia="仿宋_GB2312"/>
          <w:sz w:val="32"/>
          <w:szCs w:val="32"/>
        </w:rPr>
      </w:pPr>
      <w:r>
        <w:rPr>
          <w:rFonts w:hint="eastAsia" w:ascii="仿宋_GB2312" w:eastAsia="仿宋_GB2312"/>
          <w:sz w:val="32"/>
          <w:szCs w:val="32"/>
        </w:rPr>
        <w:t>2017年无政府性基金拨款</w:t>
      </w:r>
    </w:p>
    <w:p>
      <w:pPr>
        <w:numPr>
          <w:ilvl w:val="0"/>
          <w:numId w:val="2"/>
        </w:numPr>
        <w:spacing w:line="600" w:lineRule="exact"/>
        <w:ind w:firstLine="640"/>
        <w:rPr>
          <w:rFonts w:ascii="黑体" w:eastAsia="黑体"/>
          <w:color w:val="000000"/>
          <w:sz w:val="32"/>
          <w:szCs w:val="32"/>
        </w:rPr>
      </w:pPr>
      <w:r>
        <w:rPr>
          <w:rFonts w:hint="eastAsia" w:ascii="黑体" w:eastAsia="黑体"/>
          <w:color w:val="000000"/>
          <w:sz w:val="32"/>
          <w:szCs w:val="32"/>
        </w:rPr>
        <w:t>国有资本经营预算支出决算情况说明</w:t>
      </w:r>
    </w:p>
    <w:p>
      <w:pPr>
        <w:spacing w:line="600" w:lineRule="exact"/>
        <w:rPr>
          <w:rFonts w:ascii="仿宋_GB2312" w:eastAsia="仿宋_GB2312"/>
          <w:color w:val="000000"/>
          <w:sz w:val="32"/>
          <w:szCs w:val="32"/>
        </w:rPr>
      </w:pPr>
      <w:r>
        <w:rPr>
          <w:rFonts w:hint="eastAsia" w:ascii="黑体" w:eastAsia="黑体"/>
          <w:color w:val="000000"/>
          <w:sz w:val="32"/>
          <w:szCs w:val="32"/>
        </w:rPr>
        <w:t xml:space="preserve">   </w:t>
      </w:r>
      <w:r>
        <w:rPr>
          <w:rFonts w:hint="eastAsia" w:ascii="仿宋_GB2312" w:eastAsia="仿宋_GB2312"/>
          <w:color w:val="000000"/>
          <w:sz w:val="32"/>
          <w:szCs w:val="32"/>
        </w:rPr>
        <w:t xml:space="preserve"> 无</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十、其他重要事项的情况说明</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（一）机关运行经费支出情况</w:t>
      </w:r>
    </w:p>
    <w:p>
      <w:pPr>
        <w:spacing w:line="600" w:lineRule="exact"/>
        <w:ind w:firstLine="640"/>
        <w:rPr>
          <w:rFonts w:ascii="仿宋_GB2312" w:eastAsia="仿宋_GB2312"/>
          <w:b/>
          <w:color w:val="000000"/>
          <w:sz w:val="32"/>
          <w:szCs w:val="32"/>
        </w:rPr>
      </w:pPr>
      <w:r>
        <w:rPr>
          <w:rFonts w:hint="eastAsia" w:ascii="仿宋_GB2312" w:eastAsia="仿宋_GB2312"/>
          <w:sz w:val="32"/>
          <w:szCs w:val="32"/>
        </w:rPr>
        <w:t>2018年度，县级机关幼儿园机关运行经费支出17.45万元，比2017年减少0.8万元，和上年基本持平</w:t>
      </w:r>
      <w:r>
        <w:rPr>
          <w:rFonts w:hint="eastAsia" w:ascii="仿宋_GB2312" w:eastAsia="仿宋_GB2312"/>
          <w:color w:val="000000"/>
          <w:sz w:val="32"/>
          <w:szCs w:val="32"/>
        </w:rPr>
        <w:t>。</w:t>
      </w:r>
    </w:p>
    <w:p>
      <w:pPr>
        <w:numPr>
          <w:ilvl w:val="0"/>
          <w:numId w:val="3"/>
        </w:num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政府采购支出情况</w:t>
      </w:r>
    </w:p>
    <w:p>
      <w:pPr>
        <w:autoSpaceDE w:val="0"/>
        <w:autoSpaceDN w:val="0"/>
        <w:adjustRightInd w:val="0"/>
        <w:spacing w:line="600" w:lineRule="exact"/>
        <w:jc w:val="left"/>
        <w:rPr>
          <w:rFonts w:ascii="仿宋_GB2312" w:eastAsia="仿宋_GB2312"/>
          <w:bCs/>
          <w:color w:val="000000"/>
          <w:sz w:val="32"/>
          <w:szCs w:val="32"/>
        </w:rPr>
      </w:pPr>
      <w:r>
        <w:rPr>
          <w:rFonts w:hint="eastAsia" w:ascii="仿宋_GB2312" w:eastAsia="仿宋_GB2312"/>
          <w:bCs/>
          <w:color w:val="000000"/>
          <w:sz w:val="32"/>
          <w:szCs w:val="32"/>
        </w:rPr>
        <w:t xml:space="preserve">     学校维修48万元，提供政府采购。</w:t>
      </w:r>
    </w:p>
    <w:p>
      <w:pPr>
        <w:numPr>
          <w:ilvl w:val="0"/>
          <w:numId w:val="3"/>
        </w:num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国有资产占有使用情况</w:t>
      </w:r>
    </w:p>
    <w:p>
      <w:pPr>
        <w:autoSpaceDE w:val="0"/>
        <w:autoSpaceDN w:val="0"/>
        <w:adjustRightInd w:val="0"/>
        <w:spacing w:line="600" w:lineRule="exact"/>
        <w:ind w:left="420" w:leftChars="200"/>
        <w:jc w:val="left"/>
        <w:rPr>
          <w:rFonts w:ascii="仿宋_GB2312" w:eastAsia="仿宋_GB2312"/>
          <w:b/>
          <w:color w:val="000000"/>
          <w:sz w:val="32"/>
          <w:szCs w:val="32"/>
        </w:rPr>
      </w:pPr>
      <w:r>
        <w:rPr>
          <w:rFonts w:hint="eastAsia" w:ascii="仿宋_GB2312" w:eastAsia="仿宋_GB2312"/>
          <w:b/>
          <w:color w:val="000000"/>
          <w:sz w:val="32"/>
          <w:szCs w:val="32"/>
        </w:rPr>
        <w:t xml:space="preserve">   无公务用车，无大型设备。</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（四）预算绩效情况</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1.绩效目标管理情况。</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按照预算绩效管理要求，本部门对2018年一般公共预算项目支出开展了绩效目标管理，共编制绩效目标1个，涉及财政资金48万元，覆盖率达到100%。</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2.部门整体支出绩效自评开展情况。</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按照预算绩效管理要求，本部门对2018年整体支出开展绩效自评，自评得分95分，存在的问题：一是资产管理与预算结合较差，主要是县财政本项工作相对滞后，我单位未实施。二是资金有限，主要是保运转，教育发展投入不够。下一步改进措施：一是编制精细化预算，严格预算执行，加强资产管理预算。二是用好、用活财政专项资金，把有限的资金发挥最大的效益。</w:t>
      </w:r>
    </w:p>
    <w:p>
      <w:pPr>
        <w:jc w:val="center"/>
        <w:rPr>
          <w:rFonts w:ascii="黑体" w:hAnsi="黑体" w:eastAsia="黑体"/>
          <w:color w:val="000000"/>
          <w:sz w:val="32"/>
          <w:szCs w:val="32"/>
        </w:rPr>
      </w:pPr>
      <w:r>
        <w:rPr>
          <w:rFonts w:hint="eastAsia" w:ascii="黑体" w:hAnsi="黑体" w:eastAsia="黑体"/>
          <w:color w:val="000000"/>
          <w:sz w:val="32"/>
          <w:szCs w:val="32"/>
        </w:rPr>
        <w:t>2018年部门整体支出绩效评价得分表</w:t>
      </w:r>
    </w:p>
    <w:tbl>
      <w:tblPr>
        <w:tblStyle w:val="6"/>
        <w:tblW w:w="8222" w:type="dxa"/>
        <w:tblInd w:w="138" w:type="dxa"/>
        <w:tblLayout w:type="fixed"/>
        <w:tblCellMar>
          <w:top w:w="0" w:type="dxa"/>
          <w:left w:w="108" w:type="dxa"/>
          <w:bottom w:w="0" w:type="dxa"/>
          <w:right w:w="108" w:type="dxa"/>
        </w:tblCellMar>
      </w:tblPr>
      <w:tblGrid>
        <w:gridCol w:w="1473"/>
        <w:gridCol w:w="1964"/>
        <w:gridCol w:w="2945"/>
        <w:gridCol w:w="1840"/>
      </w:tblGrid>
      <w:tr>
        <w:tblPrEx>
          <w:tblCellMar>
            <w:top w:w="0" w:type="dxa"/>
            <w:left w:w="108" w:type="dxa"/>
            <w:bottom w:w="0" w:type="dxa"/>
            <w:right w:w="108" w:type="dxa"/>
          </w:tblCellMar>
        </w:tblPrEx>
        <w:trPr>
          <w:trHeight w:val="651" w:hRule="atLeast"/>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2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840"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734" w:hRule="atLeast"/>
        </w:trPr>
        <w:tc>
          <w:tcPr>
            <w:tcW w:w="147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91"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89"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729" w:hRule="atLeast"/>
        </w:trPr>
        <w:tc>
          <w:tcPr>
            <w:tcW w:w="147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27" w:hRule="atLeast"/>
        </w:trPr>
        <w:tc>
          <w:tcPr>
            <w:tcW w:w="147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79" w:hRule="atLeast"/>
        </w:trPr>
        <w:tc>
          <w:tcPr>
            <w:tcW w:w="147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20"/>
              </w:rPr>
              <w:t>省级财力专项预算分配时限（1分）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716"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752"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829"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740"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637"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881"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779"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637"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0"/>
              </w:rPr>
            </w:pPr>
            <w:r>
              <w:rPr>
                <w:rFonts w:hint="eastAsia" w:ascii="宋体" w:hAnsi="宋体" w:cs="宋体"/>
                <w:color w:val="000000"/>
                <w:kern w:val="0"/>
                <w:sz w:val="18"/>
                <w:szCs w:val="20"/>
              </w:rPr>
              <w:t>行政事业单位资产报告情况（2分）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955"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20"/>
              </w:rPr>
              <w:t>资产管理与预算管理相结合（2分）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737" w:hRule="atLeast"/>
        </w:trPr>
        <w:tc>
          <w:tcPr>
            <w:tcW w:w="147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600"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535"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779"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821"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43" w:hRule="atLeast"/>
        </w:trPr>
        <w:tc>
          <w:tcPr>
            <w:tcW w:w="147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627" w:hRule="atLeast"/>
        </w:trPr>
        <w:tc>
          <w:tcPr>
            <w:tcW w:w="147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2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完成教学任务</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487"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加强教师业务培养</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5"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20"/>
              </w:rPr>
              <w:t>重点改革（重点工作）完成情况（5分）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68"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20"/>
              </w:rPr>
              <w:t>科技（制度、方法、机制等）创新（5分）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773"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99"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2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913"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881" w:hRule="atLeast"/>
        </w:trPr>
        <w:tc>
          <w:tcPr>
            <w:tcW w:w="147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bl>
    <w:p>
      <w:pPr>
        <w:rPr>
          <w:color w:val="000000"/>
        </w:rPr>
      </w:pP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3、本年对项目支出进行了绩效评价，涉及项目1个，资金48万元。评价得分97分。存在的问题对项目实施经济效益考虑不够，实施项目程序复杂，走程序耗时较多。改进措施：加强项目绩效管理，突出经济效益和社会效益。严格按规定程序办事，加强办事效率提升，实现财政项目资金效益最优。</w:t>
      </w:r>
    </w:p>
    <w:p>
      <w:pPr>
        <w:jc w:val="center"/>
        <w:rPr>
          <w:rFonts w:ascii="黑体" w:hAnsi="黑体" w:eastAsia="黑体"/>
          <w:color w:val="000000"/>
          <w:sz w:val="32"/>
          <w:szCs w:val="32"/>
        </w:rPr>
      </w:pPr>
      <w:r>
        <w:rPr>
          <w:rFonts w:hint="eastAsia" w:ascii="黑体" w:hAnsi="黑体" w:eastAsia="黑体"/>
          <w:color w:val="000000"/>
          <w:sz w:val="32"/>
          <w:szCs w:val="32"/>
        </w:rPr>
        <w:t>2018年项目支出绩效评价得分表</w:t>
      </w:r>
    </w:p>
    <w:tbl>
      <w:tblPr>
        <w:tblStyle w:val="6"/>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695"/>
        <w:gridCol w:w="2836"/>
        <w:gridCol w:w="1051"/>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98"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单位名称/</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6635" w:type="dxa"/>
            <w:gridSpan w:val="4"/>
            <w:shd w:val="clear" w:color="auto" w:fill="auto"/>
            <w:vAlign w:val="center"/>
          </w:tcPr>
          <w:p>
            <w:pPr>
              <w:widowControl/>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大竹县机关幼儿园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98"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一级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1695"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二级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2836"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051"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052" w:type="dxa"/>
            <w:vAlign w:val="center"/>
          </w:tcPr>
          <w:p>
            <w:pPr>
              <w:widowControl/>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298"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项目决策</w:t>
            </w:r>
          </w:p>
        </w:tc>
        <w:tc>
          <w:tcPr>
            <w:tcW w:w="1695"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科学决策</w:t>
            </w: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必要性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（政策依据)</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2" w:type="dxa"/>
          </w:tcPr>
          <w:p>
            <w:pPr>
              <w:widowControl/>
              <w:spacing w:line="260" w:lineRule="exact"/>
              <w:jc w:val="center"/>
              <w:rPr>
                <w:color w:val="000000"/>
                <w:kern w:val="0"/>
                <w:sz w:val="15"/>
                <w:szCs w:val="15"/>
              </w:rPr>
            </w:pPr>
            <w:r>
              <w:rPr>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可行性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（政策完善）</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2" w:type="dxa"/>
          </w:tcPr>
          <w:p>
            <w:pPr>
              <w:widowControl/>
              <w:spacing w:line="260" w:lineRule="exact"/>
              <w:jc w:val="center"/>
              <w:rPr>
                <w:color w:val="000000"/>
                <w:kern w:val="0"/>
                <w:sz w:val="15"/>
                <w:szCs w:val="15"/>
              </w:rPr>
            </w:pPr>
            <w:r>
              <w:rPr>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绩效目标    </w:t>
            </w: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明确性</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2" w:type="dxa"/>
          </w:tcPr>
          <w:p>
            <w:pPr>
              <w:widowControl/>
              <w:spacing w:line="260" w:lineRule="exact"/>
              <w:jc w:val="center"/>
              <w:rPr>
                <w:color w:val="000000"/>
                <w:kern w:val="0"/>
                <w:sz w:val="15"/>
                <w:szCs w:val="15"/>
              </w:rPr>
            </w:pPr>
            <w:r>
              <w:rPr>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合理性</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2" w:type="dxa"/>
          </w:tcPr>
          <w:p>
            <w:pPr>
              <w:widowControl/>
              <w:spacing w:line="260" w:lineRule="exact"/>
              <w:jc w:val="center"/>
              <w:rPr>
                <w:color w:val="000000"/>
                <w:kern w:val="0"/>
                <w:sz w:val="15"/>
                <w:szCs w:val="15"/>
              </w:rPr>
            </w:pPr>
            <w:r>
              <w:rPr>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98"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项目管理</w:t>
            </w:r>
          </w:p>
        </w:tc>
        <w:tc>
          <w:tcPr>
            <w:tcW w:w="1695"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资金管理</w:t>
            </w: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资金分配</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2" w:type="dxa"/>
          </w:tcPr>
          <w:p>
            <w:pPr>
              <w:widowControl/>
              <w:spacing w:line="260" w:lineRule="exact"/>
              <w:jc w:val="center"/>
              <w:rPr>
                <w:color w:val="000000"/>
                <w:kern w:val="0"/>
                <w:sz w:val="15"/>
                <w:szCs w:val="15"/>
              </w:rPr>
            </w:pPr>
            <w:r>
              <w:rPr>
                <w:color w:val="000000"/>
                <w:kern w:val="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textDirection w:val="tbRlV"/>
            <w:vAlign w:val="center"/>
          </w:tcPr>
          <w:p>
            <w:pPr>
              <w:widowControl/>
              <w:spacing w:line="260" w:lineRule="exact"/>
              <w:jc w:val="center"/>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资金使用</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2" w:type="dxa"/>
          </w:tcPr>
          <w:p>
            <w:pPr>
              <w:widowControl/>
              <w:spacing w:line="260" w:lineRule="exact"/>
              <w:jc w:val="center"/>
              <w:rPr>
                <w:color w:val="000000"/>
                <w:kern w:val="0"/>
                <w:sz w:val="15"/>
                <w:szCs w:val="15"/>
              </w:rPr>
            </w:pPr>
            <w:r>
              <w:rPr>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项目执行</w:t>
            </w: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执行规范</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2" w:type="dxa"/>
          </w:tcPr>
          <w:p>
            <w:pPr>
              <w:widowControl/>
              <w:spacing w:line="260" w:lineRule="exact"/>
              <w:jc w:val="center"/>
              <w:rPr>
                <w:color w:val="000000"/>
                <w:kern w:val="0"/>
                <w:sz w:val="15"/>
                <w:szCs w:val="15"/>
              </w:rPr>
            </w:pPr>
            <w:r>
              <w:rPr>
                <w:color w:val="000000"/>
                <w:kern w:val="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98"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（特性指标70分）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项目绩效  </w:t>
            </w:r>
          </w:p>
        </w:tc>
        <w:tc>
          <w:tcPr>
            <w:tcW w:w="1695"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项目完成</w:t>
            </w: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完成数量</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052" w:type="dxa"/>
          </w:tcPr>
          <w:p>
            <w:pPr>
              <w:widowControl/>
              <w:spacing w:line="260" w:lineRule="exact"/>
              <w:jc w:val="center"/>
              <w:rPr>
                <w:color w:val="000000"/>
                <w:kern w:val="0"/>
                <w:sz w:val="15"/>
                <w:szCs w:val="15"/>
              </w:rPr>
            </w:pPr>
            <w:r>
              <w:rPr>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完成质量</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052" w:type="dxa"/>
          </w:tcPr>
          <w:p>
            <w:pPr>
              <w:widowControl/>
              <w:spacing w:line="260" w:lineRule="exact"/>
              <w:jc w:val="center"/>
              <w:rPr>
                <w:color w:val="000000"/>
                <w:kern w:val="0"/>
                <w:sz w:val="15"/>
                <w:szCs w:val="15"/>
              </w:rPr>
            </w:pPr>
            <w:r>
              <w:rPr>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完成时效</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2" w:type="dxa"/>
          </w:tcPr>
          <w:p>
            <w:pPr>
              <w:widowControl/>
              <w:spacing w:line="260" w:lineRule="exact"/>
              <w:jc w:val="center"/>
              <w:rPr>
                <w:color w:val="000000"/>
                <w:kern w:val="0"/>
                <w:sz w:val="15"/>
                <w:szCs w:val="15"/>
              </w:rPr>
            </w:pPr>
            <w:r>
              <w:rPr>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完成成本</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2" w:type="dxa"/>
          </w:tcPr>
          <w:p>
            <w:pPr>
              <w:widowControl/>
              <w:spacing w:line="260" w:lineRule="exact"/>
              <w:jc w:val="center"/>
              <w:rPr>
                <w:color w:val="000000"/>
                <w:kern w:val="0"/>
                <w:sz w:val="15"/>
                <w:szCs w:val="15"/>
              </w:rPr>
            </w:pPr>
            <w:r>
              <w:rPr>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项目效益</w:t>
            </w: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经济效益（可选项）</w:t>
            </w:r>
          </w:p>
        </w:tc>
        <w:tc>
          <w:tcPr>
            <w:tcW w:w="1051" w:type="dxa"/>
            <w:vMerge w:val="restart"/>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052" w:type="dxa"/>
          </w:tcPr>
          <w:p>
            <w:pPr>
              <w:widowControl/>
              <w:spacing w:line="260" w:lineRule="exact"/>
              <w:jc w:val="center"/>
              <w:rPr>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社会效益（可选项）</w:t>
            </w:r>
          </w:p>
        </w:tc>
        <w:tc>
          <w:tcPr>
            <w:tcW w:w="105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052" w:type="dxa"/>
          </w:tcPr>
          <w:p>
            <w:pPr>
              <w:widowControl/>
              <w:spacing w:line="260" w:lineRule="exact"/>
              <w:jc w:val="center"/>
              <w:rPr>
                <w:color w:val="000000"/>
                <w:kern w:val="0"/>
                <w:sz w:val="15"/>
                <w:szCs w:val="15"/>
              </w:rPr>
            </w:pPr>
            <w:r>
              <w:rPr>
                <w:color w:val="000000"/>
                <w:kern w:val="0"/>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生态效益（可选项）</w:t>
            </w:r>
          </w:p>
        </w:tc>
        <w:tc>
          <w:tcPr>
            <w:tcW w:w="105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052" w:type="dxa"/>
          </w:tcPr>
          <w:p>
            <w:pPr>
              <w:widowControl/>
              <w:spacing w:line="260" w:lineRule="exact"/>
              <w:jc w:val="center"/>
              <w:rPr>
                <w:color w:val="000000"/>
                <w:kern w:val="0"/>
                <w:sz w:val="15"/>
                <w:szCs w:val="15"/>
              </w:rPr>
            </w:pPr>
            <w:r>
              <w:rPr>
                <w:color w:val="000000"/>
                <w:kern w:val="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可持续效益（可选项）</w:t>
            </w:r>
          </w:p>
        </w:tc>
        <w:tc>
          <w:tcPr>
            <w:tcW w:w="105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052" w:type="dxa"/>
          </w:tcPr>
          <w:p>
            <w:pPr>
              <w:widowControl/>
              <w:spacing w:line="260" w:lineRule="exact"/>
              <w:jc w:val="center"/>
              <w:rPr>
                <w:color w:val="000000"/>
                <w:kern w:val="0"/>
                <w:sz w:val="15"/>
                <w:szCs w:val="15"/>
              </w:rPr>
            </w:pPr>
            <w:r>
              <w:rPr>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公平效率（可选项）</w:t>
            </w:r>
          </w:p>
        </w:tc>
        <w:tc>
          <w:tcPr>
            <w:tcW w:w="105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052" w:type="dxa"/>
          </w:tcPr>
          <w:p>
            <w:pPr>
              <w:widowControl/>
              <w:spacing w:line="260" w:lineRule="exact"/>
              <w:jc w:val="center"/>
              <w:rPr>
                <w:color w:val="000000"/>
                <w:kern w:val="0"/>
                <w:sz w:val="15"/>
                <w:szCs w:val="15"/>
              </w:rPr>
            </w:pPr>
            <w:r>
              <w:rPr>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使用效率（可选项）</w:t>
            </w:r>
          </w:p>
        </w:tc>
        <w:tc>
          <w:tcPr>
            <w:tcW w:w="105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052" w:type="dxa"/>
          </w:tcPr>
          <w:p>
            <w:pPr>
              <w:widowControl/>
              <w:spacing w:line="260" w:lineRule="exact"/>
              <w:jc w:val="center"/>
              <w:rPr>
                <w:color w:val="000000"/>
                <w:kern w:val="0"/>
                <w:sz w:val="15"/>
                <w:szCs w:val="15"/>
              </w:rPr>
            </w:pPr>
            <w:r>
              <w:rPr>
                <w:color w:val="000000"/>
                <w:kern w:val="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9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695"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836"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服务对象满意度    </w:t>
            </w:r>
          </w:p>
        </w:tc>
        <w:tc>
          <w:tcPr>
            <w:tcW w:w="105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2" w:type="dxa"/>
          </w:tcPr>
          <w:p>
            <w:pPr>
              <w:widowControl/>
              <w:spacing w:line="260" w:lineRule="exact"/>
              <w:jc w:val="center"/>
              <w:rPr>
                <w:color w:val="000000"/>
                <w:kern w:val="0"/>
                <w:sz w:val="15"/>
                <w:szCs w:val="15"/>
              </w:rPr>
            </w:pPr>
            <w:r>
              <w:rPr>
                <w:color w:val="000000"/>
                <w:kern w:val="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98" w:type="dxa"/>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总分</w:t>
            </w:r>
          </w:p>
        </w:tc>
        <w:tc>
          <w:tcPr>
            <w:tcW w:w="6635" w:type="dxa"/>
            <w:gridSpan w:val="4"/>
            <w:shd w:val="clear" w:color="auto" w:fill="auto"/>
            <w:vAlign w:val="center"/>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97</w:t>
            </w:r>
          </w:p>
        </w:tc>
      </w:tr>
    </w:tbl>
    <w:p>
      <w:pPr>
        <w:autoSpaceDE w:val="0"/>
        <w:autoSpaceDN w:val="0"/>
        <w:adjustRightInd w:val="0"/>
        <w:spacing w:line="600" w:lineRule="exact"/>
        <w:ind w:firstLine="640" w:firstLineChars="200"/>
        <w:jc w:val="left"/>
        <w:rPr>
          <w:rFonts w:ascii="黑体" w:eastAsia="黑体"/>
          <w:color w:val="000000"/>
          <w:sz w:val="32"/>
          <w:szCs w:val="32"/>
        </w:rPr>
      </w:pPr>
      <w:r>
        <w:rPr>
          <w:rFonts w:hint="eastAsia" w:ascii="黑体" w:eastAsia="黑体"/>
          <w:color w:val="000000"/>
          <w:sz w:val="32"/>
          <w:szCs w:val="32"/>
        </w:rPr>
        <w:t>十一、名词解释</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 </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9.社会保障和就业（类）行政事业单位离退休（款）归口管理的行政事业单位离退休（项）：指退休干部年终目标奖。</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10、.社会保障和就业（类）行政事业单位离退休（款）  机关事业单位基本养老保险缴费支出（项）：是单位给在职职工缴纳的社保缴费支出。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11.教育支出（类）普通教育（款）学前教育（项）：指机关幼儿园的部门人员经费、公用经费和项目资金支出。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12.住房保障（类）住房改革支出（款）住房公积金（项）：指单位为职工缴纳的住房公积金支出。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14.项目支出：指在基本支出之外为完成特定行政任务和事业发展目标所发生的支出。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15.经营支出：指事业单位在专业业务活动及其辅助活动之外开展非独立核算经营活动发生的支出。</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
      <w:pPr>
        <w:jc w:val="both"/>
        <w:rPr>
          <w:rFonts w:hint="eastAsia" w:eastAsia="宋体"/>
          <w:sz w:val="32"/>
          <w:szCs w:val="32"/>
          <w:lang w:eastAsia="zh-CN"/>
        </w:rPr>
      </w:pPr>
      <w:r>
        <w:rPr>
          <w:rFonts w:hint="eastAsia"/>
          <w:sz w:val="32"/>
          <w:szCs w:val="32"/>
          <w:lang w:eastAsia="zh-CN"/>
        </w:rPr>
        <w:t>附件：部门决算表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8EF3C"/>
    <w:multiLevelType w:val="singleLevel"/>
    <w:tmpl w:val="8038EF3C"/>
    <w:lvl w:ilvl="0" w:tentative="0">
      <w:start w:val="2"/>
      <w:numFmt w:val="chineseCounting"/>
      <w:suff w:val="nothing"/>
      <w:lvlText w:val="（%1）"/>
      <w:lvlJc w:val="left"/>
      <w:rPr>
        <w:rFonts w:hint="eastAsia"/>
      </w:rPr>
    </w:lvl>
  </w:abstractNum>
  <w:abstractNum w:abstractNumId="1">
    <w:nsid w:val="80C65B05"/>
    <w:multiLevelType w:val="singleLevel"/>
    <w:tmpl w:val="80C65B05"/>
    <w:lvl w:ilvl="0" w:tentative="0">
      <w:start w:val="2"/>
      <w:numFmt w:val="decimal"/>
      <w:suff w:val="nothing"/>
      <w:lvlText w:val="%1、"/>
      <w:lvlJc w:val="left"/>
      <w:pPr>
        <w:ind w:left="600" w:firstLine="0"/>
      </w:pPr>
    </w:lvl>
  </w:abstractNum>
  <w:abstractNum w:abstractNumId="2">
    <w:nsid w:val="9E11A2C8"/>
    <w:multiLevelType w:val="singleLevel"/>
    <w:tmpl w:val="9E11A2C8"/>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1731"/>
    <w:rsid w:val="002531AE"/>
    <w:rsid w:val="004365B1"/>
    <w:rsid w:val="00891731"/>
    <w:rsid w:val="00D64D05"/>
    <w:rsid w:val="0A4F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beforeLines="30"/>
    </w:pPr>
    <w:rPr>
      <w:rFonts w:ascii="仿宋_GB2312" w:eastAsia="仿宋_GB2312"/>
      <w:kern w:val="0"/>
      <w:sz w:val="30"/>
    </w:rPr>
  </w:style>
  <w:style w:type="paragraph" w:styleId="3">
    <w:name w:val="Balloon Text"/>
    <w:basedOn w:val="1"/>
    <w:link w:val="11"/>
    <w:semiHidden/>
    <w:unhideWhenUsed/>
    <w:qFormat/>
    <w:uiPriority w:val="99"/>
    <w:rPr>
      <w:sz w:val="18"/>
      <w:szCs w:val="18"/>
    </w:rPr>
  </w:style>
  <w:style w:type="paragraph" w:styleId="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5">
    <w:name w:val="toc 2"/>
    <w:basedOn w:val="1"/>
    <w:next w:val="1"/>
    <w:unhideWhenUsed/>
    <w:qFormat/>
    <w:uiPriority w:val="39"/>
    <w:pPr>
      <w:tabs>
        <w:tab w:val="right" w:leader="dot" w:pos="8296"/>
      </w:tabs>
      <w:ind w:left="420" w:leftChars="200"/>
    </w:pPr>
  </w:style>
  <w:style w:type="character" w:styleId="8">
    <w:name w:val="Strong"/>
    <w:qFormat/>
    <w:uiPriority w:val="22"/>
    <w:rPr>
      <w:b/>
      <w:bCs/>
    </w:rPr>
  </w:style>
  <w:style w:type="character" w:styleId="9">
    <w:name w:val="Hyperlink"/>
    <w:basedOn w:val="7"/>
    <w:unhideWhenUsed/>
    <w:qFormat/>
    <w:uiPriority w:val="99"/>
    <w:rPr>
      <w:color w:val="0000FF" w:themeColor="hyperlink"/>
      <w:u w:val="single"/>
    </w:rPr>
  </w:style>
  <w:style w:type="character" w:customStyle="1" w:styleId="10">
    <w:name w:val="正文文本 Char"/>
    <w:basedOn w:val="7"/>
    <w:link w:val="2"/>
    <w:uiPriority w:val="0"/>
    <w:rPr>
      <w:rFonts w:ascii="仿宋_GB2312" w:hAnsi="Times New Roman" w:eastAsia="仿宋_GB2312" w:cs="Times New Roman"/>
      <w:kern w:val="0"/>
      <w:sz w:val="30"/>
      <w:szCs w:val="24"/>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10</Pages>
  <Words>600</Words>
  <Characters>3426</Characters>
  <Lines>28</Lines>
  <Paragraphs>8</Paragraphs>
  <TotalTime>2</TotalTime>
  <ScaleCrop>false</ScaleCrop>
  <LinksUpToDate>false</LinksUpToDate>
  <CharactersWithSpaces>4018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2019-11-19T07:26:00Z</dcterms:created>
  <dc:creator>Administrator</dc:creator>
  <cp:lastModifiedBy>Administrator</cp:lastModifiedBy>
  <dcterms:modified xsi:type="dcterms:W3CDTF">2019-11-20T03:18:15Z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