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b/>
          <w:bCs/>
          <w:color w:val="000000"/>
          <w:sz w:val="52"/>
          <w:szCs w:val="52"/>
          <w:lang w:eastAsia="zh-CN"/>
        </w:rPr>
      </w:pPr>
      <w:bookmarkStart w:id="6" w:name="_Toc15378442"/>
      <w:bookmarkStart w:id="7" w:name="_Toc15377426"/>
      <w:bookmarkStart w:id="8" w:name="_Toc15377194"/>
      <w:bookmarkStart w:id="9" w:name="_Toc15396476"/>
      <w:bookmarkStart w:id="10" w:name="_Toc15306268"/>
      <w:bookmarkStart w:id="11" w:name="_Toc15396598"/>
      <w:r>
        <w:rPr>
          <w:rFonts w:hint="eastAsia" w:ascii="方正小标宋简体" w:hAnsi="宋体" w:eastAsia="方正小标宋简体"/>
          <w:b/>
          <w:bCs/>
          <w:color w:val="000000"/>
          <w:sz w:val="52"/>
          <w:szCs w:val="52"/>
          <w:lang w:eastAsia="zh-CN"/>
        </w:rPr>
        <w:t>四川大竹经济开发区管理委员会</w:t>
      </w:r>
    </w:p>
    <w:p>
      <w:pPr>
        <w:adjustRightInd w:val="0"/>
        <w:snapToGrid w:val="0"/>
        <w:spacing w:line="360" w:lineRule="auto"/>
        <w:jc w:val="center"/>
        <w:outlineLvl w:val="0"/>
        <w:rPr>
          <w:rFonts w:hint="eastAsia" w:ascii="方正小标宋简体" w:hAnsi="宋体" w:eastAsia="方正小标宋简体"/>
          <w:b/>
          <w:bCs/>
          <w:color w:val="000000"/>
          <w:sz w:val="52"/>
          <w:szCs w:val="52"/>
          <w:lang w:eastAsia="zh-CN"/>
        </w:rPr>
      </w:pPr>
      <w:r>
        <w:rPr>
          <w:rFonts w:hint="eastAsia" w:ascii="方正小标宋简体" w:hAnsi="宋体" w:eastAsia="方正小标宋简体"/>
          <w:b/>
          <w:bCs/>
          <w:color w:val="000000"/>
          <w:sz w:val="52"/>
          <w:szCs w:val="52"/>
          <w:lang w:eastAsia="zh-CN"/>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color w:val="FF0000"/>
          <w:lang w:val="en-US" w:eastAsia="zh-CN"/>
        </w:rPr>
        <w:t>11</w:t>
      </w:r>
      <w:r>
        <w:rPr>
          <w:rFonts w:hint="eastAsia"/>
        </w:rPr>
        <w:t>月</w:t>
      </w:r>
      <w:r>
        <w:rPr>
          <w:rFonts w:hint="eastAsia"/>
          <w:color w:val="FF0000"/>
          <w:lang w:val="en-US" w:eastAsia="zh-CN"/>
        </w:rPr>
        <w:t>18</w:t>
      </w:r>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ascii="仿宋" w:hAnsi="仿宋" w:eastAsia="仿宋"/>
          <w:sz w:val="28"/>
          <w:szCs w:val="28"/>
        </w:rPr>
        <w:tab/>
      </w:r>
      <w:bookmarkStart w:id="77" w:name="_GoBack"/>
      <w:bookmarkEnd w:id="77"/>
      <w:r>
        <w:rPr>
          <w:rFonts w:hint="eastAsia"/>
          <w:sz w:val="28"/>
          <w:szCs w:val="28"/>
          <w:lang w:val="en-US" w:eastAsia="zh-CN"/>
        </w:rPr>
        <w:t>4</w:t>
      </w:r>
    </w:p>
    <w:p>
      <w:pPr>
        <w:pStyle w:val="11"/>
        <w:adjustRightInd w:val="0"/>
        <w:snapToGrid w:val="0"/>
        <w:spacing w:line="440" w:lineRule="exact"/>
        <w:jc w:val="left"/>
        <w:rPr>
          <w:rFonts w:hint="eastAsia" w:ascii="仿宋" w:hAnsi="仿宋" w:eastAsia="仿宋"/>
          <w:sz w:val="24"/>
          <w:lang w:val="en-US" w:eastAsia="zh-CN"/>
        </w:rPr>
      </w:pPr>
      <w:r>
        <w:rPr>
          <w:rFonts w:hint="eastAsia"/>
          <w:sz w:val="24"/>
        </w:rPr>
        <w:t>一、基本职能及主要工作</w:t>
      </w:r>
      <w:r>
        <w:rPr>
          <w:rFonts w:ascii="仿宋" w:hAnsi="仿宋" w:eastAsia="仿宋"/>
          <w:sz w:val="28"/>
          <w:szCs w:val="28"/>
        </w:rPr>
        <w:tab/>
      </w:r>
      <w:r>
        <w:rPr>
          <w:rFonts w:hint="eastAsia" w:ascii="仿宋" w:hAnsi="仿宋" w:eastAsia="仿宋"/>
          <w:sz w:val="28"/>
          <w:szCs w:val="28"/>
          <w:lang w:val="en-US" w:eastAsia="zh-CN"/>
        </w:rPr>
        <w:t>4</w:t>
      </w:r>
    </w:p>
    <w:p>
      <w:pPr>
        <w:pStyle w:val="11"/>
        <w:adjustRightInd w:val="0"/>
        <w:snapToGrid w:val="0"/>
        <w:spacing w:line="440" w:lineRule="exact"/>
        <w:jc w:val="left"/>
        <w:rPr>
          <w:rFonts w:hint="eastAsia" w:ascii="仿宋" w:hAnsi="仿宋" w:eastAsia="仿宋" w:cstheme="minorBidi"/>
          <w:sz w:val="24"/>
          <w:lang w:val="en-US" w:eastAsia="zh-CN"/>
        </w:rPr>
      </w:pPr>
      <w:r>
        <w:rPr>
          <w:rFonts w:hint="eastAsia"/>
          <w:sz w:val="24"/>
        </w:rPr>
        <w:t>二、机构设置</w:t>
      </w:r>
      <w:r>
        <w:rPr>
          <w:rFonts w:ascii="仿宋" w:hAnsi="仿宋" w:eastAsia="仿宋"/>
          <w:sz w:val="28"/>
          <w:szCs w:val="28"/>
        </w:rPr>
        <w:tab/>
      </w:r>
      <w:r>
        <w:rPr>
          <w:rFonts w:hint="eastAsia" w:ascii="仿宋" w:hAnsi="仿宋" w:eastAsia="仿宋"/>
          <w:sz w:val="28"/>
          <w:szCs w:val="28"/>
          <w:lang w:val="en-US" w:eastAsia="zh-CN"/>
        </w:rPr>
        <w:t>4</w:t>
      </w:r>
    </w:p>
    <w:p>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 xml:space="preserve"> </w:t>
      </w:r>
      <w:r>
        <w:rPr>
          <w:rFonts w:hint="eastAsia"/>
          <w:sz w:val="24"/>
        </w:rPr>
        <w:t>部门决算情况说明</w:t>
      </w:r>
      <w:r>
        <w:rPr>
          <w:rFonts w:ascii="仿宋" w:hAnsi="仿宋" w:eastAsia="仿宋"/>
          <w:sz w:val="28"/>
          <w:szCs w:val="28"/>
        </w:rPr>
        <w:tab/>
      </w:r>
      <w:r>
        <w:rPr>
          <w:rFonts w:hint="eastAsia" w:ascii="仿宋" w:hAnsi="仿宋" w:eastAsia="仿宋"/>
          <w:sz w:val="28"/>
          <w:szCs w:val="28"/>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ascii="仿宋" w:hAnsi="仿宋" w:eastAsia="仿宋"/>
          <w:sz w:val="28"/>
          <w:szCs w:val="28"/>
        </w:rPr>
        <w:tab/>
      </w:r>
      <w:r>
        <w:rPr>
          <w:rFonts w:hint="eastAsia" w:ascii="仿宋" w:hAnsi="仿宋" w:eastAsia="仿宋"/>
          <w:sz w:val="28"/>
          <w:szCs w:val="28"/>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ascii="仿宋" w:hAnsi="仿宋" w:eastAsia="仿宋"/>
          <w:sz w:val="28"/>
          <w:szCs w:val="28"/>
        </w:rPr>
        <w:tab/>
      </w:r>
      <w:r>
        <w:rPr>
          <w:rFonts w:hint="eastAsia" w:ascii="仿宋" w:hAnsi="仿宋" w:eastAsia="仿宋"/>
          <w:sz w:val="28"/>
          <w:szCs w:val="28"/>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ascii="仿宋" w:hAnsi="仿宋" w:eastAsia="仿宋"/>
          <w:sz w:val="28"/>
          <w:szCs w:val="28"/>
        </w:rPr>
        <w:tab/>
      </w:r>
      <w:r>
        <w:rPr>
          <w:rFonts w:hint="eastAsia" w:ascii="仿宋" w:hAnsi="仿宋" w:eastAsia="仿宋"/>
          <w:sz w:val="28"/>
          <w:szCs w:val="28"/>
          <w:lang w:val="en-US" w:eastAsia="zh-CN"/>
        </w:rPr>
        <w:t>6</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sz w:val="24"/>
        </w:rPr>
        <w:t>六、一般公共预算财政拨款基本支出决算情况说明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10</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七、</w:t>
      </w:r>
      <w:r>
        <w:rPr>
          <w:sz w:val="24"/>
        </w:rPr>
        <w:t>“</w:t>
      </w:r>
      <w:r>
        <w:rPr>
          <w:rFonts w:hint="eastAsia"/>
          <w:sz w:val="24"/>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12</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ascii="仿宋" w:hAnsi="仿宋" w:eastAsia="仿宋"/>
          <w:sz w:val="28"/>
          <w:szCs w:val="28"/>
        </w:rPr>
        <w:tab/>
      </w:r>
      <w:r>
        <w:rPr>
          <w:rFonts w:hint="eastAsia" w:ascii="仿宋" w:hAnsi="仿宋" w:eastAsia="仿宋"/>
          <w:sz w:val="28"/>
          <w:szCs w:val="28"/>
          <w:lang w:val="en-US" w:eastAsia="zh-CN"/>
        </w:rPr>
        <w:t>14</w:t>
      </w:r>
    </w:p>
    <w:p>
      <w:pPr>
        <w:pStyle w:val="11"/>
        <w:adjustRightInd w:val="0"/>
        <w:snapToGrid w:val="0"/>
        <w:spacing w:line="440" w:lineRule="exact"/>
        <w:ind w:leftChars="0"/>
        <w:jc w:val="left"/>
        <w:rPr>
          <w:rFonts w:hint="default"/>
          <w:sz w:val="24"/>
          <w:lang w:val="en-US"/>
        </w:rPr>
      </w:pPr>
      <w:r>
        <w:rPr>
          <w:rFonts w:hint="eastAsia" w:ascii="仿宋" w:hAnsi="仿宋" w:eastAsia="仿宋"/>
          <w:sz w:val="24"/>
        </w:rPr>
        <w:t>九、</w:t>
      </w:r>
      <w:r>
        <w:rPr>
          <w:sz w:val="24"/>
        </w:rPr>
        <w:t>国</w:t>
      </w:r>
      <w:r>
        <w:rPr>
          <w:rFonts w:hint="eastAsia"/>
          <w:sz w:val="24"/>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14</w:t>
      </w:r>
    </w:p>
    <w:p>
      <w:pPr>
        <w:pStyle w:val="11"/>
        <w:adjustRightInd w:val="0"/>
        <w:snapToGrid w:val="0"/>
        <w:spacing w:line="440" w:lineRule="exact"/>
        <w:ind w:leftChars="0"/>
        <w:jc w:val="left"/>
        <w:rPr>
          <w:rFonts w:hint="default" w:ascii="仿宋" w:hAnsi="仿宋" w:eastAsia="仿宋" w:cstheme="minorBidi"/>
          <w:sz w:val="24"/>
          <w:lang w:val="en-US"/>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8"/>
          <w:szCs w:val="28"/>
        </w:rPr>
        <w:tab/>
      </w:r>
      <w:r>
        <w:rPr>
          <w:rFonts w:hint="eastAsia" w:ascii="仿宋" w:hAnsi="仿宋" w:eastAsia="仿宋"/>
          <w:sz w:val="28"/>
          <w:szCs w:val="28"/>
          <w:lang w:val="en-US" w:eastAsia="zh-CN"/>
        </w:rPr>
        <w:t>14</w:t>
      </w:r>
    </w:p>
    <w:p>
      <w:pPr>
        <w:pStyle w:val="10"/>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ascii="仿宋" w:hAnsi="仿宋" w:eastAsia="仿宋"/>
          <w:sz w:val="28"/>
          <w:szCs w:val="28"/>
        </w:rPr>
        <w:tab/>
      </w:r>
      <w:r>
        <w:rPr>
          <w:rFonts w:hint="eastAsia"/>
          <w:sz w:val="28"/>
          <w:szCs w:val="28"/>
          <w:lang w:val="en-US" w:eastAsia="zh-CN"/>
        </w:rPr>
        <w:t>19</w:t>
      </w:r>
    </w:p>
    <w:p>
      <w:pPr>
        <w:pStyle w:val="10"/>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ascii="仿宋" w:hAnsi="仿宋" w:eastAsia="仿宋"/>
          <w:sz w:val="28"/>
          <w:szCs w:val="28"/>
        </w:rPr>
        <w:tab/>
      </w:r>
      <w:r>
        <w:rPr>
          <w:rFonts w:hint="eastAsia"/>
          <w:sz w:val="28"/>
          <w:szCs w:val="28"/>
          <w:lang w:val="en-US" w:eastAsia="zh-CN"/>
        </w:rPr>
        <w:t>20</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附件</w:t>
      </w:r>
      <w:r>
        <w:rPr>
          <w:sz w:val="24"/>
        </w:rPr>
        <w:t>1</w:t>
      </w:r>
      <w:r>
        <w:rPr>
          <w:rFonts w:ascii="仿宋" w:hAnsi="仿宋" w:eastAsia="仿宋"/>
          <w:sz w:val="28"/>
          <w:szCs w:val="28"/>
        </w:rPr>
        <w:tab/>
      </w:r>
      <w:r>
        <w:rPr>
          <w:rFonts w:hint="eastAsia" w:ascii="仿宋" w:hAnsi="仿宋" w:eastAsia="仿宋"/>
          <w:sz w:val="28"/>
          <w:szCs w:val="28"/>
          <w:lang w:val="en-US" w:eastAsia="zh-CN"/>
        </w:rPr>
        <w:t>23</w:t>
      </w:r>
    </w:p>
    <w:p>
      <w:pPr>
        <w:pStyle w:val="11"/>
        <w:adjustRightInd w:val="0"/>
        <w:snapToGrid w:val="0"/>
        <w:spacing w:line="440" w:lineRule="exact"/>
        <w:jc w:val="left"/>
        <w:rPr>
          <w:rFonts w:hint="default" w:ascii="仿宋" w:hAnsi="仿宋" w:eastAsia="仿宋" w:cstheme="minorBidi"/>
          <w:sz w:val="24"/>
          <w:lang w:val="en-US"/>
        </w:rPr>
      </w:pPr>
      <w:r>
        <w:rPr>
          <w:rFonts w:hint="eastAsia"/>
          <w:sz w:val="24"/>
        </w:rPr>
        <w:t>附件</w:t>
      </w:r>
      <w:r>
        <w:rPr>
          <w:sz w:val="24"/>
        </w:rPr>
        <w:t>2</w:t>
      </w:r>
      <w:r>
        <w:rPr>
          <w:rFonts w:ascii="仿宋" w:hAnsi="仿宋" w:eastAsia="仿宋"/>
          <w:sz w:val="28"/>
          <w:szCs w:val="28"/>
        </w:rPr>
        <w:tab/>
      </w:r>
      <w:r>
        <w:rPr>
          <w:rFonts w:hint="eastAsia" w:ascii="仿宋" w:hAnsi="仿宋" w:eastAsia="仿宋"/>
          <w:sz w:val="28"/>
          <w:szCs w:val="28"/>
          <w:lang w:val="en-US" w:eastAsia="zh-CN"/>
        </w:rPr>
        <w:t>24</w:t>
      </w:r>
    </w:p>
    <w:p>
      <w:pPr>
        <w:pStyle w:val="10"/>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ascii="仿宋" w:hAnsi="仿宋" w:eastAsia="仿宋"/>
          <w:sz w:val="28"/>
          <w:szCs w:val="28"/>
        </w:rPr>
        <w:tab/>
      </w:r>
      <w:r>
        <w:rPr>
          <w:rFonts w:hint="eastAsia"/>
          <w:sz w:val="28"/>
          <w:szCs w:val="28"/>
          <w:lang w:val="en-US" w:eastAsia="zh-CN"/>
        </w:rPr>
        <w:t>27</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一、</w:t>
      </w:r>
      <w:r>
        <w:rPr>
          <w:rFonts w:hint="eastAsia"/>
          <w:sz w:val="24"/>
        </w:rPr>
        <w:t>收入支出决算总表</w:t>
      </w:r>
      <w:r>
        <w:rPr>
          <w:rFonts w:ascii="仿宋" w:hAnsi="仿宋" w:eastAsia="仿宋"/>
          <w:sz w:val="28"/>
          <w:szCs w:val="28"/>
        </w:rPr>
        <w:tab/>
      </w:r>
      <w:r>
        <w:rPr>
          <w:rFonts w:hint="eastAsia" w:ascii="仿宋" w:hAnsi="仿宋" w:eastAsia="仿宋"/>
          <w:sz w:val="28"/>
          <w:szCs w:val="28"/>
          <w:lang w:val="en-US" w:eastAsia="zh-CN"/>
        </w:rPr>
        <w:t>28</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ascii="仿宋" w:hAnsi="仿宋" w:eastAsia="仿宋"/>
          <w:sz w:val="28"/>
          <w:szCs w:val="28"/>
        </w:rPr>
        <w:tab/>
      </w:r>
      <w:r>
        <w:rPr>
          <w:rFonts w:hint="eastAsia" w:ascii="仿宋" w:hAnsi="仿宋" w:eastAsia="仿宋"/>
          <w:sz w:val="28"/>
          <w:szCs w:val="28"/>
          <w:lang w:val="en-US" w:eastAsia="zh-CN"/>
        </w:rPr>
        <w:t>29</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ascii="仿宋" w:hAnsi="仿宋" w:eastAsia="仿宋"/>
          <w:sz w:val="28"/>
          <w:szCs w:val="28"/>
        </w:rPr>
        <w:tab/>
      </w:r>
      <w:r>
        <w:rPr>
          <w:rFonts w:hint="eastAsia" w:ascii="仿宋" w:hAnsi="仿宋" w:eastAsia="仿宋"/>
          <w:sz w:val="28"/>
          <w:szCs w:val="28"/>
          <w:lang w:val="en-US" w:eastAsia="zh-CN"/>
        </w:rPr>
        <w:t>30</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四、</w:t>
      </w:r>
      <w:r>
        <w:rPr>
          <w:rFonts w:hint="eastAsia"/>
          <w:sz w:val="24"/>
        </w:rPr>
        <w:t>财政拨款收入支出决算总表</w:t>
      </w:r>
      <w:r>
        <w:rPr>
          <w:rFonts w:ascii="仿宋" w:hAnsi="仿宋" w:eastAsia="仿宋"/>
          <w:sz w:val="28"/>
          <w:szCs w:val="28"/>
        </w:rPr>
        <w:tab/>
      </w:r>
      <w:r>
        <w:rPr>
          <w:rFonts w:hint="eastAsia" w:ascii="仿宋" w:hAnsi="仿宋" w:eastAsia="仿宋"/>
          <w:sz w:val="28"/>
          <w:szCs w:val="28"/>
          <w:lang w:val="en-US" w:eastAsia="zh-CN"/>
        </w:rPr>
        <w:t>31</w:t>
      </w:r>
    </w:p>
    <w:p>
      <w:pPr>
        <w:pStyle w:val="11"/>
        <w:adjustRightInd w:val="0"/>
        <w:snapToGrid w:val="0"/>
        <w:spacing w:line="440" w:lineRule="exact"/>
        <w:jc w:val="left"/>
        <w:rPr>
          <w:rFonts w:hint="default" w:ascii="仿宋" w:hAnsi="仿宋" w:eastAsia="仿宋"/>
          <w:sz w:val="24"/>
          <w:lang w:val="en-US"/>
        </w:rPr>
      </w:pPr>
      <w:r>
        <w:rPr>
          <w:rFonts w:hint="eastAsia" w:ascii="仿宋" w:hAnsi="仿宋" w:eastAsia="仿宋"/>
          <w:sz w:val="24"/>
        </w:rPr>
        <w:t>五、财政拨款支出决算明细表</w:t>
      </w:r>
      <w:r>
        <w:rPr>
          <w:rFonts w:ascii="仿宋" w:hAnsi="仿宋" w:eastAsia="仿宋"/>
          <w:sz w:val="28"/>
          <w:szCs w:val="28"/>
        </w:rPr>
        <w:tab/>
      </w:r>
      <w:r>
        <w:rPr>
          <w:rFonts w:hint="eastAsia" w:ascii="仿宋" w:hAnsi="仿宋" w:eastAsia="仿宋"/>
          <w:sz w:val="28"/>
          <w:szCs w:val="28"/>
          <w:lang w:val="en-US" w:eastAsia="zh-CN"/>
        </w:rPr>
        <w:t>32</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六、</w:t>
      </w:r>
      <w:r>
        <w:rPr>
          <w:rFonts w:hint="eastAsia"/>
          <w:sz w:val="24"/>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33</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七、</w:t>
      </w:r>
      <w:r>
        <w:rPr>
          <w:rFonts w:hint="eastAsia"/>
          <w:sz w:val="24"/>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34</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八、</w:t>
      </w:r>
      <w:r>
        <w:rPr>
          <w:rFonts w:hint="eastAsia"/>
          <w:sz w:val="24"/>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35</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九、</w:t>
      </w:r>
      <w:r>
        <w:rPr>
          <w:rFonts w:hint="eastAsia"/>
          <w:sz w:val="24"/>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36</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w:t>
      </w:r>
      <w:r>
        <w:rPr>
          <w:rFonts w:hint="eastAsia"/>
          <w:sz w:val="24"/>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37</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十一、</w:t>
      </w:r>
      <w:r>
        <w:rPr>
          <w:rFonts w:hint="eastAsia"/>
          <w:sz w:val="24"/>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38</w:t>
      </w:r>
    </w:p>
    <w:p>
      <w:pPr>
        <w:pStyle w:val="11"/>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十二、</w:t>
      </w:r>
      <w:r>
        <w:rPr>
          <w:rFonts w:hint="eastAsia"/>
          <w:sz w:val="24"/>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39</w:t>
      </w:r>
    </w:p>
    <w:p>
      <w:pPr>
        <w:pStyle w:val="11"/>
        <w:adjustRightInd w:val="0"/>
        <w:snapToGrid w:val="0"/>
        <w:spacing w:line="440" w:lineRule="exact"/>
        <w:jc w:val="left"/>
        <w:rPr>
          <w:rFonts w:hint="default"/>
          <w:sz w:val="24"/>
          <w:lang w:val="en-US"/>
        </w:rPr>
      </w:pPr>
      <w:r>
        <w:rPr>
          <w:rFonts w:hint="eastAsia" w:ascii="仿宋" w:hAnsi="仿宋" w:eastAsia="仿宋"/>
          <w:sz w:val="24"/>
        </w:rPr>
        <w:t>十三、</w:t>
      </w:r>
      <w:r>
        <w:rPr>
          <w:rFonts w:hint="eastAsia"/>
          <w:sz w:val="24"/>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40</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pageBreakBefore w:val="0"/>
        <w:kinsoku/>
        <w:wordWrap/>
        <w:overflowPunct/>
        <w:topLinePunct w:val="0"/>
        <w:autoSpaceDE/>
        <w:autoSpaceDN/>
        <w:bidi w:val="0"/>
        <w:adjustRightInd w:val="0"/>
        <w:snapToGrid w:val="0"/>
        <w:spacing w:beforeLines="0" w:line="578" w:lineRule="exact"/>
        <w:ind w:right="0" w:rightChars="0" w:firstLine="672" w:firstLineChars="21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大竹县工业园区</w:t>
      </w:r>
      <w:r>
        <w:rPr>
          <w:rFonts w:hint="eastAsia" w:ascii="仿宋" w:hAnsi="仿宋" w:eastAsia="仿宋"/>
          <w:bCs/>
          <w:color w:val="000000"/>
          <w:sz w:val="32"/>
          <w:szCs w:val="32"/>
          <w:lang w:val="en-US" w:eastAsia="zh-CN"/>
        </w:rPr>
        <w:t>(四川大竹经济开发区）管</w:t>
      </w:r>
      <w:r>
        <w:rPr>
          <w:rFonts w:hint="eastAsia" w:ascii="仿宋" w:hAnsi="仿宋" w:eastAsia="仿宋"/>
          <w:bCs/>
          <w:color w:val="000000"/>
          <w:sz w:val="32"/>
          <w:szCs w:val="32"/>
        </w:rPr>
        <w:t>理委员会经县人民政府批准、受相关单位委托，按照“一区多园”发展模式，负责县经济开发区的经济发展和行政管理职能。</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贯彻执行国家有关法律、法规；</w:t>
      </w:r>
    </w:p>
    <w:p>
      <w:pPr>
        <w:pStyle w:val="5"/>
        <w:pageBreakBefore w:val="0"/>
        <w:kinsoku/>
        <w:wordWrap/>
        <w:overflowPunct/>
        <w:topLinePunct w:val="0"/>
        <w:autoSpaceDE/>
        <w:autoSpaceDN/>
        <w:bidi w:val="0"/>
        <w:adjustRightInd w:val="0"/>
        <w:snapToGrid w:val="0"/>
        <w:spacing w:beforeLines="0" w:line="578" w:lineRule="exact"/>
        <w:ind w:right="0" w:rightChars="0" w:firstLine="320" w:firstLineChars="10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根据全县经济社会发展规划和年度计划，组织编制和修改开发区的经济发展规划和年度计划，经审查批准后组织实施；</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组织编制工业园区建设规划和控制性详细规划意</w:t>
      </w:r>
      <w:r>
        <w:rPr>
          <w:rFonts w:hint="eastAsia" w:ascii="仿宋" w:hAnsi="仿宋" w:eastAsia="仿宋"/>
          <w:bCs/>
          <w:color w:val="000000"/>
          <w:sz w:val="32"/>
          <w:szCs w:val="32"/>
        </w:rPr>
        <w:br w:type="textWrapping"/>
      </w:r>
      <w:r>
        <w:rPr>
          <w:rFonts w:hint="eastAsia" w:ascii="仿宋" w:hAnsi="仿宋" w:eastAsia="仿宋"/>
          <w:bCs/>
          <w:color w:val="000000"/>
          <w:sz w:val="32"/>
          <w:szCs w:val="32"/>
        </w:rPr>
        <w:t>见，报经批准后具体组织实施；</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制定工业园区有关行政管理制度并监督执行；</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负责工业园区内土地整理开发、基础设施和公共设</w:t>
      </w:r>
      <w:r>
        <w:rPr>
          <w:rFonts w:hint="eastAsia" w:ascii="仿宋" w:hAnsi="仿宋" w:eastAsia="仿宋"/>
          <w:bCs/>
          <w:color w:val="000000"/>
          <w:sz w:val="32"/>
          <w:szCs w:val="32"/>
        </w:rPr>
        <w:br w:type="textWrapping"/>
      </w:r>
      <w:r>
        <w:rPr>
          <w:rFonts w:hint="eastAsia" w:ascii="仿宋" w:hAnsi="仿宋" w:eastAsia="仿宋"/>
          <w:bCs/>
          <w:color w:val="000000"/>
          <w:sz w:val="32"/>
          <w:szCs w:val="32"/>
        </w:rPr>
        <w:t>施建设和管理</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负责工业园区内农村及社区管理工作；</w:t>
      </w:r>
    </w:p>
    <w:p>
      <w:pPr>
        <w:pStyle w:val="5"/>
        <w:pageBreakBefore w:val="0"/>
        <w:kinsoku/>
        <w:wordWrap/>
        <w:overflowPunct/>
        <w:topLinePunct w:val="0"/>
        <w:autoSpaceDE/>
        <w:autoSpaceDN/>
        <w:bidi w:val="0"/>
        <w:adjustRightInd w:val="0"/>
        <w:snapToGrid w:val="0"/>
        <w:spacing w:beforeLines="0" w:line="578" w:lineRule="exact"/>
        <w:ind w:right="0" w:rightChars="0" w:firstLine="320" w:firstLineChars="10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（7）</w:t>
      </w:r>
      <w:r>
        <w:rPr>
          <w:rFonts w:hint="eastAsia" w:ascii="仿宋" w:hAnsi="仿宋" w:eastAsia="仿宋"/>
          <w:bCs/>
          <w:color w:val="000000"/>
          <w:sz w:val="32"/>
          <w:szCs w:val="32"/>
        </w:rPr>
        <w:t>协调管理有关部门在工业园区内派出机构或办公点</w:t>
      </w:r>
      <w:r>
        <w:rPr>
          <w:rFonts w:hint="eastAsia" w:ascii="仿宋" w:hAnsi="仿宋" w:eastAsia="仿宋"/>
          <w:bCs/>
          <w:color w:val="000000"/>
          <w:sz w:val="32"/>
          <w:szCs w:val="32"/>
        </w:rPr>
        <w:br w:type="textWrapping"/>
      </w:r>
      <w:r>
        <w:rPr>
          <w:rFonts w:hint="eastAsia" w:ascii="仿宋" w:hAnsi="仿宋" w:eastAsia="仿宋"/>
          <w:bCs/>
          <w:color w:val="000000"/>
          <w:sz w:val="32"/>
          <w:szCs w:val="32"/>
        </w:rPr>
        <w:t>的相关工作；</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（8）</w:t>
      </w:r>
      <w:r>
        <w:rPr>
          <w:rFonts w:hint="eastAsia" w:ascii="仿宋" w:hAnsi="仿宋" w:eastAsia="仿宋"/>
          <w:bCs/>
          <w:color w:val="000000"/>
          <w:sz w:val="32"/>
          <w:szCs w:val="32"/>
        </w:rPr>
        <w:t>对工业园区内企业进行引导监督，保护投资者和企</w:t>
      </w:r>
      <w:r>
        <w:rPr>
          <w:rFonts w:hint="eastAsia" w:ascii="仿宋" w:hAnsi="仿宋" w:eastAsia="仿宋"/>
          <w:bCs/>
          <w:color w:val="000000"/>
          <w:sz w:val="32"/>
          <w:szCs w:val="32"/>
        </w:rPr>
        <w:br w:type="textWrapping"/>
      </w:r>
      <w:r>
        <w:rPr>
          <w:rFonts w:hint="eastAsia" w:ascii="仿宋" w:hAnsi="仿宋" w:eastAsia="仿宋"/>
          <w:bCs/>
          <w:color w:val="000000"/>
          <w:sz w:val="32"/>
          <w:szCs w:val="32"/>
        </w:rPr>
        <w:t>业的合法权益，保护劳动者的合法权益；</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（9）</w:t>
      </w:r>
      <w:r>
        <w:rPr>
          <w:rFonts w:hint="eastAsia" w:ascii="仿宋" w:hAnsi="仿宋" w:eastAsia="仿宋"/>
          <w:bCs/>
          <w:color w:val="000000"/>
          <w:sz w:val="32"/>
          <w:szCs w:val="32"/>
        </w:rPr>
        <w:t>负责工业园区内党建、党风廉政建设、社会治安综</w:t>
      </w:r>
      <w:r>
        <w:rPr>
          <w:rFonts w:hint="eastAsia" w:ascii="仿宋" w:hAnsi="仿宋" w:eastAsia="仿宋"/>
          <w:bCs/>
          <w:color w:val="000000"/>
          <w:sz w:val="32"/>
          <w:szCs w:val="32"/>
        </w:rPr>
        <w:br w:type="textWrapping"/>
      </w:r>
      <w:r>
        <w:rPr>
          <w:rFonts w:hint="eastAsia" w:ascii="仿宋" w:hAnsi="仿宋" w:eastAsia="仿宋"/>
          <w:bCs/>
          <w:color w:val="000000"/>
          <w:sz w:val="32"/>
          <w:szCs w:val="32"/>
        </w:rPr>
        <w:t>合治理、精神文明建设等社会事物；</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（10）</w:t>
      </w:r>
      <w:r>
        <w:rPr>
          <w:rFonts w:hint="eastAsia" w:ascii="仿宋" w:hAnsi="仿宋" w:eastAsia="仿宋"/>
          <w:bCs/>
          <w:color w:val="000000"/>
          <w:sz w:val="32"/>
          <w:szCs w:val="32"/>
        </w:rPr>
        <w:t>县委、县政府按规定授予的其他职责；</w:t>
      </w:r>
      <w:r>
        <w:rPr>
          <w:rFonts w:hint="eastAsia" w:ascii="仿宋" w:hAnsi="仿宋" w:eastAsia="仿宋"/>
          <w:bCs/>
          <w:color w:val="000000"/>
          <w:sz w:val="32"/>
          <w:szCs w:val="32"/>
        </w:rPr>
        <w:br w:type="textWrapping"/>
      </w:r>
      <w:r>
        <w:rPr>
          <w:rFonts w:hint="eastAsia" w:ascii="仿宋" w:hAnsi="仿宋" w:eastAsia="仿宋"/>
          <w:bCs/>
          <w:color w:val="000000"/>
          <w:sz w:val="32"/>
          <w:szCs w:val="32"/>
          <w:lang w:val="en-US" w:eastAsia="zh-CN"/>
        </w:rPr>
        <w:t xml:space="preserve">  </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11</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完成县委、县政府交办的其他事项。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w:t>
      </w:r>
      <w:r>
        <w:rPr>
          <w:rFonts w:hint="eastAsia" w:ascii="Times New Roman" w:hAnsi="Times New Roman" w:eastAsia="仿宋_GB2312" w:cs="Times New Roman"/>
          <w:sz w:val="32"/>
          <w:szCs w:val="32"/>
          <w:lang w:val="en-US" w:eastAsia="zh-CN"/>
        </w:rPr>
        <w:t>大竹</w:t>
      </w:r>
      <w:r>
        <w:rPr>
          <w:rFonts w:hint="default" w:ascii="Times New Roman" w:hAnsi="Times New Roman" w:eastAsia="仿宋_GB2312" w:cs="Times New Roman"/>
          <w:sz w:val="32"/>
          <w:szCs w:val="32"/>
          <w:lang w:val="en-US" w:eastAsia="zh-CN"/>
        </w:rPr>
        <w:t>经开区实现营业收入272亿元，其中91户规上工业企业实现工业总产值185亿元，同比增长21.89%，工业增加值38.6亿元，增长20.12%，主营业务收入176.7亿元，增长20.7%，利税总额19.64亿元，增长12.12%。</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bCs/>
          <w:color w:val="000000"/>
          <w:sz w:val="32"/>
          <w:szCs w:val="32"/>
        </w:rPr>
      </w:pPr>
      <w:r>
        <w:rPr>
          <w:rFonts w:hint="eastAsia" w:ascii="Times New Roman" w:hAnsi="Times New Roman" w:eastAsia="仿宋_GB2312" w:cs="Times New Roman"/>
          <w:sz w:val="32"/>
          <w:szCs w:val="32"/>
          <w:lang w:val="en-US" w:eastAsia="zh-CN"/>
        </w:rPr>
        <w:t>全年实际</w:t>
      </w:r>
      <w:r>
        <w:rPr>
          <w:rFonts w:hint="default" w:ascii="Times New Roman" w:hAnsi="Times New Roman" w:eastAsia="仿宋_GB2312" w:cs="Times New Roman"/>
          <w:sz w:val="32"/>
          <w:szCs w:val="32"/>
          <w:lang w:val="en-US" w:eastAsia="zh-CN"/>
        </w:rPr>
        <w:t>完成财政资金投入5.1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亿元；</w:t>
      </w:r>
      <w:r>
        <w:rPr>
          <w:rFonts w:hint="eastAsia" w:ascii="Times New Roman" w:hAnsi="Times New Roman" w:eastAsia="仿宋_GB2312" w:cs="Times New Roman"/>
          <w:sz w:val="32"/>
          <w:szCs w:val="32"/>
          <w:lang w:val="en-US" w:eastAsia="zh-CN"/>
        </w:rPr>
        <w:t>全年新增道路建设</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公里；全年新增土地储备面积700亩；新建标准厂房及配套用房</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万平方米</w:t>
      </w:r>
      <w:r>
        <w:rPr>
          <w:rFonts w:hint="eastAsia" w:ascii="Times New Roman" w:hAnsi="Times New Roman" w:eastAsia="仿宋_GB2312" w:cs="Times New Roman"/>
          <w:sz w:val="32"/>
          <w:szCs w:val="32"/>
          <w:lang w:val="en-US" w:eastAsia="zh-CN"/>
        </w:rPr>
        <w:t>。</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四川大竹经济开发区管理委员会属行政单位，大竹县工业园区服务中心属全额拨款参照</w:t>
      </w:r>
      <w:r>
        <w:rPr>
          <w:rFonts w:hint="eastAsia" w:ascii="仿宋" w:hAnsi="仿宋" w:eastAsia="仿宋"/>
          <w:sz w:val="32"/>
          <w:szCs w:val="32"/>
        </w:rPr>
        <w:t>公务员法管理的事业单位</w:t>
      </w:r>
      <w:r>
        <w:rPr>
          <w:rFonts w:hint="eastAsia" w:ascii="仿宋" w:hAnsi="仿宋" w:eastAsia="仿宋"/>
          <w:sz w:val="32"/>
          <w:szCs w:val="32"/>
          <w:lang w:eastAsia="zh-CN"/>
        </w:rPr>
        <w:t>，</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四川大竹经济开发区管理委员会</w:t>
      </w:r>
      <w:r>
        <w:rPr>
          <w:rFonts w:hint="eastAsia" w:ascii="仿宋" w:hAnsi="仿宋" w:eastAsia="仿宋"/>
          <w:color w:val="000000"/>
          <w:sz w:val="32"/>
          <w:szCs w:val="32"/>
        </w:rPr>
        <w:t>2019年度部门决算编制范围的二级预算单位包括：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2" w:name="_Toc15378449"/>
      <w:bookmarkStart w:id="23" w:name="_Toc15377202"/>
      <w:bookmarkStart w:id="24" w:name="_Toc15377433"/>
      <w:bookmarkStart w:id="25" w:name="_Toc15306276"/>
      <w:r>
        <w:rPr>
          <w:rFonts w:hint="eastAsia" w:ascii="仿宋" w:hAnsi="仿宋" w:eastAsia="仿宋"/>
          <w:color w:val="000000"/>
          <w:sz w:val="32"/>
          <w:szCs w:val="32"/>
          <w:lang w:eastAsia="zh-CN"/>
        </w:rPr>
        <w:t>大竹县工业园区</w:t>
      </w:r>
      <w:bookmarkEnd w:id="22"/>
      <w:bookmarkEnd w:id="23"/>
      <w:bookmarkEnd w:id="24"/>
      <w:bookmarkEnd w:id="25"/>
      <w:r>
        <w:rPr>
          <w:rFonts w:hint="eastAsia" w:ascii="仿宋" w:hAnsi="仿宋" w:eastAsia="仿宋"/>
          <w:color w:val="000000"/>
          <w:sz w:val="32"/>
          <w:szCs w:val="32"/>
          <w:lang w:eastAsia="zh-CN"/>
        </w:rPr>
        <w:t>服务中心</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大竹县工业园区服务中心招商引资一局</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大竹县工业园区服务中心招商引资二局</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6"/>
      <w:bookmarkEnd w:id="27"/>
    </w:p>
    <w:p/>
    <w:p>
      <w:pPr>
        <w:pStyle w:val="23"/>
        <w:numPr>
          <w:ilvl w:val="0"/>
          <w:numId w:val="2"/>
        </w:numPr>
        <w:spacing w:line="600" w:lineRule="exact"/>
        <w:ind w:firstLineChars="0"/>
        <w:outlineLvl w:val="1"/>
        <w:rPr>
          <w:rStyle w:val="25"/>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24928.41万元，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24928.41</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702.44万元，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总计增加</w:t>
      </w:r>
      <w:r>
        <w:rPr>
          <w:rFonts w:hint="eastAsia" w:ascii="仿宋" w:hAnsi="仿宋" w:eastAsia="仿宋"/>
          <w:color w:val="000000"/>
          <w:sz w:val="32"/>
          <w:szCs w:val="32"/>
          <w:lang w:val="en-US" w:eastAsia="zh-CN"/>
        </w:rPr>
        <w:t>702.44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2.90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其他制造业收入和支出增加。</w:t>
      </w:r>
    </w:p>
    <w:p>
      <w:pPr>
        <w:spacing w:line="600" w:lineRule="exact"/>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（图</w:t>
      </w:r>
      <w:r>
        <w:rPr>
          <w:rFonts w:hint="eastAsia" w:ascii="仿宋" w:hAnsi="仿宋" w:eastAsia="仿宋"/>
          <w:color w:val="000000"/>
          <w:sz w:val="32"/>
          <w:szCs w:val="32"/>
          <w:lang w:val="en-US" w:eastAsia="zh-CN"/>
        </w:rPr>
        <w:t>1：收支决算总计变动情况图</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 xml:space="preserve">  单位：万元</w:t>
      </w:r>
    </w:p>
    <w:p>
      <w:pPr>
        <w:spacing w:line="600" w:lineRule="exact"/>
        <w:ind w:firstLine="420" w:firstLineChars="200"/>
        <w:rPr>
          <w:rFonts w:hint="eastAsia" w:ascii="仿宋" w:hAnsi="仿宋" w:eastAsia="仿宋"/>
          <w:color w:val="000000"/>
          <w:sz w:val="32"/>
          <w:szCs w:val="32"/>
          <w:lang w:eastAsia="zh-CN"/>
        </w:rPr>
      </w:pPr>
      <w:r>
        <w:drawing>
          <wp:anchor distT="0" distB="0" distL="114300" distR="114300" simplePos="0" relativeHeight="251658240" behindDoc="0" locked="0" layoutInCell="1" allowOverlap="1">
            <wp:simplePos x="0" y="0"/>
            <wp:positionH relativeFrom="column">
              <wp:posOffset>262890</wp:posOffset>
            </wp:positionH>
            <wp:positionV relativeFrom="paragraph">
              <wp:posOffset>238125</wp:posOffset>
            </wp:positionV>
            <wp:extent cx="4572000" cy="2743200"/>
            <wp:effectExtent l="4445" t="4445" r="1460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24928.41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2713.08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10.88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22215.33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89.12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val="0"/>
          <w:bCs w:val="0"/>
          <w:color w:val="auto"/>
          <w:sz w:val="32"/>
          <w:szCs w:val="32"/>
        </w:rPr>
        <w:t>（图2：收入决算结构图）</w:t>
      </w:r>
      <w:r>
        <w:rPr>
          <w:rFonts w:hint="eastAsia" w:ascii="仿宋" w:hAnsi="仿宋" w:eastAsia="仿宋"/>
          <w:b w:val="0"/>
          <w:bCs w:val="0"/>
          <w:color w:val="auto"/>
          <w:sz w:val="32"/>
          <w:szCs w:val="32"/>
          <w:lang w:eastAsia="zh-CN"/>
        </w:rPr>
        <w:t>单位：万元</w:t>
      </w: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168275</wp:posOffset>
            </wp:positionH>
            <wp:positionV relativeFrom="paragraph">
              <wp:posOffset>182245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0"/>
        </w:numPr>
        <w:spacing w:line="600" w:lineRule="exact"/>
        <w:ind w:firstLine="640" w:firstLineChars="200"/>
        <w:outlineLvl w:val="1"/>
        <w:rPr>
          <w:rStyle w:val="25"/>
          <w:rFonts w:ascii="黑体" w:hAnsi="黑体" w:eastAsia="黑体"/>
          <w:b w:val="0"/>
        </w:rPr>
      </w:pPr>
      <w:bookmarkStart w:id="32" w:name="_Toc15396605"/>
      <w:bookmarkStart w:id="33"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24928.41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679.45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24248.96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97.27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（图3：支出决算结构图）</w:t>
      </w:r>
      <w:r>
        <w:rPr>
          <w:rFonts w:hint="eastAsia" w:ascii="仿宋" w:hAnsi="仿宋" w:eastAsia="仿宋"/>
          <w:color w:val="auto"/>
          <w:sz w:val="32"/>
          <w:szCs w:val="32"/>
          <w:lang w:eastAsia="zh-CN"/>
        </w:rPr>
        <w:t>单位：万元</w:t>
      </w:r>
    </w:p>
    <w:p>
      <w:pPr>
        <w:spacing w:line="600" w:lineRule="exact"/>
        <w:ind w:firstLine="420" w:firstLineChars="200"/>
        <w:rPr>
          <w:rFonts w:hint="eastAsia" w:ascii="仿宋" w:hAnsi="仿宋" w:eastAsia="仿宋"/>
          <w:color w:val="FF0000"/>
          <w:sz w:val="32"/>
          <w:szCs w:val="32"/>
        </w:rPr>
      </w:pPr>
      <w:r>
        <w:drawing>
          <wp:anchor distT="0" distB="0" distL="114300" distR="114300" simplePos="0" relativeHeight="251660288" behindDoc="0" locked="0" layoutInCell="1" allowOverlap="1">
            <wp:simplePos x="0" y="0"/>
            <wp:positionH relativeFrom="column">
              <wp:posOffset>342265</wp:posOffset>
            </wp:positionH>
            <wp:positionV relativeFrom="paragraph">
              <wp:posOffset>41275</wp:posOffset>
            </wp:positionV>
            <wp:extent cx="4270375" cy="2418715"/>
            <wp:effectExtent l="4445" t="4445" r="11430" b="1524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w:t>
      </w:r>
      <w:r>
        <w:rPr>
          <w:rFonts w:hint="eastAsia" w:ascii="仿宋" w:hAnsi="仿宋" w:eastAsia="仿宋"/>
          <w:color w:val="000000"/>
          <w:sz w:val="32"/>
          <w:szCs w:val="32"/>
          <w:lang w:eastAsia="zh-CN"/>
        </w:rPr>
        <w:t>收入总计</w:t>
      </w:r>
      <w:r>
        <w:rPr>
          <w:rFonts w:hint="eastAsia" w:ascii="仿宋" w:hAnsi="仿宋" w:eastAsia="仿宋"/>
          <w:color w:val="000000"/>
          <w:sz w:val="32"/>
          <w:szCs w:val="32"/>
          <w:lang w:val="en-US" w:eastAsia="zh-CN"/>
        </w:rPr>
        <w:t>24928.41万元，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24928.41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702.44万元，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总计增加</w:t>
      </w:r>
      <w:r>
        <w:rPr>
          <w:rFonts w:hint="eastAsia" w:ascii="仿宋" w:hAnsi="仿宋" w:eastAsia="仿宋"/>
          <w:color w:val="000000"/>
          <w:sz w:val="32"/>
          <w:szCs w:val="32"/>
          <w:lang w:val="en-US" w:eastAsia="zh-CN"/>
        </w:rPr>
        <w:t>702.44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2.89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其他制造业收入和支出增加。</w:t>
      </w:r>
    </w:p>
    <w:p>
      <w:pPr>
        <w:spacing w:line="600" w:lineRule="exact"/>
        <w:rPr>
          <w:rFonts w:hint="eastAsia" w:ascii="仿宋" w:hAnsi="仿宋" w:eastAsia="仿宋"/>
          <w:color w:val="auto"/>
          <w:sz w:val="32"/>
          <w:szCs w:val="32"/>
          <w:lang w:eastAsia="zh-CN"/>
        </w:rPr>
      </w:pPr>
      <w:r>
        <w:rPr>
          <w:rFonts w:hint="eastAsia" w:ascii="仿宋" w:hAnsi="仿宋" w:eastAsia="仿宋"/>
          <w:color w:val="auto"/>
          <w:sz w:val="32"/>
          <w:szCs w:val="32"/>
        </w:rPr>
        <w:t>（图4：财政拨款收、支决算总计变动情况）</w:t>
      </w:r>
      <w:r>
        <w:rPr>
          <w:rFonts w:hint="eastAsia" w:ascii="仿宋" w:hAnsi="仿宋" w:eastAsia="仿宋"/>
          <w:color w:val="auto"/>
          <w:sz w:val="32"/>
          <w:szCs w:val="32"/>
          <w:lang w:eastAsia="zh-CN"/>
        </w:rPr>
        <w:t>单位：万元</w:t>
      </w:r>
    </w:p>
    <w:p>
      <w:pPr>
        <w:spacing w:line="600" w:lineRule="exact"/>
        <w:rPr>
          <w:rFonts w:ascii="仿宋" w:hAnsi="仿宋" w:eastAsia="仿宋"/>
          <w:color w:val="000000"/>
          <w:sz w:val="32"/>
          <w:szCs w:val="32"/>
        </w:rPr>
      </w:pPr>
      <w:r>
        <w:drawing>
          <wp:anchor distT="0" distB="0" distL="114300" distR="114300" simplePos="0" relativeHeight="251661312" behindDoc="0" locked="0" layoutInCell="1" allowOverlap="1">
            <wp:simplePos x="0" y="0"/>
            <wp:positionH relativeFrom="column">
              <wp:posOffset>171450</wp:posOffset>
            </wp:positionH>
            <wp:positionV relativeFrom="paragraph">
              <wp:posOffset>253365</wp:posOffset>
            </wp:positionV>
            <wp:extent cx="4572000" cy="2743200"/>
            <wp:effectExtent l="4445" t="4445" r="14605" b="14605"/>
            <wp:wrapSquare wrapText="bothSides"/>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2713.08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10.88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1362.23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100.84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其他制造业支出增加。</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（图5：一般公共预算财政拨款支出决算变动情况）</w:t>
      </w:r>
      <w:r>
        <w:rPr>
          <w:rFonts w:hint="eastAsia" w:ascii="仿宋" w:hAnsi="仿宋" w:eastAsia="仿宋"/>
          <w:color w:val="auto"/>
          <w:sz w:val="32"/>
          <w:szCs w:val="32"/>
          <w:lang w:eastAsia="zh-CN"/>
        </w:rPr>
        <w:t>单位：万元</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334645</wp:posOffset>
            </wp:positionH>
            <wp:positionV relativeFrom="paragraph">
              <wp:posOffset>86995</wp:posOffset>
            </wp:positionV>
            <wp:extent cx="4572000" cy="2743200"/>
            <wp:effectExtent l="4445" t="4445" r="14605" b="14605"/>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hint="eastAsia" w:ascii="仿宋" w:hAnsi="仿宋" w:eastAsia="仿宋"/>
          <w:b/>
          <w:color w:val="000000"/>
          <w:sz w:val="32"/>
          <w:szCs w:val="32"/>
        </w:rPr>
      </w:pPr>
      <w:bookmarkStart w:id="39" w:name="_Toc15377211"/>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2713.08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w:t>
      </w:r>
      <w:r>
        <w:rPr>
          <w:rFonts w:hint="eastAsia" w:ascii="仿宋" w:hAnsi="仿宋" w:eastAsia="仿宋"/>
          <w:b/>
          <w:color w:val="000000" w:themeColor="text1"/>
          <w:sz w:val="32"/>
          <w:szCs w:val="32"/>
          <w:lang w:val="en-US" w:eastAsia="zh-CN"/>
          <w14:textFill>
            <w14:solidFill>
              <w14:schemeClr w14:val="tx1"/>
            </w14:solidFill>
          </w14:textFill>
        </w:rPr>
        <w:t>206</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586.94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38.72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210</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19.38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0.71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48.13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资源勘探信息（</w:t>
      </w:r>
      <w:r>
        <w:rPr>
          <w:rFonts w:hint="eastAsia" w:ascii="仿宋" w:hAnsi="仿宋" w:eastAsia="仿宋"/>
          <w:b/>
          <w:bCs/>
          <w:color w:val="000000" w:themeColor="text1"/>
          <w:sz w:val="32"/>
          <w:szCs w:val="32"/>
          <w:lang w:val="en-US" w:eastAsia="zh-CN"/>
          <w14:textFill>
            <w14:solidFill>
              <w14:schemeClr w14:val="tx1"/>
            </w14:solidFill>
          </w14:textFill>
        </w:rPr>
        <w:t>215</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1285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47.37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住房保障（</w:t>
      </w:r>
      <w:r>
        <w:rPr>
          <w:rFonts w:hint="eastAsia" w:ascii="仿宋" w:hAnsi="仿宋" w:eastAsia="仿宋"/>
          <w:b/>
          <w:bCs/>
          <w:color w:val="000000" w:themeColor="text1"/>
          <w:sz w:val="32"/>
          <w:szCs w:val="32"/>
          <w:lang w:val="en-US" w:eastAsia="zh-CN"/>
          <w14:textFill>
            <w14:solidFill>
              <w14:schemeClr w14:val="tx1"/>
            </w14:solidFill>
          </w14:textFill>
        </w:rPr>
        <w:t>221</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34.41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其他（</w:t>
      </w:r>
      <w:r>
        <w:rPr>
          <w:rFonts w:hint="eastAsia" w:ascii="仿宋" w:hAnsi="仿宋" w:eastAsia="仿宋"/>
          <w:b/>
          <w:bCs/>
          <w:color w:val="000000" w:themeColor="text1"/>
          <w:sz w:val="32"/>
          <w:szCs w:val="32"/>
          <w:lang w:val="en-US" w:eastAsia="zh-CN"/>
          <w14:textFill>
            <w14:solidFill>
              <w14:schemeClr w14:val="tx1"/>
            </w14:solidFill>
          </w14:textFill>
        </w:rPr>
        <w:t>229</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700.5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25.82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rPr>
          <w:rFonts w:hint="eastAsia" w:ascii="仿宋" w:hAnsi="仿宋" w:eastAsia="仿宋"/>
          <w:color w:val="auto"/>
          <w:sz w:val="32"/>
          <w:szCs w:val="32"/>
        </w:rPr>
      </w:pPr>
      <w:r>
        <w:rPr>
          <w:rFonts w:hint="eastAsia" w:ascii="仿宋" w:hAnsi="仿宋" w:eastAsia="仿宋"/>
          <w:color w:val="auto"/>
          <w:sz w:val="32"/>
          <w:szCs w:val="32"/>
        </w:rPr>
        <w:t>图6：</w:t>
      </w:r>
      <w:r>
        <w:rPr>
          <w:rFonts w:hint="eastAsia" w:ascii="仿宋" w:hAnsi="仿宋" w:eastAsia="仿宋"/>
          <w:color w:val="auto"/>
          <w:sz w:val="32"/>
          <w:szCs w:val="32"/>
          <w:lang w:eastAsia="zh-CN"/>
        </w:rPr>
        <w:t>（</w:t>
      </w:r>
      <w:r>
        <w:rPr>
          <w:rFonts w:hint="eastAsia" w:ascii="仿宋" w:hAnsi="仿宋" w:eastAsia="仿宋"/>
          <w:color w:val="auto"/>
          <w:sz w:val="32"/>
          <w:szCs w:val="32"/>
        </w:rPr>
        <w:t>一般公共预算财政拨款支出决算结构</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单位：万元</w:t>
      </w: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420" w:firstLineChars="200"/>
        <w:rPr>
          <w:rFonts w:hint="eastAsia" w:ascii="仿宋" w:hAnsi="仿宋" w:eastAsia="仿宋"/>
          <w:color w:val="FF0000"/>
          <w:sz w:val="32"/>
          <w:szCs w:val="32"/>
        </w:rPr>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-736600</wp:posOffset>
            </wp:positionV>
            <wp:extent cx="4365625" cy="2569845"/>
            <wp:effectExtent l="4445" t="4445" r="11430" b="1651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hint="eastAsia" w:ascii="仿宋" w:hAnsi="仿宋" w:eastAsia="仿宋"/>
          <w:b/>
          <w:color w:val="000000"/>
          <w:sz w:val="32"/>
          <w:szCs w:val="32"/>
        </w:rPr>
      </w:pPr>
      <w:bookmarkStart w:id="40"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8460"/>
      <w:bookmarkStart w:id="42" w:name="_Toc15377213"/>
      <w:bookmarkStart w:id="43" w:name="_Toc15377444"/>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2713.08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lang w:eastAsia="zh-CN"/>
        </w:rPr>
        <w:t>科学技术支出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206</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科学技术管理事务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其他科学技术管理事务支出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586.94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eastAsia="zh-CN"/>
        </w:rPr>
        <w:t>社会保障和就业支出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机关事业单位基本养老保险支出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38.72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lang w:eastAsia="zh-CN"/>
        </w:rPr>
        <w:t>卫生健康支出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lang w:eastAsia="zh-CN"/>
        </w:rPr>
        <w:t>卫生健康支出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03</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8.50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lang w:eastAsia="zh-CN"/>
        </w:rPr>
        <w:t>城乡社区支出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212</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城乡社区规划与管理</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城乡社区规划与管理</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48.13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lang w:eastAsia="zh-CN"/>
        </w:rPr>
        <w:t>资源勘探信息等支出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215</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制造业</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其他制造业支出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1275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lang w:eastAsia="zh-CN"/>
        </w:rPr>
        <w:t>资源勘探信息等支出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215</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支持中小企业发展和管理支出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08</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中小企业发展专项</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34.41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其他支出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229</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700.5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679.43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406.37</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131.17万元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49.46万元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20.73万元</w:t>
      </w:r>
      <w:r>
        <w:rPr>
          <w:rFonts w:hint="eastAsia" w:ascii="仿宋" w:hAnsi="仿宋" w:eastAsia="仿宋"/>
          <w:color w:val="000000"/>
          <w:sz w:val="32"/>
          <w:szCs w:val="32"/>
        </w:rPr>
        <w:t>、伙食补助费</w:t>
      </w:r>
      <w:r>
        <w:rPr>
          <w:rFonts w:hint="eastAsia" w:ascii="仿宋" w:hAnsi="仿宋" w:eastAsia="仿宋"/>
          <w:color w:val="000000"/>
          <w:sz w:val="32"/>
          <w:szCs w:val="32"/>
          <w:lang w:val="en-US" w:eastAsia="zh-CN"/>
        </w:rPr>
        <w:t>11.88万元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51.6万元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38.72万元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职工基本医疗保险缴费</w:t>
      </w:r>
      <w:r>
        <w:rPr>
          <w:rFonts w:hint="eastAsia" w:ascii="仿宋" w:hAnsi="仿宋" w:eastAsia="仿宋"/>
          <w:color w:val="000000"/>
          <w:sz w:val="32"/>
          <w:szCs w:val="32"/>
          <w:lang w:val="en-US" w:eastAsia="zh-CN"/>
        </w:rPr>
        <w:t>10.88万元、公务员医疗补助缴费8.50万元、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45.46万元</w:t>
      </w:r>
      <w:r>
        <w:rPr>
          <w:rFonts w:hint="eastAsia" w:ascii="仿宋" w:hAnsi="仿宋" w:eastAsia="仿宋"/>
          <w:color w:val="000000"/>
          <w:sz w:val="32"/>
          <w:szCs w:val="32"/>
        </w:rPr>
        <w:t>、抚恤金、生活补助</w:t>
      </w:r>
      <w:r>
        <w:rPr>
          <w:rFonts w:hint="eastAsia" w:ascii="仿宋" w:hAnsi="仿宋" w:eastAsia="仿宋"/>
          <w:color w:val="000000"/>
          <w:sz w:val="32"/>
          <w:szCs w:val="32"/>
          <w:lang w:val="en-US" w:eastAsia="zh-CN"/>
        </w:rPr>
        <w:t>1.95万元</w:t>
      </w:r>
      <w:r>
        <w:rPr>
          <w:rFonts w:hint="eastAsia" w:ascii="仿宋" w:hAnsi="仿宋" w:eastAsia="仿宋"/>
          <w:color w:val="000000"/>
          <w:sz w:val="32"/>
          <w:szCs w:val="32"/>
        </w:rPr>
        <w:t>、医疗费补助</w:t>
      </w:r>
      <w:r>
        <w:rPr>
          <w:rFonts w:hint="eastAsia" w:ascii="仿宋" w:hAnsi="仿宋" w:eastAsia="仿宋"/>
          <w:color w:val="000000"/>
          <w:sz w:val="32"/>
          <w:szCs w:val="32"/>
          <w:lang w:val="en-US" w:eastAsia="zh-CN"/>
        </w:rPr>
        <w:t>0.16万元</w:t>
      </w:r>
      <w:r>
        <w:rPr>
          <w:rFonts w:hint="eastAsia" w:ascii="仿宋" w:hAnsi="仿宋" w:eastAsia="仿宋"/>
          <w:color w:val="000000"/>
          <w:sz w:val="32"/>
          <w:szCs w:val="32"/>
        </w:rPr>
        <w:t>、奖励金</w:t>
      </w:r>
      <w:r>
        <w:rPr>
          <w:rFonts w:hint="eastAsia" w:ascii="仿宋" w:hAnsi="仿宋" w:eastAsia="仿宋"/>
          <w:color w:val="000000"/>
          <w:sz w:val="32"/>
          <w:szCs w:val="32"/>
          <w:lang w:val="en-US" w:eastAsia="zh-CN"/>
        </w:rPr>
        <w:t>1.03万元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34.41万元</w:t>
      </w:r>
      <w:r>
        <w:rPr>
          <w:rFonts w:hint="eastAsia" w:ascii="仿宋" w:hAnsi="仿宋" w:eastAsia="仿宋"/>
          <w:color w:val="000000"/>
          <w:sz w:val="32"/>
          <w:szCs w:val="32"/>
        </w:rPr>
        <w:t>、其他对个人和家庭的补助支出</w:t>
      </w:r>
      <w:r>
        <w:rPr>
          <w:rFonts w:hint="eastAsia" w:ascii="仿宋" w:hAnsi="仿宋" w:eastAsia="仿宋"/>
          <w:color w:val="000000"/>
          <w:sz w:val="32"/>
          <w:szCs w:val="32"/>
          <w:lang w:val="en-US" w:eastAsia="zh-CN"/>
        </w:rPr>
        <w:t>0.42万元</w:t>
      </w:r>
      <w:r>
        <w:rPr>
          <w:rFonts w:hint="eastAsia" w:ascii="仿宋" w:hAnsi="仿宋" w:eastAsia="仿宋"/>
          <w:color w:val="000000"/>
          <w:sz w:val="32"/>
          <w:szCs w:val="32"/>
        </w:rPr>
        <w:t>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273.06</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15.68万元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5.97万元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0.2万元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4.24万元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4.35万元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26.88万元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57.51万元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0.11万元</w:t>
      </w:r>
      <w:r>
        <w:rPr>
          <w:rFonts w:hint="eastAsia" w:ascii="仿宋" w:hAnsi="仿宋" w:eastAsia="仿宋"/>
          <w:color w:val="000000"/>
          <w:sz w:val="32"/>
          <w:szCs w:val="32"/>
        </w:rPr>
        <w:t>、租赁费</w:t>
      </w:r>
      <w:r>
        <w:rPr>
          <w:rFonts w:hint="eastAsia" w:ascii="仿宋" w:hAnsi="仿宋" w:eastAsia="仿宋"/>
          <w:color w:val="000000"/>
          <w:sz w:val="32"/>
          <w:szCs w:val="32"/>
          <w:lang w:val="en-US" w:eastAsia="zh-CN"/>
        </w:rPr>
        <w:t>6.22万元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3.97万元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1.95万元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2.13万元</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4.76万元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11.85万元</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3.69万元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12.99万元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99.42万元、办公设备购置0.44万元、专业设备购置10.7万元</w:t>
      </w:r>
      <w:r>
        <w:rPr>
          <w:rFonts w:hint="eastAsia" w:ascii="仿宋" w:hAnsi="仿宋" w:eastAsia="仿宋"/>
          <w:color w:val="000000"/>
          <w:sz w:val="32"/>
          <w:szCs w:val="32"/>
        </w:rPr>
        <w:t>等。</w:t>
      </w:r>
    </w:p>
    <w:p>
      <w:pPr>
        <w:spacing w:line="600" w:lineRule="exact"/>
        <w:ind w:firstLine="640"/>
        <w:outlineLvl w:val="1"/>
        <w:rPr>
          <w:rStyle w:val="25"/>
          <w:rFonts w:ascii="黑体" w:hAnsi="黑体" w:eastAsia="黑体"/>
          <w:b w:val="0"/>
        </w:rPr>
      </w:pPr>
      <w:bookmarkStart w:id="46" w:name="_Toc15396609"/>
      <w:bookmarkStart w:id="47"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1.95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auto"/>
          <w:sz w:val="32"/>
          <w:szCs w:val="32"/>
          <w:lang w:eastAsia="zh-CN"/>
        </w:rPr>
      </w:pPr>
      <w:r>
        <w:rPr>
          <w:rFonts w:hint="eastAsia" w:ascii="仿宋" w:hAnsi="仿宋" w:eastAsia="仿宋"/>
          <w:color w:val="auto"/>
          <w:sz w:val="32"/>
          <w:szCs w:val="32"/>
        </w:rPr>
        <w:t>（图7：“三公”经费财政拨款支出结构）</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单位：万元</w:t>
      </w:r>
    </w:p>
    <w:p>
      <w:pPr>
        <w:spacing w:line="600" w:lineRule="exact"/>
        <w:ind w:firstLine="640"/>
        <w:rPr>
          <w:rFonts w:ascii="仿宋_GB2312" w:eastAsia="仿宋_GB2312"/>
          <w:b/>
          <w:color w:val="000000"/>
          <w:sz w:val="32"/>
          <w:szCs w:val="32"/>
        </w:rPr>
      </w:pPr>
      <w:r>
        <w:rPr>
          <w:rFonts w:hint="eastAsia" w:ascii="仿宋_GB2312" w:eastAsia="仿宋_GB2312"/>
          <w:color w:val="000000"/>
          <w:sz w:val="32"/>
          <w:szCs w:val="32"/>
        </w:rPr>
        <w:drawing>
          <wp:anchor distT="0" distB="0" distL="114300" distR="114300" simplePos="0" relativeHeight="251674624" behindDoc="0" locked="0" layoutInCell="1" allowOverlap="1">
            <wp:simplePos x="0" y="0"/>
            <wp:positionH relativeFrom="margin">
              <wp:posOffset>264160</wp:posOffset>
            </wp:positionH>
            <wp:positionV relativeFrom="margin">
              <wp:posOffset>5363210</wp:posOffset>
            </wp:positionV>
            <wp:extent cx="5250815" cy="2838450"/>
            <wp:effectExtent l="4445" t="4445" r="21590" b="14605"/>
            <wp:wrapSquare wrapText="bothSides"/>
            <wp:docPr id="55"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本单位无</w:t>
      </w:r>
      <w:r>
        <w:rPr>
          <w:rFonts w:hint="eastAsia" w:ascii="仿宋_GB2312" w:eastAsia="仿宋_GB2312"/>
          <w:color w:val="000000"/>
          <w:sz w:val="32"/>
          <w:szCs w:val="32"/>
        </w:rPr>
        <w:t>因公出国（境）支出</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本单位无</w:t>
      </w:r>
      <w:r>
        <w:rPr>
          <w:rFonts w:hint="eastAsia" w:ascii="仿宋_GB2312" w:eastAsia="仿宋_GB2312"/>
          <w:color w:val="000000"/>
          <w:sz w:val="32"/>
          <w:szCs w:val="32"/>
        </w:rPr>
        <w:t>公务用车购置及运行维护费支出</w:t>
      </w:r>
      <w:r>
        <w:rPr>
          <w:rFonts w:hint="eastAsia" w:ascii="仿宋_GB2312" w:eastAsia="仿宋_GB2312"/>
          <w:color w:val="000000"/>
          <w:sz w:val="32"/>
          <w:szCs w:val="32"/>
          <w:lang w:eastAsia="zh-CN"/>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1.95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9.72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今年公务接待次数及人次较去年减少，</w:t>
      </w:r>
      <w:r>
        <w:rPr>
          <w:rFonts w:hint="eastAsia" w:ascii="仿宋_GB2312" w:eastAsia="仿宋_GB2312"/>
          <w:color w:val="000000"/>
          <w:sz w:val="32"/>
          <w:szCs w:val="32"/>
        </w:rPr>
        <w:t>其中：</w:t>
      </w:r>
    </w:p>
    <w:p>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1.95</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各企业投资环境考察接待、省市学习考察接待</w:t>
      </w:r>
      <w:r>
        <w:rPr>
          <w:rFonts w:hint="eastAsia" w:ascii="仿宋_GB2312" w:eastAsia="仿宋_GB2312"/>
          <w:color w:val="auto"/>
          <w:sz w:val="32"/>
          <w:szCs w:val="32"/>
        </w:rPr>
        <w:t>开支。国内公务接待</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248</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1.95</w:t>
      </w:r>
      <w:r>
        <w:rPr>
          <w:rFonts w:hint="eastAsia" w:ascii="仿宋_GB2312" w:eastAsia="仿宋_GB2312"/>
          <w:color w:val="auto"/>
          <w:sz w:val="32"/>
          <w:szCs w:val="32"/>
        </w:rPr>
        <w:t>万元，具体内容包括：</w:t>
      </w:r>
      <w:r>
        <w:rPr>
          <w:rFonts w:hint="eastAsia" w:ascii="仿宋_GB2312" w:eastAsia="仿宋_GB2312"/>
          <w:color w:val="auto"/>
          <w:sz w:val="32"/>
          <w:szCs w:val="32"/>
          <w:lang w:eastAsia="zh-CN"/>
        </w:rPr>
        <w:t>接待客商</w:t>
      </w:r>
      <w:r>
        <w:rPr>
          <w:rFonts w:hint="eastAsia" w:ascii="仿宋_GB2312" w:eastAsia="仿宋_GB2312"/>
          <w:color w:val="auto"/>
          <w:sz w:val="32"/>
          <w:szCs w:val="32"/>
          <w:lang w:val="en-US" w:eastAsia="zh-CN"/>
        </w:rPr>
        <w:t>1.78万元、接待省市考察调研0.17万元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outlineLvl w:val="1"/>
        <w:rPr>
          <w:rFonts w:ascii="黑体" w:eastAsia="黑体"/>
          <w:color w:val="000000"/>
          <w:sz w:val="32"/>
          <w:szCs w:val="32"/>
        </w:rPr>
      </w:pPr>
      <w:bookmarkStart w:id="50" w:name="_Toc15396610"/>
      <w:bookmarkStart w:id="51"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22215.33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numPr>
          <w:ilvl w:val="0"/>
          <w:numId w:val="3"/>
        </w:numPr>
        <w:spacing w:line="600" w:lineRule="exact"/>
        <w:ind w:firstLine="640"/>
        <w:outlineLvl w:val="1"/>
        <w:rPr>
          <w:rStyle w:val="25"/>
          <w:rFonts w:ascii="黑体" w:hAnsi="黑体" w:eastAsia="黑体"/>
          <w:b w:val="0"/>
        </w:rPr>
      </w:pPr>
      <w:bookmarkStart w:id="52" w:name="_Toc15396611"/>
      <w:bookmarkStart w:id="53" w:name="_Toc15377219"/>
      <w:r>
        <w:rPr>
          <w:rStyle w:val="25"/>
          <w:rFonts w:hint="eastAsia" w:ascii="黑体" w:hAnsi="黑体" w:eastAsia="黑体"/>
          <w:b w:val="0"/>
        </w:rPr>
        <w:t>国有资本经营预算支出决算情况说明</w:t>
      </w:r>
      <w:bookmarkEnd w:id="52"/>
      <w:bookmarkEnd w:id="5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4" w:name="_Toc15377221"/>
      <w:bookmarkStart w:id="55"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我委</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273.06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77.1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39.34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机关人员增加机关运行经费增加。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我委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我委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根据预算绩效管理要求，本部门在年初预算编制阶段，组织</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0个</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个项目开展了绩效目标完成情况自评。</w:t>
      </w:r>
    </w:p>
    <w:p>
      <w:pPr>
        <w:pStyle w:val="3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color w:val="000000"/>
          <w:sz w:val="29"/>
          <w:szCs w:val="29"/>
          <w:shd w:val="clear" w:color="auto" w:fill="FFFFFF"/>
        </w:rPr>
        <w:t>保障</w:t>
      </w:r>
      <w:r>
        <w:rPr>
          <w:rFonts w:hint="eastAsia" w:ascii="仿宋_GB2312" w:hAnsi="仿宋_GB2312" w:eastAsia="仿宋_GB2312" w:cs="仿宋_GB2312"/>
          <w:sz w:val="32"/>
          <w:szCs w:val="32"/>
        </w:rPr>
        <w:t>了干部职工的基本利益，提高了干部职工的工作积极性和责任心；保障了部门各项业务工作的进行，为各单位的良好运转起到了积极的推动作用，项目上，各项工程有序开展，保证了园区基础设施建设和工程项目稳妥进行，实现了年初制定的目标。因此，从项目决策、项目管理、项目完成和项目效果来看，都较好地达到了预期的效果。本部门无专项预算项目，因此未组织开展项目支出绩效评价。</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本部门按要求对2019年部门整体支出绩效评价情况开展自评，《XX部门2019年部门整体支出绩效评价报告》见附件（附件1）。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9" w:name="_Toc15377225"/>
      <w:bookmarkStart w:id="60"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lang w:eastAsia="zh-CN"/>
        </w:rPr>
        <w:t>科学技术支出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206</w:t>
      </w:r>
      <w:r>
        <w:rPr>
          <w:rFonts w:hint="eastAsia" w:ascii="仿宋_GB2312" w:eastAsia="仿宋_GB2312"/>
          <w:color w:val="000000"/>
          <w:sz w:val="32"/>
          <w:szCs w:val="32"/>
        </w:rPr>
        <w:t>）</w:t>
      </w:r>
      <w:r>
        <w:rPr>
          <w:rFonts w:hint="eastAsia" w:ascii="仿宋_GB2312" w:eastAsia="仿宋_GB2312"/>
          <w:color w:val="000000"/>
          <w:sz w:val="32"/>
          <w:szCs w:val="32"/>
          <w:lang w:eastAsia="zh-CN"/>
        </w:rPr>
        <w:t>科学技术管理事务</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其他科学技术管理事务支出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反映其他用于科学技术管理事务方面的支出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反映财政部门安排的事业单位基本医疗保险缴费经费，未参加医疗保险的事业单位的公费医疗经费，按国家规定享受离休人员待遇的医疗经费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反映财政部门安排的公务员医疗补助经费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rPr>
        <w:t>）</w:t>
      </w:r>
      <w:r>
        <w:rPr>
          <w:rFonts w:hint="eastAsia" w:ascii="仿宋_GB2312" w:eastAsia="仿宋_GB2312"/>
          <w:color w:val="000000"/>
          <w:sz w:val="32"/>
          <w:szCs w:val="32"/>
          <w:lang w:eastAsia="zh-CN"/>
        </w:rPr>
        <w:t>城乡社区规划与管理</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w:t>
      </w:r>
      <w:r>
        <w:rPr>
          <w:rFonts w:hint="eastAsia" w:ascii="仿宋_GB2312" w:eastAsia="仿宋_GB2312"/>
          <w:color w:val="000000"/>
          <w:sz w:val="32"/>
          <w:szCs w:val="32"/>
          <w:lang w:eastAsia="zh-CN"/>
        </w:rPr>
        <w:t>城乡社区规划与管理</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反映城乡社区、防灾减灾、历史名城规划制定与管理方面的支出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rPr>
        <w:t>）</w:t>
      </w:r>
      <w:r>
        <w:rPr>
          <w:rFonts w:hint="eastAsia" w:ascii="仿宋_GB2312" w:eastAsia="仿宋_GB2312"/>
          <w:color w:val="000000"/>
          <w:sz w:val="32"/>
          <w:szCs w:val="32"/>
          <w:lang w:eastAsia="zh-CN"/>
        </w:rPr>
        <w:t>国有土地使用权出让收入及对应专项债务收入安排的支出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w:t>
      </w:r>
      <w:r>
        <w:rPr>
          <w:rFonts w:hint="eastAsia" w:ascii="仿宋_GB2312" w:eastAsia="仿宋_GB2312"/>
          <w:color w:val="000000"/>
          <w:sz w:val="32"/>
          <w:szCs w:val="32"/>
          <w:lang w:eastAsia="zh-CN"/>
        </w:rPr>
        <w:t>土地开发支出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反映新疆生产建设兵团和地方政府用于前期土地开发性支出以及前期土地开发相关的费用等支出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lang w:eastAsia="zh-CN"/>
        </w:rPr>
        <w:t>资源勘探信息等支出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215</w:t>
      </w:r>
      <w:r>
        <w:rPr>
          <w:rFonts w:hint="eastAsia" w:ascii="仿宋_GB2312" w:eastAsia="仿宋_GB2312"/>
          <w:color w:val="000000"/>
          <w:sz w:val="32"/>
          <w:szCs w:val="32"/>
        </w:rPr>
        <w:t>）</w:t>
      </w:r>
      <w:r>
        <w:rPr>
          <w:rFonts w:hint="eastAsia" w:ascii="仿宋_GB2312" w:eastAsia="仿宋_GB2312"/>
          <w:color w:val="000000"/>
          <w:sz w:val="32"/>
          <w:szCs w:val="32"/>
          <w:lang w:eastAsia="zh-CN"/>
        </w:rPr>
        <w:t>制造业</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其他制造业支出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反映其他用于制造业方面的支出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lang w:eastAsia="zh-CN"/>
        </w:rPr>
        <w:t>资源勘探信息等支出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215</w:t>
      </w:r>
      <w:r>
        <w:rPr>
          <w:rFonts w:hint="eastAsia" w:ascii="仿宋_GB2312" w:eastAsia="仿宋_GB2312"/>
          <w:color w:val="000000"/>
          <w:sz w:val="32"/>
          <w:szCs w:val="32"/>
        </w:rPr>
        <w:t>）</w:t>
      </w:r>
      <w:r>
        <w:rPr>
          <w:rFonts w:hint="eastAsia" w:ascii="仿宋_GB2312" w:eastAsia="仿宋_GB2312"/>
          <w:color w:val="000000"/>
          <w:sz w:val="32"/>
          <w:szCs w:val="32"/>
          <w:lang w:eastAsia="zh-CN"/>
        </w:rPr>
        <w:t>支持中小企业发展和管理支出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w:t>
      </w:r>
      <w:r>
        <w:rPr>
          <w:rFonts w:hint="eastAsia" w:ascii="仿宋_GB2312" w:eastAsia="仿宋_GB2312"/>
          <w:color w:val="000000"/>
          <w:sz w:val="32"/>
          <w:szCs w:val="32"/>
          <w:lang w:eastAsia="zh-CN"/>
        </w:rPr>
        <w:t>中小企业发展专项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反映用于支持中小企业专业化发展、与大企业协作配套等方面的支出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lang w:eastAsia="zh-CN"/>
        </w:rPr>
        <w:t>住房保障支出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lang w:eastAsia="zh-CN"/>
        </w:rPr>
        <w:t>其他支出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229</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反映其他不能划分到具体功能科目中的支出项目</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Style w:val="24"/>
          <w:rFonts w:ascii="黑体" w:hAnsi="黑体" w:eastAsia="黑体"/>
          <w:b w:val="0"/>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61" w:name="_Toc15377226"/>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四川大竹经济开发区管理委员会</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30"/>
        <w:ind w:firstLine="580" w:firstLineChars="200"/>
        <w:rPr>
          <w:rFonts w:hint="eastAsia" w:ascii="仿宋_GB2312" w:hAnsi="宋体" w:eastAsia="仿宋_GB2312" w:cs="宋体"/>
          <w:color w:val="000000"/>
          <w:kern w:val="0"/>
          <w:sz w:val="32"/>
          <w:szCs w:val="32"/>
          <w:shd w:val="clear" w:color="auto" w:fill="FFFFFF"/>
          <w:lang w:val="zh-CN"/>
        </w:rPr>
      </w:pPr>
      <w:r>
        <w:rPr>
          <w:rFonts w:hint="eastAsia"/>
          <w:color w:val="000000"/>
          <w:sz w:val="29"/>
          <w:szCs w:val="29"/>
          <w:shd w:val="clear" w:color="auto" w:fill="FFFFFF"/>
          <w:lang w:eastAsia="zh-CN"/>
        </w:rPr>
        <w:t>四川大竹经济开发区管理委员会属行政单位，大竹县工业园区服务中心是</w:t>
      </w:r>
      <w:r>
        <w:rPr>
          <w:color w:val="000000"/>
          <w:sz w:val="29"/>
          <w:szCs w:val="29"/>
          <w:shd w:val="clear" w:color="auto" w:fill="FFFFFF"/>
        </w:rPr>
        <w:t>全额拨款参照公务员法管理的事业单位，下属2个二级事业单位（</w:t>
      </w:r>
      <w:r>
        <w:rPr>
          <w:rFonts w:hint="eastAsia"/>
          <w:color w:val="000000"/>
          <w:sz w:val="29"/>
          <w:szCs w:val="29"/>
          <w:shd w:val="clear" w:color="auto" w:fill="FFFFFF"/>
          <w:lang w:eastAsia="zh-CN"/>
        </w:rPr>
        <w:t>大竹县工业园区服务中心</w:t>
      </w:r>
      <w:r>
        <w:rPr>
          <w:color w:val="000000"/>
          <w:sz w:val="29"/>
          <w:szCs w:val="29"/>
          <w:shd w:val="clear" w:color="auto" w:fill="FFFFFF"/>
        </w:rPr>
        <w:t>招商引资一局、</w:t>
      </w:r>
      <w:r>
        <w:rPr>
          <w:rFonts w:hint="eastAsia"/>
          <w:color w:val="000000"/>
          <w:sz w:val="29"/>
          <w:szCs w:val="29"/>
          <w:shd w:val="clear" w:color="auto" w:fill="FFFFFF"/>
          <w:lang w:eastAsia="zh-CN"/>
        </w:rPr>
        <w:t>大竹县工业园区服务中心</w:t>
      </w:r>
      <w:r>
        <w:rPr>
          <w:color w:val="000000"/>
          <w:sz w:val="29"/>
          <w:szCs w:val="29"/>
          <w:shd w:val="clear" w:color="auto" w:fill="FFFFFF"/>
        </w:rPr>
        <w:t>招商引资二局）</w:t>
      </w:r>
      <w:r>
        <w:rPr>
          <w:rFonts w:ascii="楷体" w:hAnsi="楷体" w:eastAsia="楷体" w:cs="宋体"/>
          <w:color w:val="000000"/>
          <w:kern w:val="0"/>
          <w:sz w:val="30"/>
          <w:szCs w:val="30"/>
          <w:lang w:val="zh-CN"/>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30"/>
        <w:ind w:firstLine="580" w:firstLineChars="200"/>
        <w:rPr>
          <w:rFonts w:hint="eastAsia" w:ascii="仿宋_GB2312" w:hAnsi="宋体" w:eastAsia="仿宋_GB2312" w:cs="宋体"/>
          <w:color w:val="000000"/>
          <w:kern w:val="0"/>
          <w:sz w:val="32"/>
          <w:szCs w:val="32"/>
          <w:shd w:val="clear" w:color="auto" w:fill="FFFFFF"/>
          <w:lang w:val="zh-CN"/>
        </w:rPr>
      </w:pPr>
      <w:r>
        <w:rPr>
          <w:rFonts w:hint="eastAsia"/>
          <w:color w:val="000000"/>
          <w:sz w:val="29"/>
          <w:szCs w:val="29"/>
          <w:shd w:val="clear" w:color="auto" w:fill="FFFFFF"/>
        </w:rPr>
        <w:t>基本职能：</w:t>
      </w:r>
      <w:r>
        <w:rPr>
          <w:rFonts w:hint="eastAsia"/>
          <w:color w:val="000000"/>
          <w:sz w:val="29"/>
          <w:szCs w:val="29"/>
          <w:shd w:val="clear" w:color="auto" w:fill="FFFFFF"/>
          <w:lang w:eastAsia="zh-CN"/>
        </w:rPr>
        <w:t>四川大竹经济开发区管理委员会</w:t>
      </w:r>
      <w:r>
        <w:rPr>
          <w:color w:val="000000"/>
          <w:sz w:val="29"/>
          <w:szCs w:val="29"/>
          <w:shd w:val="clear" w:color="auto" w:fill="FFFFFF"/>
        </w:rPr>
        <w:t>的基本职能是贯彻执行国家产业园区政策，组织编制和修改完善开发区的经济发展规划和年度计划，承担经开区内土地整理开发、基础设施及公共设施建设和管理；农村及社区管理和承担县委、县政府交办的其他工作。</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pStyle w:val="30"/>
        <w:ind w:firstLine="580" w:firstLineChars="200"/>
        <w:rPr>
          <w:color w:val="000000"/>
          <w:sz w:val="29"/>
          <w:szCs w:val="29"/>
          <w:shd w:val="clear" w:color="auto" w:fill="FFFFFF"/>
        </w:rPr>
      </w:pPr>
      <w:r>
        <w:rPr>
          <w:rFonts w:hint="eastAsia"/>
          <w:color w:val="000000"/>
          <w:sz w:val="29"/>
          <w:szCs w:val="29"/>
          <w:shd w:val="clear" w:color="auto" w:fill="FFFFFF"/>
        </w:rPr>
        <w:t>单位共有编制数54人。其中：参公管理执法编制28人，事业编制26人。</w:t>
      </w:r>
    </w:p>
    <w:p>
      <w:pPr>
        <w:pStyle w:val="30"/>
        <w:ind w:firstLine="580" w:firstLineChars="200"/>
        <w:rPr>
          <w:rFonts w:hint="eastAsia" w:ascii="仿宋_GB2312" w:hAnsi="宋体" w:eastAsia="仿宋_GB2312" w:cs="宋体"/>
          <w:color w:val="000000"/>
          <w:kern w:val="0"/>
          <w:sz w:val="32"/>
          <w:szCs w:val="32"/>
          <w:shd w:val="clear" w:color="auto" w:fill="FFFFFF"/>
          <w:lang w:val="zh-CN"/>
        </w:rPr>
      </w:pPr>
      <w:r>
        <w:rPr>
          <w:rFonts w:hint="eastAsia"/>
          <w:color w:val="000000"/>
          <w:sz w:val="29"/>
          <w:szCs w:val="29"/>
          <w:shd w:val="clear" w:color="auto" w:fill="FFFFFF"/>
        </w:rPr>
        <w:t>201</w:t>
      </w:r>
      <w:r>
        <w:rPr>
          <w:rFonts w:hint="eastAsia"/>
          <w:color w:val="000000"/>
          <w:sz w:val="29"/>
          <w:szCs w:val="29"/>
          <w:shd w:val="clear" w:color="auto" w:fill="FFFFFF"/>
          <w:lang w:val="en-US" w:eastAsia="zh-CN"/>
        </w:rPr>
        <w:t>9</w:t>
      </w:r>
      <w:r>
        <w:rPr>
          <w:rFonts w:hint="eastAsia"/>
          <w:color w:val="000000"/>
          <w:sz w:val="29"/>
          <w:szCs w:val="29"/>
          <w:shd w:val="clear" w:color="auto" w:fill="FFFFFF"/>
        </w:rPr>
        <w:t>年末职工人数</w:t>
      </w:r>
      <w:r>
        <w:rPr>
          <w:rFonts w:hint="eastAsia"/>
          <w:color w:val="000000"/>
          <w:sz w:val="29"/>
          <w:szCs w:val="29"/>
          <w:shd w:val="clear" w:color="auto" w:fill="FFFFFF"/>
          <w:lang w:val="en-US" w:eastAsia="zh-CN"/>
        </w:rPr>
        <w:t>41</w:t>
      </w:r>
      <w:r>
        <w:rPr>
          <w:rFonts w:hint="eastAsia"/>
          <w:color w:val="000000"/>
          <w:sz w:val="29"/>
          <w:szCs w:val="29"/>
          <w:shd w:val="clear" w:color="auto" w:fill="FFFFFF"/>
        </w:rPr>
        <w:t>人，其中：在职</w:t>
      </w:r>
      <w:r>
        <w:rPr>
          <w:rFonts w:hint="eastAsia"/>
          <w:color w:val="000000"/>
          <w:sz w:val="29"/>
          <w:szCs w:val="29"/>
          <w:shd w:val="clear" w:color="auto" w:fill="FFFFFF"/>
          <w:lang w:val="en-US" w:eastAsia="zh-CN"/>
        </w:rPr>
        <w:t>40</w:t>
      </w:r>
      <w:r>
        <w:rPr>
          <w:rFonts w:hint="eastAsia"/>
          <w:color w:val="000000"/>
          <w:sz w:val="29"/>
          <w:szCs w:val="29"/>
          <w:shd w:val="clear" w:color="auto" w:fill="FFFFFF"/>
        </w:rPr>
        <w:t>人，退休1人。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pStyle w:val="30"/>
        <w:ind w:firstLine="580" w:firstLineChars="200"/>
        <w:rPr>
          <w:rFonts w:hint="eastAsia"/>
          <w:color w:val="000000"/>
          <w:sz w:val="29"/>
          <w:szCs w:val="29"/>
          <w:shd w:val="clear" w:color="auto" w:fill="FFFFFF"/>
        </w:rPr>
      </w:pPr>
      <w:r>
        <w:rPr>
          <w:rFonts w:hint="eastAsia"/>
          <w:color w:val="000000"/>
          <w:sz w:val="29"/>
          <w:szCs w:val="29"/>
          <w:shd w:val="clear" w:color="auto" w:fill="FFFFFF"/>
        </w:rPr>
        <w:t>201</w:t>
      </w:r>
      <w:r>
        <w:rPr>
          <w:rFonts w:hint="eastAsia"/>
          <w:color w:val="000000"/>
          <w:sz w:val="29"/>
          <w:szCs w:val="29"/>
          <w:shd w:val="clear" w:color="auto" w:fill="FFFFFF"/>
          <w:lang w:val="en-US" w:eastAsia="zh-CN"/>
        </w:rPr>
        <w:t>9年</w:t>
      </w:r>
      <w:r>
        <w:rPr>
          <w:rFonts w:hint="eastAsia"/>
          <w:color w:val="000000"/>
          <w:sz w:val="29"/>
          <w:szCs w:val="29"/>
          <w:shd w:val="clear" w:color="auto" w:fill="FFFFFF"/>
          <w:lang w:eastAsia="zh-CN"/>
        </w:rPr>
        <w:t>四川大竹经济开发区管理委员会</w:t>
      </w:r>
      <w:r>
        <w:rPr>
          <w:rFonts w:hint="eastAsia"/>
          <w:color w:val="000000"/>
          <w:sz w:val="29"/>
          <w:szCs w:val="29"/>
          <w:shd w:val="clear" w:color="auto" w:fill="FFFFFF"/>
        </w:rPr>
        <w:t>资金收入总额</w:t>
      </w:r>
      <w:r>
        <w:rPr>
          <w:rFonts w:hint="eastAsia"/>
          <w:color w:val="000000"/>
          <w:sz w:val="29"/>
          <w:szCs w:val="29"/>
          <w:shd w:val="clear" w:color="auto" w:fill="FFFFFF"/>
          <w:lang w:val="en-US" w:eastAsia="zh-CN"/>
        </w:rPr>
        <w:t>24928.41</w:t>
      </w:r>
      <w:r>
        <w:rPr>
          <w:rFonts w:hint="eastAsia"/>
          <w:color w:val="000000"/>
          <w:sz w:val="29"/>
          <w:szCs w:val="29"/>
          <w:shd w:val="clear" w:color="auto" w:fill="FFFFFF"/>
        </w:rPr>
        <w:t>万元，其中：当年财政拨款收入</w:t>
      </w:r>
      <w:r>
        <w:rPr>
          <w:rFonts w:hint="eastAsia"/>
          <w:color w:val="000000"/>
          <w:sz w:val="29"/>
          <w:szCs w:val="29"/>
          <w:shd w:val="clear" w:color="auto" w:fill="FFFFFF"/>
          <w:lang w:val="en-US" w:eastAsia="zh-CN"/>
        </w:rPr>
        <w:t>24928.41</w:t>
      </w:r>
      <w:r>
        <w:rPr>
          <w:rFonts w:hint="eastAsia"/>
          <w:color w:val="000000"/>
          <w:sz w:val="29"/>
          <w:szCs w:val="29"/>
          <w:shd w:val="clear" w:color="auto" w:fill="FFFFFF"/>
        </w:rPr>
        <w:t xml:space="preserve">万元。 </w:t>
      </w:r>
    </w:p>
    <w:p>
      <w:pPr>
        <w:pStyle w:val="30"/>
        <w:numPr>
          <w:ilvl w:val="0"/>
          <w:numId w:val="6"/>
        </w:numPr>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30"/>
        <w:ind w:firstLine="580" w:firstLineChars="200"/>
        <w:rPr>
          <w:rFonts w:ascii="仿宋_GB2312" w:hAnsi="宋体" w:cs="宋体"/>
          <w:color w:val="000000"/>
          <w:kern w:val="0"/>
          <w:sz w:val="30"/>
          <w:szCs w:val="30"/>
          <w:lang w:val="zh-CN"/>
        </w:rPr>
      </w:pPr>
      <w:r>
        <w:rPr>
          <w:rFonts w:hint="eastAsia"/>
          <w:color w:val="000000"/>
          <w:sz w:val="29"/>
          <w:szCs w:val="29"/>
          <w:shd w:val="clear" w:color="auto" w:fill="FFFFFF"/>
        </w:rPr>
        <w:t>201</w:t>
      </w:r>
      <w:r>
        <w:rPr>
          <w:rFonts w:hint="eastAsia"/>
          <w:color w:val="000000"/>
          <w:sz w:val="29"/>
          <w:szCs w:val="29"/>
          <w:shd w:val="clear" w:color="auto" w:fill="FFFFFF"/>
          <w:lang w:val="en-US" w:eastAsia="zh-CN"/>
        </w:rPr>
        <w:t>9</w:t>
      </w:r>
      <w:r>
        <w:rPr>
          <w:rFonts w:hint="eastAsia"/>
          <w:color w:val="000000"/>
          <w:sz w:val="29"/>
          <w:szCs w:val="29"/>
          <w:shd w:val="clear" w:color="auto" w:fill="FFFFFF"/>
        </w:rPr>
        <w:t>年</w:t>
      </w:r>
      <w:r>
        <w:rPr>
          <w:rFonts w:hint="eastAsia"/>
          <w:color w:val="000000"/>
          <w:sz w:val="29"/>
          <w:szCs w:val="29"/>
          <w:shd w:val="clear" w:color="auto" w:fill="FFFFFF"/>
          <w:lang w:eastAsia="zh-CN"/>
        </w:rPr>
        <w:t>四川大竹经济开发区管理委员会</w:t>
      </w:r>
      <w:r>
        <w:rPr>
          <w:rFonts w:hint="eastAsia"/>
          <w:color w:val="000000"/>
          <w:sz w:val="29"/>
          <w:szCs w:val="29"/>
          <w:shd w:val="clear" w:color="auto" w:fill="FFFFFF"/>
        </w:rPr>
        <w:t>资金支出总额为</w:t>
      </w:r>
      <w:r>
        <w:rPr>
          <w:rFonts w:hint="eastAsia"/>
          <w:color w:val="000000"/>
          <w:sz w:val="29"/>
          <w:szCs w:val="29"/>
          <w:shd w:val="clear" w:color="auto" w:fill="FFFFFF"/>
          <w:lang w:val="en-US" w:eastAsia="zh-CN"/>
        </w:rPr>
        <w:t>24928.41</w:t>
      </w:r>
      <w:r>
        <w:rPr>
          <w:rFonts w:hint="eastAsia"/>
          <w:color w:val="000000"/>
          <w:sz w:val="29"/>
          <w:szCs w:val="29"/>
          <w:shd w:val="clear" w:color="auto" w:fill="FFFFFF"/>
        </w:rPr>
        <w:t>万元，其中：人员经费支出</w:t>
      </w:r>
      <w:r>
        <w:rPr>
          <w:rFonts w:hint="eastAsia"/>
          <w:color w:val="000000"/>
          <w:sz w:val="29"/>
          <w:szCs w:val="29"/>
          <w:shd w:val="clear" w:color="auto" w:fill="FFFFFF"/>
          <w:lang w:val="en-US" w:eastAsia="zh-CN"/>
        </w:rPr>
        <w:t>406.37</w:t>
      </w:r>
      <w:r>
        <w:rPr>
          <w:rFonts w:hint="eastAsia"/>
          <w:color w:val="000000"/>
          <w:sz w:val="29"/>
          <w:szCs w:val="29"/>
          <w:shd w:val="clear" w:color="auto" w:fill="FFFFFF"/>
        </w:rPr>
        <w:t>万元，日常公用经费支出</w:t>
      </w:r>
      <w:r>
        <w:rPr>
          <w:rFonts w:hint="eastAsia"/>
          <w:color w:val="000000"/>
          <w:sz w:val="29"/>
          <w:szCs w:val="29"/>
          <w:shd w:val="clear" w:color="auto" w:fill="FFFFFF"/>
          <w:lang w:val="en-US" w:eastAsia="zh-CN"/>
        </w:rPr>
        <w:t>273.06</w:t>
      </w:r>
      <w:r>
        <w:rPr>
          <w:rFonts w:hint="eastAsia"/>
          <w:color w:val="000000"/>
          <w:sz w:val="29"/>
          <w:szCs w:val="29"/>
          <w:shd w:val="clear" w:color="auto" w:fill="FFFFFF"/>
        </w:rPr>
        <w:t>万元，项目支出</w:t>
      </w:r>
      <w:r>
        <w:rPr>
          <w:rFonts w:hint="eastAsia"/>
          <w:color w:val="000000"/>
          <w:sz w:val="29"/>
          <w:szCs w:val="29"/>
          <w:shd w:val="clear" w:color="auto" w:fill="FFFFFF"/>
          <w:lang w:val="en-US" w:eastAsia="zh-CN"/>
        </w:rPr>
        <w:t>24248.96</w:t>
      </w:r>
      <w:r>
        <w:rPr>
          <w:rFonts w:hint="eastAsia"/>
          <w:color w:val="000000"/>
          <w:sz w:val="29"/>
          <w:szCs w:val="29"/>
          <w:shd w:val="clear" w:color="auto" w:fill="FFFFFF"/>
        </w:rPr>
        <w:t>万元。</w:t>
      </w:r>
    </w:p>
    <w:p>
      <w:pPr>
        <w:pStyle w:val="30"/>
        <w:ind w:firstLine="580" w:firstLineChars="200"/>
        <w:rPr>
          <w:color w:val="000000"/>
          <w:sz w:val="29"/>
          <w:szCs w:val="29"/>
          <w:shd w:val="clear" w:color="auto" w:fill="FFFFFF"/>
        </w:rPr>
      </w:pPr>
      <w:r>
        <w:rPr>
          <w:rFonts w:hint="eastAsia"/>
          <w:color w:val="000000"/>
          <w:sz w:val="29"/>
          <w:szCs w:val="29"/>
          <w:shd w:val="clear" w:color="auto" w:fill="FFFFFF"/>
          <w:lang w:eastAsia="zh-CN"/>
        </w:rPr>
        <w:t>四川大竹经济开发区管理委员会</w:t>
      </w:r>
      <w:r>
        <w:rPr>
          <w:rFonts w:hint="eastAsia"/>
          <w:color w:val="000000"/>
          <w:sz w:val="29"/>
          <w:szCs w:val="29"/>
          <w:shd w:val="clear" w:color="auto" w:fill="FFFFFF"/>
        </w:rPr>
        <w:t xml:space="preserve">财政拨款支出主要用于保障该部门机构正常运转、完成日常工作任务以及承担经开区各项事业发展相关工作。  </w:t>
      </w:r>
    </w:p>
    <w:p>
      <w:pPr>
        <w:pStyle w:val="30"/>
        <w:ind w:firstLine="580" w:firstLineChars="200"/>
        <w:rPr>
          <w:color w:val="000000"/>
          <w:sz w:val="29"/>
          <w:szCs w:val="29"/>
          <w:shd w:val="clear" w:color="auto" w:fill="FFFFFF"/>
        </w:rPr>
      </w:pPr>
      <w:r>
        <w:rPr>
          <w:rFonts w:hint="eastAsia"/>
          <w:color w:val="000000"/>
          <w:sz w:val="29"/>
          <w:szCs w:val="29"/>
          <w:shd w:val="clear" w:color="auto" w:fill="FFFFFF"/>
        </w:rPr>
        <w:t>基本支出，是用于保障单位正常运转的日常支出，包括基本工资、津贴补贴等人员经费以及办公费、印刷费、水电费、办公设备购置等日常公用经费。</w:t>
      </w:r>
    </w:p>
    <w:p>
      <w:pPr>
        <w:pStyle w:val="30"/>
        <w:ind w:firstLine="580" w:firstLineChars="200"/>
        <w:rPr>
          <w:rFonts w:hint="eastAsia" w:ascii="仿宋_GB2312" w:hAnsi="宋体" w:eastAsia="仿宋_GB2312" w:cs="宋体"/>
          <w:color w:val="000000"/>
          <w:kern w:val="0"/>
          <w:sz w:val="32"/>
          <w:szCs w:val="32"/>
          <w:shd w:val="clear" w:color="auto" w:fill="FFFFFF"/>
          <w:lang w:val="zh-CN"/>
        </w:rPr>
      </w:pPr>
      <w:r>
        <w:rPr>
          <w:rFonts w:hint="eastAsia"/>
          <w:color w:val="000000"/>
          <w:sz w:val="29"/>
          <w:szCs w:val="29"/>
          <w:shd w:val="clear" w:color="auto" w:fill="FFFFFF"/>
        </w:rPr>
        <w:t>项目支出，</w:t>
      </w:r>
      <w:r>
        <w:rPr>
          <w:color w:val="000000"/>
          <w:sz w:val="29"/>
          <w:szCs w:val="29"/>
          <w:shd w:val="clear" w:color="auto" w:fill="FFFFFF"/>
        </w:rPr>
        <w:t xml:space="preserve">是用于保障机关单位为完成特定的行政工作任务和事业发展目标以及园区基础设施建设等，是用于专项业务工作的经费支出。 </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Style w:val="30"/>
        <w:ind w:firstLine="580" w:firstLineChars="200"/>
        <w:rPr>
          <w:rFonts w:hint="eastAsia"/>
          <w:color w:val="000000"/>
          <w:sz w:val="29"/>
          <w:szCs w:val="29"/>
          <w:shd w:val="clear" w:color="auto" w:fill="FFFFFF"/>
        </w:rPr>
      </w:pPr>
      <w:r>
        <w:rPr>
          <w:rFonts w:hint="eastAsia"/>
          <w:color w:val="000000"/>
          <w:sz w:val="29"/>
          <w:szCs w:val="29"/>
          <w:shd w:val="clear" w:color="auto" w:fill="FFFFFF"/>
        </w:rPr>
        <w:t>确保部门预算工作按期保质保量完成。在编制工作中，我委紧紧围绕县委、县政府的工作目标，坚持“量入为出、收支平衡、保证重点、统筹兼顾、勤俭节约、注重绩效”的原则，严格执行预算编制的有关要求，确保预算编制的真实性和准确性，我们认真做好数据摸底工作，做到底数清、数据实、项目全；对每个预算项目的编制依据进行认真分析界定，做到证据充分；对预算编制的范围和标准严格界定把关，做到不超限超标；对收入项目和重要支出项目逐项清理核实，做到不遗漏不重复；规范执行预算编制程序，做到按时报送预算文件和材料。严格管理，合理安排，确保了财政资金专款专用，切实提高了资金使用效益。认真总结经验，及时上报相关的用款计划，分月、分季度上报相应计划，待财政审核通过后，严格按计划执行，各季度执行情况良好。“三公”经费严格按照相关规定执行，无违规情况。严格执行机关财务管理规章制度，实行会计核算和账务管理制度公开，政府采购制度公开公示，并接受群众监督等。</w:t>
      </w:r>
    </w:p>
    <w:p>
      <w:pPr>
        <w:pStyle w:val="30"/>
        <w:numPr>
          <w:ilvl w:val="0"/>
          <w:numId w:val="6"/>
        </w:numPr>
        <w:ind w:left="0" w:leftChars="0"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结果应用情况。</w:t>
      </w:r>
    </w:p>
    <w:p>
      <w:pPr>
        <w:pStyle w:val="30"/>
        <w:ind w:firstLine="580" w:firstLineChars="200"/>
        <w:rPr>
          <w:rFonts w:hint="eastAsia"/>
          <w:color w:val="000000"/>
          <w:sz w:val="29"/>
          <w:szCs w:val="29"/>
          <w:shd w:val="clear" w:color="auto" w:fill="FFFFFF"/>
        </w:rPr>
      </w:pPr>
      <w:r>
        <w:rPr>
          <w:rFonts w:hint="eastAsia"/>
          <w:color w:val="000000"/>
          <w:sz w:val="29"/>
          <w:szCs w:val="29"/>
          <w:shd w:val="clear" w:color="auto" w:fill="FFFFFF"/>
        </w:rPr>
        <w:t>我委成立了绩效自评工作小组，确定了负责人和评价组成员；制定了绩效自评工作计划，明确了部门自评的具体工作内容；确定了评价指标体系，根据通用性和特殊性相结合的原则，并结合本部门的特点，在各级指标内进行科学评价；在自评工作小组的指导和带领下，结合评价指标体系开展部门财政经费自评工作，结合部门自身的特点，在评价实施中主要采取数据分析和自身评估相结合的方法，定量指标从数据分析得出指标评分，定性指标由评价工作组评估得出指标评。</w:t>
      </w:r>
    </w:p>
    <w:p>
      <w:pPr>
        <w:pStyle w:val="30"/>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Style w:val="30"/>
        <w:ind w:firstLine="580" w:firstLineChars="200"/>
        <w:rPr>
          <w:rFonts w:hint="eastAsia" w:ascii="仿宋_GB2312" w:hAnsi="宋体" w:eastAsia="仿宋_GB2312" w:cs="宋体"/>
          <w:color w:val="000000"/>
          <w:kern w:val="0"/>
          <w:sz w:val="32"/>
          <w:szCs w:val="32"/>
          <w:shd w:val="clear" w:color="auto" w:fill="FFFFFF"/>
          <w:lang w:val="zh-CN"/>
        </w:rPr>
      </w:pPr>
      <w:r>
        <w:rPr>
          <w:rFonts w:hint="eastAsia"/>
          <w:color w:val="000000"/>
          <w:sz w:val="29"/>
          <w:szCs w:val="29"/>
          <w:shd w:val="clear" w:color="auto" w:fill="FFFFFF"/>
        </w:rPr>
        <w:t>201</w:t>
      </w:r>
      <w:r>
        <w:rPr>
          <w:rFonts w:hint="eastAsia"/>
          <w:color w:val="000000"/>
          <w:sz w:val="29"/>
          <w:szCs w:val="29"/>
          <w:shd w:val="clear" w:color="auto" w:fill="FFFFFF"/>
          <w:lang w:val="en-US" w:eastAsia="zh-CN"/>
        </w:rPr>
        <w:t>9</w:t>
      </w:r>
      <w:r>
        <w:rPr>
          <w:rFonts w:hint="eastAsia"/>
          <w:color w:val="000000"/>
          <w:sz w:val="29"/>
          <w:szCs w:val="29"/>
          <w:shd w:val="clear" w:color="auto" w:fill="FFFFFF"/>
        </w:rPr>
        <w:t>年通过各项经费的使用，保障了干部职工的基本利益，提高了干部职工的工作积极性和责任心；保障了部门各项业务工作的进行，为各单位的良好运转起到了积极的推动作用，项目上，各项工程有序开展，保证了园区基础设施建设和工程项目稳妥进行，实现了年初制定的目标。因此，从项目决策、项目管理、项目完成和项目效果来看，都较好地达到了预期的效果。</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pStyle w:val="30"/>
        <w:ind w:firstLine="580" w:firstLineChars="200"/>
        <w:rPr>
          <w:rFonts w:hint="eastAsia" w:ascii="仿宋_GB2312" w:hAnsi="宋体" w:eastAsia="仿宋_GB2312" w:cs="宋体"/>
          <w:color w:val="000000"/>
          <w:kern w:val="0"/>
          <w:sz w:val="32"/>
          <w:szCs w:val="32"/>
          <w:shd w:val="clear" w:color="auto" w:fill="FFFFFF"/>
          <w:lang w:val="zh-CN"/>
        </w:rPr>
      </w:pPr>
      <w:r>
        <w:rPr>
          <w:rFonts w:hint="eastAsia" w:ascii="Calibri" w:hAnsi="Calibri"/>
          <w:color w:val="000000"/>
          <w:sz w:val="29"/>
          <w:szCs w:val="29"/>
          <w:shd w:val="clear" w:color="auto" w:fill="FFFFFF"/>
        </w:rPr>
        <w:t>预算执行进度待加快。主要是因为园区工程项目较多，因工程程序复杂，耗时较长。</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pStyle w:val="30"/>
        <w:ind w:firstLine="580" w:firstLineChars="200"/>
        <w:rPr>
          <w:rFonts w:ascii="仿宋_GB2312" w:hAnsi="仿宋_GB2312" w:eastAsia="仿宋_GB2312" w:cs="仿宋_GB2312"/>
          <w:sz w:val="32"/>
          <w:szCs w:val="32"/>
        </w:rPr>
      </w:pPr>
      <w:r>
        <w:rPr>
          <w:rFonts w:hint="eastAsia" w:ascii="Calibri" w:hAnsi="Calibri"/>
          <w:color w:val="000000"/>
          <w:sz w:val="29"/>
          <w:szCs w:val="29"/>
          <w:shd w:val="clear" w:color="auto" w:fill="FFFFFF"/>
        </w:rPr>
        <w:t>完善项目责任制。优化结构，加快工作进度，加强与财务部门的沟通协调和项目实施，加快预算执行</w:t>
      </w:r>
      <w:r>
        <w:rPr>
          <w:rFonts w:hint="eastAsia" w:ascii="Calibri" w:hAnsi="Calibri"/>
          <w:color w:val="000000"/>
          <w:sz w:val="29"/>
          <w:szCs w:val="29"/>
          <w:shd w:val="clear" w:color="auto" w:fill="FFFFFF"/>
          <w:lang w:eastAsia="zh-CN"/>
        </w:rPr>
        <w:t>。</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63"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61"/>
      <w:bookmarkEnd w:id="6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5"/>
    </w:p>
    <w:p>
      <w:pPr>
        <w:pStyle w:val="3"/>
        <w:rPr>
          <w:rFonts w:ascii="仿宋" w:hAnsi="仿宋" w:eastAsia="仿宋"/>
          <w:color w:val="000000"/>
        </w:rPr>
      </w:pPr>
      <w:bookmarkStart w:id="6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6"/>
    </w:p>
    <w:p>
      <w:pPr>
        <w:pStyle w:val="3"/>
        <w:rPr>
          <w:rFonts w:ascii="仿宋" w:hAnsi="仿宋" w:eastAsia="仿宋"/>
          <w:b w:val="0"/>
          <w:color w:val="000000"/>
        </w:rPr>
      </w:pPr>
      <w:bookmarkStart w:id="6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7"/>
    </w:p>
    <w:p>
      <w:pPr>
        <w:pStyle w:val="3"/>
        <w:rPr>
          <w:rStyle w:val="25"/>
          <w:rFonts w:ascii="仿宋" w:hAnsi="仿宋" w:eastAsia="仿宋"/>
          <w:b w:val="0"/>
          <w:bCs w:val="0"/>
        </w:rPr>
      </w:pPr>
      <w:bookmarkStart w:id="6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8"/>
      <w:bookmarkStart w:id="69"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14:textFill>
            <w14:solidFill>
              <w14:schemeClr w14:val="tx1"/>
            </w14:solidFill>
          </w14:textFill>
        </w:rPr>
      </w:pPr>
      <w:bookmarkStart w:id="7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95ACD"/>
    <w:multiLevelType w:val="singleLevel"/>
    <w:tmpl w:val="C6F95ACD"/>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335E589"/>
    <w:multiLevelType w:val="singleLevel"/>
    <w:tmpl w:val="1335E589"/>
    <w:lvl w:ilvl="0" w:tentative="0">
      <w:start w:val="2"/>
      <w:numFmt w:val="chineseCounting"/>
      <w:suff w:val="nothing"/>
      <w:lvlText w:val="（%1）"/>
      <w:lvlJc w:val="left"/>
      <w:rPr>
        <w:rFonts w:hint="eastAsia"/>
      </w:rPr>
    </w:lvl>
  </w:abstractNum>
  <w:abstractNum w:abstractNumId="5">
    <w:nsid w:val="5ABBA633"/>
    <w:multiLevelType w:val="singleLevel"/>
    <w:tmpl w:val="5ABBA633"/>
    <w:lvl w:ilvl="0" w:tentative="0">
      <w:start w:val="2"/>
      <w:numFmt w:val="chineseCounting"/>
      <w:suff w:val="nothing"/>
      <w:lvlText w:val="（%1）"/>
      <w:lvlJc w:val="left"/>
      <w:rPr>
        <w:rFonts w:hint="eastAsia"/>
      </w:r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375D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947B88"/>
    <w:rsid w:val="06E148D7"/>
    <w:rsid w:val="0DD71EE2"/>
    <w:rsid w:val="0ED560FA"/>
    <w:rsid w:val="10C055FF"/>
    <w:rsid w:val="13FC008C"/>
    <w:rsid w:val="140A1743"/>
    <w:rsid w:val="154301EA"/>
    <w:rsid w:val="15606128"/>
    <w:rsid w:val="167C4046"/>
    <w:rsid w:val="16BB723D"/>
    <w:rsid w:val="1A4354F5"/>
    <w:rsid w:val="1AFE6EBE"/>
    <w:rsid w:val="1C6D2B8E"/>
    <w:rsid w:val="240371BF"/>
    <w:rsid w:val="24A51D53"/>
    <w:rsid w:val="25E349EF"/>
    <w:rsid w:val="273A6A9F"/>
    <w:rsid w:val="29DB6A32"/>
    <w:rsid w:val="29FD04D3"/>
    <w:rsid w:val="2B1645C8"/>
    <w:rsid w:val="2B9845B2"/>
    <w:rsid w:val="2E5C56E0"/>
    <w:rsid w:val="2EB27987"/>
    <w:rsid w:val="319F7F4E"/>
    <w:rsid w:val="36114A31"/>
    <w:rsid w:val="3656362C"/>
    <w:rsid w:val="36EC2009"/>
    <w:rsid w:val="372E5DD5"/>
    <w:rsid w:val="37920FDD"/>
    <w:rsid w:val="38700ABB"/>
    <w:rsid w:val="39D57524"/>
    <w:rsid w:val="3B164D2A"/>
    <w:rsid w:val="3CC61865"/>
    <w:rsid w:val="3D6B454D"/>
    <w:rsid w:val="3D9D57DB"/>
    <w:rsid w:val="3E236FB5"/>
    <w:rsid w:val="40650E75"/>
    <w:rsid w:val="43B67513"/>
    <w:rsid w:val="4E5D6A7C"/>
    <w:rsid w:val="4ECE2238"/>
    <w:rsid w:val="541E0C47"/>
    <w:rsid w:val="57733733"/>
    <w:rsid w:val="64602868"/>
    <w:rsid w:val="64B528DD"/>
    <w:rsid w:val="6D507E9C"/>
    <w:rsid w:val="6DD419FF"/>
    <w:rsid w:val="6EE61675"/>
    <w:rsid w:val="72734D90"/>
    <w:rsid w:val="750536AF"/>
    <w:rsid w:val="75E326DD"/>
    <w:rsid w:val="778D0573"/>
    <w:rsid w:val="78501F86"/>
    <w:rsid w:val="79183A0C"/>
    <w:rsid w:val="79B76522"/>
    <w:rsid w:val="7AA6728B"/>
    <w:rsid w:val="7B936B2E"/>
    <w:rsid w:val="7EA7187C"/>
    <w:rsid w:val="7EEF3567"/>
    <w:rsid w:val="7FCB2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0">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141861111111111"/>
          <c:y val="0.183333333333333"/>
          <c:w val="0.827583333333333"/>
          <c:h val="0.638796296296296"/>
        </c:manualLayout>
      </c:layout>
      <c:barChart>
        <c:barDir val="col"/>
        <c:grouping val="clustered"/>
        <c:varyColors val="0"/>
        <c:ser>
          <c:idx val="0"/>
          <c:order val="0"/>
          <c:spPr>
            <a:solidFill>
              <a:schemeClr val="accent2"/>
            </a:solidFill>
            <a:ln>
              <a:noFill/>
            </a:ln>
            <a:effectLst/>
          </c:spPr>
          <c:invertIfNegative val="0"/>
          <c:dLbls>
            <c:delete val="1"/>
          </c:dLbls>
          <c:cat>
            <c:strRef>
              <c:f>[工作簿1]Sheet1!$A$1:$D$1</c:f>
              <c:strCache>
                <c:ptCount val="4"/>
                <c:pt idx="0">
                  <c:v>2018年收入</c:v>
                </c:pt>
                <c:pt idx="1">
                  <c:v>2019年收入</c:v>
                </c:pt>
                <c:pt idx="2">
                  <c:v>2018年支出</c:v>
                </c:pt>
                <c:pt idx="3">
                  <c:v>2019年支出</c:v>
                </c:pt>
              </c:strCache>
            </c:strRef>
          </c:cat>
          <c:val>
            <c:numRef>
              <c:f>[工作簿1]Sheet1!$A$2:$D$2</c:f>
              <c:numCache>
                <c:formatCode>General</c:formatCode>
                <c:ptCount val="4"/>
                <c:pt idx="0">
                  <c:v>24225.97</c:v>
                </c:pt>
                <c:pt idx="1">
                  <c:v>24928.41</c:v>
                </c:pt>
                <c:pt idx="2">
                  <c:v>24225.97</c:v>
                </c:pt>
                <c:pt idx="3">
                  <c:v>24928.41</c:v>
                </c:pt>
              </c:numCache>
            </c:numRef>
          </c:val>
        </c:ser>
        <c:dLbls>
          <c:showLegendKey val="0"/>
          <c:showVal val="0"/>
          <c:showCatName val="0"/>
          <c:showSerName val="0"/>
          <c:showPercent val="0"/>
          <c:showBubbleSize val="0"/>
        </c:dLbls>
        <c:gapWidth val="219"/>
        <c:overlap val="-27"/>
        <c:axId val="528210846"/>
        <c:axId val="404196912"/>
      </c:barChart>
      <c:catAx>
        <c:axId val="52821084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196912"/>
        <c:crosses val="autoZero"/>
        <c:auto val="1"/>
        <c:lblAlgn val="ctr"/>
        <c:lblOffset val="100"/>
        <c:noMultiLvlLbl val="0"/>
      </c:catAx>
      <c:valAx>
        <c:axId val="40419691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21084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166666666667"/>
          <c:y val="0.0949074074074074"/>
          <c:w val="0.538888888888889"/>
          <c:h val="0.898148148148148"/>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[工作簿1]Sheet2!$A$1:$B$1</c:f>
              <c:strCache>
                <c:ptCount val="2"/>
                <c:pt idx="0">
                  <c:v>一般性公共预算收入</c:v>
                </c:pt>
                <c:pt idx="1">
                  <c:v>政府性基金预算收入</c:v>
                </c:pt>
              </c:strCache>
            </c:strRef>
          </c:cat>
          <c:val>
            <c:numRef>
              <c:f>[工作簿1]Sheet2!$A$2:$B$2</c:f>
              <c:numCache>
                <c:formatCode>General</c:formatCode>
                <c:ptCount val="2"/>
                <c:pt idx="0">
                  <c:v>2713.08</c:v>
                </c:pt>
                <c:pt idx="1">
                  <c:v>22215.33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234200743494"/>
          <c:y val="0.00787608296140719"/>
          <c:w val="0.500966542750929"/>
          <c:h val="0.884484116566028"/>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[工作簿1]Sheet2!$A$1:$B$1</c:f>
              <c:strCache>
                <c:ptCount val="2"/>
                <c:pt idx="0">
                  <c:v>基本支出</c:v>
                </c:pt>
                <c:pt idx="1">
                  <c:v>项目支出</c:v>
                </c:pt>
              </c:strCache>
            </c:strRef>
          </c:cat>
          <c:val>
            <c:numRef>
              <c:f>[工作簿1]Sheet2!$A$2:$B$2</c:f>
              <c:numCache>
                <c:formatCode>General</c:formatCode>
                <c:ptCount val="2"/>
                <c:pt idx="0">
                  <c:v>679.45</c:v>
                </c:pt>
                <c:pt idx="1">
                  <c:v>24248.96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49916666666667"/>
          <c:y val="0.225"/>
          <c:w val="0.827583333333333"/>
          <c:h val="0.638796296296296"/>
        </c:manualLayout>
      </c:layout>
      <c:barChart>
        <c:barDir val="col"/>
        <c:grouping val="clustered"/>
        <c:varyColors val="0"/>
        <c:ser>
          <c:idx val="0"/>
          <c:order val="0"/>
          <c:spPr>
            <a:solidFill>
              <a:schemeClr val="accent2"/>
            </a:solidFill>
            <a:ln>
              <a:noFill/>
            </a:ln>
            <a:effectLst/>
          </c:spPr>
          <c:invertIfNegative val="0"/>
          <c:dLbls>
            <c:delete val="1"/>
          </c:dLbls>
          <c:cat>
            <c:strRef>
              <c:f>[工作簿1]Sheet1!$A$1:$D$1</c:f>
              <c:strCache>
                <c:ptCount val="4"/>
                <c:pt idx="0">
                  <c:v>2018年财政拨款收入</c:v>
                </c:pt>
                <c:pt idx="1">
                  <c:v>2019年财政拨款收入</c:v>
                </c:pt>
                <c:pt idx="2">
                  <c:v>2018年财政拨款支出</c:v>
                </c:pt>
                <c:pt idx="3">
                  <c:v>2019年财政拨款支出</c:v>
                </c:pt>
              </c:strCache>
            </c:strRef>
          </c:cat>
          <c:val>
            <c:numRef>
              <c:f>[工作簿1]Sheet1!$A$2:$D$2</c:f>
              <c:numCache>
                <c:formatCode>General</c:formatCode>
                <c:ptCount val="4"/>
                <c:pt idx="0">
                  <c:v>24225.97</c:v>
                </c:pt>
                <c:pt idx="1">
                  <c:v>24928.41</c:v>
                </c:pt>
                <c:pt idx="2">
                  <c:v>24225.97</c:v>
                </c:pt>
                <c:pt idx="3">
                  <c:v>24928.41</c:v>
                </c:pt>
              </c:numCache>
            </c:numRef>
          </c:val>
        </c:ser>
        <c:dLbls>
          <c:showLegendKey val="0"/>
          <c:showVal val="0"/>
          <c:showCatName val="0"/>
          <c:showSerName val="0"/>
          <c:showPercent val="0"/>
          <c:showBubbleSize val="0"/>
        </c:dLbls>
        <c:gapWidth val="219"/>
        <c:overlap val="-27"/>
        <c:axId val="528210846"/>
        <c:axId val="404196912"/>
      </c:barChart>
      <c:catAx>
        <c:axId val="5282108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196912"/>
        <c:crosses val="autoZero"/>
        <c:auto val="1"/>
        <c:lblAlgn val="ctr"/>
        <c:lblOffset val="100"/>
        <c:noMultiLvlLbl val="0"/>
      </c:catAx>
      <c:valAx>
        <c:axId val="404196912"/>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21084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[工作簿1]Sheet3!$A$1:$B$1</c:f>
              <c:strCache>
                <c:ptCount val="2"/>
                <c:pt idx="0">
                  <c:v>2018年一般公共预算财政拨款支出</c:v>
                </c:pt>
                <c:pt idx="1">
                  <c:v>2019年一般公共预算财政拨款支出</c:v>
                </c:pt>
              </c:strCache>
            </c:strRef>
          </c:cat>
          <c:val>
            <c:numRef>
              <c:f>[工作簿1]Sheet3!$A$2:$B$2</c:f>
              <c:numCache>
                <c:formatCode>General</c:formatCode>
                <c:ptCount val="2"/>
                <c:pt idx="0">
                  <c:v>1350.84</c:v>
                </c:pt>
                <c:pt idx="1">
                  <c:v>2713.08</c:v>
                </c:pt>
              </c:numCache>
            </c:numRef>
          </c:val>
        </c:ser>
        <c:dLbls>
          <c:showLegendKey val="0"/>
          <c:showVal val="0"/>
          <c:showCatName val="0"/>
          <c:showSerName val="0"/>
          <c:showPercent val="0"/>
          <c:showBubbleSize val="0"/>
        </c:dLbls>
        <c:gapWidth val="150"/>
        <c:overlap val="0"/>
        <c:axId val="901147463"/>
        <c:axId val="120006205"/>
      </c:barChart>
      <c:catAx>
        <c:axId val="90114746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006205"/>
        <c:crosses val="autoZero"/>
        <c:auto val="1"/>
        <c:lblAlgn val="ctr"/>
        <c:lblOffset val="100"/>
        <c:noMultiLvlLbl val="0"/>
      </c:catAx>
      <c:valAx>
        <c:axId val="120006205"/>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
            <c:rich>
              <a:bodyPr/>
              <a:lstStyle/>
              <a:p>
                <a:pPr>
                  <a:defRPr/>
                </a:pPr>
              </a:p>
            </c:rich>
          </c:tx>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147463"/>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dPt>
            <c:idx val="6"/>
            <c:bubble3D val="0"/>
            <c:spPr>
              <a:solidFill>
                <a:schemeClr val="accent2">
                  <a:lumMod val="80000"/>
                  <a:lumOff val="20000"/>
                </a:schemeClr>
              </a:solidFill>
              <a:ln w="19050">
                <a:solidFill>
                  <a:schemeClr val="lt1"/>
                </a:solidFill>
              </a:ln>
              <a:effectLst/>
            </c:spPr>
          </c:dPt>
          <c:dLbls>
            <c:dLbl>
              <c:idx val="1"/>
              <c:layout>
                <c:manualLayout>
                  <c:x val="-0.0155664143135059"/>
                  <c:y val="-0.1614277708174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254950508339726"/>
                  <c:y val="0.04341980706422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285275323417439"/>
                  <c:y val="-0.12512681755216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214373603921742"/>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0689989870041441"/>
                  <c:y val="-0.031736689869709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[工作簿1]Sheet1!$A$2:$G$2</c:f>
              <c:strCache>
                <c:ptCount val="7"/>
                <c:pt idx="0">
                  <c:v>科学技术支出</c:v>
                </c:pt>
                <c:pt idx="1">
                  <c:v>社会保障和就业支出</c:v>
                </c:pt>
                <c:pt idx="2">
                  <c:v>卫生健康支出</c:v>
                </c:pt>
                <c:pt idx="3">
                  <c:v>城乡社区支出</c:v>
                </c:pt>
                <c:pt idx="4">
                  <c:v>资源勘探信息等支出</c:v>
                </c:pt>
                <c:pt idx="5">
                  <c:v>住房保障支出</c:v>
                </c:pt>
                <c:pt idx="6">
                  <c:v>其他支出</c:v>
                </c:pt>
              </c:strCache>
            </c:strRef>
          </c:cat>
          <c:val>
            <c:numRef>
              <c:f>[工作簿1]Sheet1!$A$3:$G$3</c:f>
              <c:numCache>
                <c:formatCode>#,##0.00</c:formatCode>
                <c:ptCount val="7"/>
                <c:pt idx="0">
                  <c:v>586.94</c:v>
                </c:pt>
                <c:pt idx="1">
                  <c:v>38.72</c:v>
                </c:pt>
                <c:pt idx="2">
                  <c:v>19.38</c:v>
                </c:pt>
                <c:pt idx="3">
                  <c:v>48.13</c:v>
                </c:pt>
                <c:pt idx="4">
                  <c:v>1285</c:v>
                </c:pt>
                <c:pt idx="5">
                  <c:v>34.41</c:v>
                </c:pt>
                <c:pt idx="6">
                  <c:v>700.5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575053117757"/>
          <c:y val="0.0067114093959731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91395271587906"/>
          <c:y val="0.378294309387171"/>
          <c:w val="0.440694043213813"/>
          <c:h val="0.619421322334712"/>
        </c:manualLayout>
      </c:layout>
      <c:pieChart>
        <c:varyColors val="1"/>
        <c:ser>
          <c:idx val="0"/>
          <c:order val="0"/>
          <c:tx>
            <c:strRef>
              <c:f>Sheet1!$B$1</c:f>
              <c:strCache>
                <c:ptCount val="1"/>
                <c:pt idx="0">
                  <c:v>
“三公”经费财政拨款支出结构图
</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公务用车购置及运行费</c:v>
                </c:pt>
                <c:pt idx="2">
                  <c:v>公务接待费</c:v>
                </c:pt>
              </c:strCache>
            </c:strRef>
          </c:cat>
          <c:val>
            <c:numRef>
              <c:f>Sheet1!$B$2:$B$4</c:f>
              <c:numCache>
                <c:formatCode>General</c:formatCode>
                <c:ptCount val="3"/>
                <c:pt idx="0">
                  <c:v>0</c:v>
                </c:pt>
                <c:pt idx="1">
                  <c:v>0</c:v>
                </c:pt>
                <c:pt idx="2">
                  <c:v>3.35</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0615792086355957"/>
          <c:y val="0.259325396825397"/>
          <c:w val="0.790119634514993"/>
          <c:h val="0.06050832653781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TotalTime>
  <ScaleCrop>false</ScaleCrop>
  <LinksUpToDate>false</LinksUpToDate>
  <CharactersWithSpaces>8536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2020-11-19T07:47:22Z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