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大竹县黄滩乡卫生院</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w:t>
      </w:r>
      <w:r>
        <w:rPr>
          <w:rStyle w:val="15"/>
          <w:rFonts w:hint="eastAsia"/>
          <w:lang w:eastAsia="zh-CN"/>
        </w:rPr>
        <w:t>2019</w:t>
      </w:r>
      <w:r>
        <w:rPr>
          <w:rStyle w:val="15"/>
          <w:rFonts w:hint="eastAsia"/>
        </w:rPr>
        <w:t>年度部门决算情况说明</w:t>
      </w:r>
      <w:bookmarkStart w:id="67" w:name="_GoBack"/>
      <w:bookmarkEnd w:id="67"/>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3</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3</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w:t>
      </w:r>
      <w:r>
        <w:rPr>
          <w:rFonts w:hint="eastAsia"/>
          <w:lang w:val="en-US" w:eastAsia="zh-CN"/>
        </w:rPr>
        <w:t>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8</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w:t>
      </w:r>
      <w:r>
        <w:rPr>
          <w:rFonts w:hint="eastAsia"/>
          <w:lang w:val="en-US" w:eastAsia="zh-CN"/>
        </w:rPr>
        <w:t>2</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2</w:t>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2</w:t>
      </w:r>
      <w:r>
        <w:rPr>
          <w:rFonts w:ascii="仿宋" w:hAnsi="仿宋" w:eastAsia="仿宋"/>
          <w:sz w:val="28"/>
          <w:szCs w:val="28"/>
        </w:rPr>
        <w:fldChar w:fldCharType="end"/>
      </w:r>
      <w:r>
        <w:rPr>
          <w:rFonts w:ascii="仿宋" w:hAnsi="仿宋" w:eastAsia="仿宋"/>
          <w:sz w:val="28"/>
          <w:szCs w:val="28"/>
        </w:rPr>
        <w:fldChar w:fldCharType="end"/>
      </w:r>
    </w:p>
    <w:p>
      <w:pPr>
        <w:pStyle w:val="11"/>
        <w:adjustRightInd w:val="0"/>
        <w:snapToGrid w:val="0"/>
        <w:spacing w:line="440" w:lineRule="exact"/>
        <w:jc w:val="left"/>
        <w:rPr>
          <w:rFonts w:ascii="仿宋" w:hAnsi="仿宋" w:eastAsia="仿宋"/>
          <w:color w:val="FF0000"/>
          <w:sz w:val="24"/>
        </w:rPr>
      </w:pPr>
      <w:r>
        <w:rPr>
          <w:rFonts w:ascii="仿宋" w:hAnsi="仿宋" w:eastAsia="仿宋"/>
          <w:color w:val="000000"/>
          <w:sz w:val="24"/>
        </w:rPr>
        <w:fldChar w:fldCharType="end"/>
      </w:r>
    </w:p>
    <w:p>
      <w:pPr>
        <w:widowControl/>
        <w:spacing w:line="440" w:lineRule="exact"/>
        <w:jc w:val="left"/>
        <w:rPr>
          <w:rFonts w:ascii="仿宋" w:hAnsi="仿宋" w:eastAsia="仿宋"/>
          <w:bCs/>
          <w:kern w:val="44"/>
          <w:sz w:val="24"/>
        </w:rPr>
      </w:pPr>
      <w:bookmarkStart w:id="6" w:name="_Toc15377196"/>
      <w:bookmarkStart w:id="7"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6"/>
      <w:bookmarkEnd w:id="7"/>
    </w:p>
    <w:p>
      <w:pPr>
        <w:widowControl/>
        <w:jc w:val="left"/>
        <w:rPr>
          <w:rFonts w:ascii="黑体" w:eastAsia="黑体"/>
          <w:color w:val="000000"/>
          <w:sz w:val="32"/>
          <w:szCs w:val="32"/>
        </w:rPr>
      </w:pPr>
    </w:p>
    <w:p>
      <w:pPr>
        <w:pStyle w:val="3"/>
        <w:rPr>
          <w:rStyle w:val="25"/>
          <w:rFonts w:ascii="仿宋" w:hAnsi="仿宋" w:eastAsia="仿宋"/>
          <w:b w:val="0"/>
          <w:bCs w:val="0"/>
        </w:rPr>
      </w:pPr>
      <w:bookmarkStart w:id="8" w:name="_Toc15396600"/>
      <w:bookmarkStart w:id="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8"/>
      <w:bookmarkEnd w:id="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0" w:name="_Toc15378445"/>
      <w:bookmarkStart w:id="11" w:name="_Toc15377198"/>
      <w:r>
        <w:rPr>
          <w:rFonts w:hint="eastAsia" w:ascii="仿宋" w:hAnsi="仿宋" w:eastAsia="仿宋"/>
          <w:bCs/>
          <w:color w:val="000000"/>
          <w:sz w:val="32"/>
          <w:szCs w:val="32"/>
        </w:rPr>
        <w:t>（一）主要职能。</w:t>
      </w:r>
      <w:bookmarkEnd w:id="10"/>
      <w:bookmarkEnd w:id="11"/>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贯彻执行党的卫生工作方针政策和国家卫生法律、法规，以公共卫生服务为主，面向农村居民提供综合性卫生服务，为人民身体健康提供基本医疗与预防保健服务，常见病多发病护理、预防保健、卫生人员培训、卫生监督与卫生信息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2" w:name="_Toc15378446"/>
      <w:bookmarkStart w:id="13"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2"/>
      <w:bookmarkEnd w:id="13"/>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年，大竹县黄滩乡卫生院坚持科学发展、加快发展的工作基调，狠抓增收节支，深化财税体制改革，圆满完成县委县政府下达的各项目标任务。</w:t>
      </w:r>
    </w:p>
    <w:p>
      <w:pPr>
        <w:pStyle w:val="3"/>
        <w:rPr>
          <w:rStyle w:val="25"/>
          <w:b w:val="0"/>
          <w:bCs w:val="0"/>
        </w:rPr>
      </w:pPr>
      <w:bookmarkStart w:id="14" w:name="_Toc15396601"/>
      <w:bookmarkStart w:id="15"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4"/>
      <w:bookmarkEnd w:id="15"/>
    </w:p>
    <w:p>
      <w:pPr>
        <w:widowControl/>
        <w:jc w:val="left"/>
        <w:rPr>
          <w:rFonts w:ascii="仿宋" w:hAnsi="仿宋" w:eastAsia="仿宋"/>
          <w:color w:val="000000"/>
          <w:kern w:val="0"/>
          <w:sz w:val="32"/>
          <w:szCs w:val="32"/>
        </w:rPr>
      </w:pPr>
      <w:r>
        <w:rPr>
          <w:rFonts w:hint="eastAsia" w:ascii="仿宋" w:hAnsi="仿宋" w:eastAsia="仿宋"/>
          <w:sz w:val="32"/>
          <w:szCs w:val="32"/>
          <w:lang w:eastAsia="zh-CN"/>
        </w:rPr>
        <w:t>大竹县黄滩乡卫生院为</w:t>
      </w:r>
      <w:r>
        <w:rPr>
          <w:rFonts w:hint="eastAsia" w:ascii="仿宋" w:hAnsi="仿宋" w:eastAsia="仿宋"/>
          <w:sz w:val="32"/>
          <w:szCs w:val="32"/>
          <w:lang w:val="en-US" w:eastAsia="zh-CN"/>
        </w:rPr>
        <w:t>二</w:t>
      </w:r>
      <w:r>
        <w:rPr>
          <w:rFonts w:hint="eastAsia" w:ascii="仿宋" w:hAnsi="仿宋" w:eastAsia="仿宋"/>
          <w:sz w:val="32"/>
          <w:szCs w:val="32"/>
          <w:lang w:eastAsia="zh-CN"/>
        </w:rPr>
        <w:t>级预算单位，</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16" w:name="_Toc15396602"/>
      <w:bookmarkStart w:id="17"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16"/>
      <w:bookmarkEnd w:id="17"/>
    </w:p>
    <w:p/>
    <w:p>
      <w:pPr>
        <w:pStyle w:val="23"/>
        <w:numPr>
          <w:ilvl w:val="0"/>
          <w:numId w:val="1"/>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年度收入总计</w:t>
      </w:r>
      <w:r>
        <w:rPr>
          <w:rFonts w:hint="eastAsia" w:ascii="仿宋" w:hAnsi="仿宋" w:eastAsia="仿宋"/>
          <w:color w:val="000000"/>
          <w:sz w:val="32"/>
          <w:szCs w:val="32"/>
          <w:highlight w:val="none"/>
          <w:lang w:val="en-US" w:eastAsia="zh-CN"/>
        </w:rPr>
        <w:t>195.20</w:t>
      </w:r>
      <w:r>
        <w:rPr>
          <w:rFonts w:hint="eastAsia" w:ascii="仿宋" w:hAnsi="仿宋" w:eastAsia="仿宋"/>
          <w:color w:val="000000"/>
          <w:sz w:val="32"/>
          <w:szCs w:val="32"/>
        </w:rPr>
        <w:t>万元、支出总计</w:t>
      </w:r>
      <w:r>
        <w:rPr>
          <w:rFonts w:hint="eastAsia" w:ascii="仿宋" w:hAnsi="仿宋" w:eastAsia="仿宋"/>
          <w:color w:val="000000"/>
          <w:sz w:val="32"/>
          <w:szCs w:val="32"/>
          <w:highlight w:val="none"/>
          <w:lang w:val="en-US" w:eastAsia="zh-CN"/>
        </w:rPr>
        <w:t>119.57</w:t>
      </w:r>
    </w:p>
    <w:p>
      <w:pPr>
        <w:spacing w:line="600" w:lineRule="exact"/>
        <w:rPr>
          <w:rFonts w:hint="eastAsia" w:ascii="仿宋" w:hAnsi="仿宋" w:eastAsia="仿宋"/>
          <w:color w:val="000000"/>
          <w:sz w:val="32"/>
          <w:szCs w:val="32"/>
        </w:rPr>
      </w:pP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年相比，收入总计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41.36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highlight w:val="none"/>
          <w:lang w:val="en-US" w:eastAsia="zh-CN"/>
        </w:rPr>
        <w:t>17.48</w:t>
      </w:r>
      <w:r>
        <w:rPr>
          <w:rFonts w:hint="eastAsia" w:ascii="仿宋" w:hAnsi="仿宋" w:eastAsia="仿宋"/>
          <w:color w:val="000000"/>
          <w:sz w:val="32"/>
          <w:szCs w:val="32"/>
        </w:rPr>
        <w:t>%，主要变动原因为财</w:t>
      </w:r>
      <w:r>
        <w:rPr>
          <w:rFonts w:hint="eastAsia" w:ascii="仿宋" w:hAnsi="仿宋" w:eastAsia="仿宋"/>
          <w:color w:val="000000"/>
          <w:sz w:val="32"/>
          <w:szCs w:val="32"/>
          <w:lang w:eastAsia="zh-CN"/>
        </w:rPr>
        <w:t>业务收入减少</w:t>
      </w:r>
      <w:r>
        <w:rPr>
          <w:rFonts w:hint="eastAsia" w:ascii="仿宋" w:hAnsi="仿宋" w:eastAsia="仿宋"/>
          <w:color w:val="000000"/>
          <w:sz w:val="32"/>
          <w:szCs w:val="32"/>
        </w:rPr>
        <w:t>；支出总计</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116.99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减少了</w:t>
      </w:r>
      <w:r>
        <w:rPr>
          <w:rFonts w:hint="eastAsia" w:ascii="仿宋" w:hAnsi="仿宋" w:eastAsia="仿宋"/>
          <w:color w:val="000000"/>
          <w:sz w:val="32"/>
          <w:szCs w:val="32"/>
          <w:lang w:val="en-US" w:eastAsia="zh-CN"/>
        </w:rPr>
        <w:t>49.45</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业务收入减少</w:t>
      </w:r>
      <w:r>
        <w:rPr>
          <w:rFonts w:hint="eastAsia" w:ascii="仿宋" w:hAnsi="仿宋" w:eastAsia="仿宋"/>
          <w:color w:val="000000"/>
          <w:sz w:val="32"/>
          <w:szCs w:val="32"/>
        </w:rPr>
        <w:t>，成本费用相应</w:t>
      </w:r>
      <w:r>
        <w:rPr>
          <w:rFonts w:hint="eastAsia" w:ascii="仿宋" w:hAnsi="仿宋" w:eastAsia="仿宋"/>
          <w:color w:val="000000"/>
          <w:sz w:val="32"/>
          <w:szCs w:val="32"/>
          <w:lang w:eastAsia="zh-CN"/>
        </w:rPr>
        <w:t>减少</w:t>
      </w:r>
      <w:r>
        <w:rPr>
          <w:rFonts w:hint="eastAsia" w:ascii="仿宋" w:hAnsi="仿宋" w:eastAsia="仿宋"/>
          <w:color w:val="000000"/>
          <w:sz w:val="32"/>
          <w:szCs w:val="32"/>
        </w:rPr>
        <w:t>。</w:t>
      </w:r>
    </w:p>
    <w:p>
      <w:pPr>
        <w:spacing w:line="600" w:lineRule="exact"/>
        <w:rPr>
          <w:rFonts w:hint="eastAsia" w:ascii="仿宋" w:hAnsi="仿宋" w:eastAsia="仿宋"/>
          <w:color w:val="000000"/>
          <w:sz w:val="32"/>
          <w:szCs w:val="32"/>
        </w:rPr>
      </w:pPr>
    </w:p>
    <w:p>
      <w:pPr>
        <w:spacing w:line="240" w:lineRule="auto"/>
        <w:rPr>
          <w:rFonts w:hint="eastAsia"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272405" cy="2613660"/>
            <wp:effectExtent l="0" t="0" r="4445" b="15240"/>
            <wp:docPr id="1" name="图片 1" descr="QQ图片202011131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01113155939"/>
                    <pic:cNvPicPr>
                      <a:picLocks noChangeAspect="1"/>
                    </pic:cNvPicPr>
                  </pic:nvPicPr>
                  <pic:blipFill>
                    <a:blip r:embed="rId6"/>
                    <a:stretch>
                      <a:fillRect/>
                    </a:stretch>
                  </pic:blipFill>
                  <pic:spPr>
                    <a:xfrm>
                      <a:off x="0" y="0"/>
                      <a:ext cx="5272405" cy="2613660"/>
                    </a:xfrm>
                    <a:prstGeom prst="rect">
                      <a:avLst/>
                    </a:prstGeom>
                  </pic:spPr>
                </pic:pic>
              </a:graphicData>
            </a:graphic>
          </wp:inline>
        </w:drawing>
      </w:r>
    </w:p>
    <w:p>
      <w:pPr>
        <w:spacing w:line="600" w:lineRule="exact"/>
        <w:ind w:firstLine="1600" w:firstLineChars="500"/>
        <w:rPr>
          <w:rFonts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195.20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137.50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；事业收入53</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27.30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4</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5.86</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70500" cy="3543935"/>
            <wp:effectExtent l="0" t="0" r="6350" b="18415"/>
            <wp:docPr id="3" name="图片 3" descr="QQ图片2020111316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1113160540"/>
                    <pic:cNvPicPr>
                      <a:picLocks noChangeAspect="1"/>
                    </pic:cNvPicPr>
                  </pic:nvPicPr>
                  <pic:blipFill>
                    <a:blip r:embed="rId7"/>
                    <a:stretch>
                      <a:fillRect/>
                    </a:stretch>
                  </pic:blipFill>
                  <pic:spPr>
                    <a:xfrm>
                      <a:off x="0" y="0"/>
                      <a:ext cx="5270500" cy="3543935"/>
                    </a:xfrm>
                    <a:prstGeom prst="rect">
                      <a:avLst/>
                    </a:prstGeom>
                  </pic:spPr>
                </pic:pic>
              </a:graphicData>
            </a:graphic>
          </wp:inline>
        </w:drawing>
      </w:r>
    </w:p>
    <w:p>
      <w:pPr>
        <w:spacing w:line="240" w:lineRule="auto"/>
        <w:ind w:firstLine="640" w:firstLineChars="200"/>
        <w:outlineLvl w:val="1"/>
        <w:rPr>
          <w:rFonts w:hint="eastAsia" w:ascii="仿宋" w:hAnsi="仿宋" w:eastAsia="仿宋"/>
          <w:color w:val="000000"/>
          <w:sz w:val="32"/>
          <w:szCs w:val="32"/>
          <w:lang w:eastAsia="zh-CN"/>
        </w:rPr>
      </w:pPr>
    </w:p>
    <w:p>
      <w:pPr>
        <w:spacing w:line="600" w:lineRule="exact"/>
        <w:ind w:firstLine="1600" w:firstLineChars="500"/>
        <w:rPr>
          <w:rFonts w:ascii="仿宋" w:hAnsi="仿宋" w:eastAsia="仿宋"/>
          <w:color w:val="FF0000"/>
          <w:sz w:val="32"/>
          <w:szCs w:val="32"/>
        </w:rPr>
      </w:pPr>
      <w:r>
        <w:rPr>
          <w:rFonts w:hint="eastAsia" w:ascii="仿宋" w:hAnsi="仿宋" w:eastAsia="仿宋"/>
          <w:color w:val="FF0000"/>
          <w:sz w:val="32"/>
          <w:szCs w:val="32"/>
        </w:rPr>
        <w:t>（图2：收入决算结构图）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2" w:name="_Toc15396605"/>
      <w:bookmarkStart w:id="23"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9年本年支出合计119</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万元，其中：基本支出82</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98万元，占</w:t>
      </w:r>
      <w:r>
        <w:rPr>
          <w:rFonts w:hint="eastAsia" w:ascii="仿宋" w:hAnsi="仿宋" w:eastAsia="仿宋"/>
          <w:color w:val="000000"/>
          <w:sz w:val="32"/>
          <w:szCs w:val="32"/>
          <w:lang w:val="en-US" w:eastAsia="zh-CN"/>
        </w:rPr>
        <w:t>69.4</w:t>
      </w:r>
      <w:r>
        <w:rPr>
          <w:rFonts w:ascii="仿宋" w:hAnsi="仿宋" w:eastAsia="仿宋"/>
          <w:color w:val="000000"/>
          <w:sz w:val="32"/>
          <w:szCs w:val="32"/>
        </w:rPr>
        <w:t>%</w:t>
      </w:r>
      <w:r>
        <w:rPr>
          <w:rFonts w:hint="eastAsia" w:ascii="仿宋" w:hAnsi="仿宋" w:eastAsia="仿宋"/>
          <w:color w:val="000000"/>
          <w:sz w:val="32"/>
          <w:szCs w:val="32"/>
        </w:rPr>
        <w:t>；项目支出36</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59万元，占</w:t>
      </w:r>
      <w:r>
        <w:rPr>
          <w:rFonts w:hint="eastAsia" w:ascii="仿宋" w:hAnsi="仿宋" w:eastAsia="仿宋"/>
          <w:color w:val="000000"/>
          <w:sz w:val="32"/>
          <w:szCs w:val="32"/>
          <w:lang w:val="en-US" w:eastAsia="zh-CN"/>
        </w:rPr>
        <w:t>30.6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172075" cy="2733675"/>
            <wp:effectExtent l="0" t="0" r="9525" b="9525"/>
            <wp:docPr id="4" name="图片 4" descr="QQ图片2020111316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01113160943"/>
                    <pic:cNvPicPr>
                      <a:picLocks noChangeAspect="1"/>
                    </pic:cNvPicPr>
                  </pic:nvPicPr>
                  <pic:blipFill>
                    <a:blip r:embed="rId8"/>
                    <a:stretch>
                      <a:fillRect/>
                    </a:stretch>
                  </pic:blipFill>
                  <pic:spPr>
                    <a:xfrm>
                      <a:off x="0" y="0"/>
                      <a:ext cx="5172075" cy="2733675"/>
                    </a:xfrm>
                    <a:prstGeom prst="rect">
                      <a:avLst/>
                    </a:prstGeom>
                  </pic:spPr>
                </pic:pic>
              </a:graphicData>
            </a:graphic>
          </wp:inline>
        </w:drawing>
      </w:r>
    </w:p>
    <w:p>
      <w:pPr>
        <w:spacing w:line="600" w:lineRule="exact"/>
        <w:ind w:firstLine="1920" w:firstLineChars="600"/>
        <w:rPr>
          <w:rFonts w:ascii="仿宋" w:hAnsi="仿宋" w:eastAsia="仿宋"/>
          <w:color w:val="FF0000"/>
          <w:sz w:val="32"/>
          <w:szCs w:val="32"/>
        </w:rPr>
      </w:pPr>
      <w:r>
        <w:rPr>
          <w:rFonts w:hint="eastAsia" w:ascii="仿宋" w:hAnsi="仿宋" w:eastAsia="仿宋"/>
          <w:color w:val="FF0000"/>
          <w:sz w:val="32"/>
          <w:szCs w:val="32"/>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总计137</w:t>
      </w:r>
      <w:r>
        <w:rPr>
          <w:rFonts w:hint="eastAsia" w:ascii="仿宋" w:hAnsi="仿宋" w:eastAsia="仿宋"/>
          <w:color w:val="000000"/>
          <w:sz w:val="32"/>
          <w:szCs w:val="32"/>
          <w:lang w:val="en-US" w:eastAsia="zh-CN"/>
        </w:rPr>
        <w:t>.50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、支出总计66</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9</w:t>
      </w:r>
      <w:r>
        <w:rPr>
          <w:rFonts w:hint="eastAsia" w:ascii="仿宋" w:hAnsi="仿宋" w:eastAsia="仿宋"/>
          <w:color w:val="000000"/>
          <w:sz w:val="32"/>
          <w:szCs w:val="32"/>
          <w:lang w:val="en-US" w:eastAsia="zh-CN"/>
        </w:rPr>
        <w:t>7万元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减少了</w:t>
      </w:r>
      <w:r>
        <w:rPr>
          <w:rFonts w:hint="eastAsia" w:ascii="仿宋" w:hAnsi="仿宋" w:eastAsia="仿宋"/>
          <w:color w:val="000000"/>
          <w:sz w:val="32"/>
          <w:szCs w:val="32"/>
          <w:lang w:val="en-US" w:eastAsia="zh-CN"/>
        </w:rPr>
        <w:t>24.8</w:t>
      </w:r>
      <w:r>
        <w:rPr>
          <w:rFonts w:hint="eastAsia" w:ascii="仿宋" w:hAnsi="仿宋" w:eastAsia="仿宋"/>
          <w:color w:val="000000"/>
          <w:sz w:val="32"/>
          <w:szCs w:val="32"/>
        </w:rPr>
        <w:t>万元，</w:t>
      </w:r>
      <w:r>
        <w:rPr>
          <w:rFonts w:hint="eastAsia" w:ascii="仿宋" w:hAnsi="仿宋" w:eastAsia="仿宋"/>
          <w:color w:val="000000"/>
          <w:sz w:val="32"/>
          <w:szCs w:val="32"/>
          <w:highlight w:val="none"/>
        </w:rPr>
        <w:t>增长</w:t>
      </w:r>
      <w:r>
        <w:rPr>
          <w:rFonts w:hint="eastAsia" w:ascii="仿宋" w:hAnsi="仿宋" w:eastAsia="仿宋"/>
          <w:color w:val="000000"/>
          <w:sz w:val="32"/>
          <w:szCs w:val="32"/>
          <w:highlight w:val="none"/>
          <w:lang w:val="en-US" w:eastAsia="zh-CN"/>
        </w:rPr>
        <w:t>23.58</w:t>
      </w:r>
      <w:r>
        <w:rPr>
          <w:rFonts w:ascii="仿宋" w:hAnsi="仿宋" w:eastAsia="仿宋"/>
          <w:color w:val="000000"/>
          <w:sz w:val="32"/>
          <w:szCs w:val="32"/>
          <w:highlight w:val="none"/>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减少了</w:t>
      </w:r>
      <w:r>
        <w:rPr>
          <w:rFonts w:hint="eastAsia" w:ascii="仿宋" w:hAnsi="仿宋" w:eastAsia="仿宋"/>
          <w:color w:val="000000"/>
          <w:sz w:val="32"/>
          <w:szCs w:val="32"/>
          <w:lang w:val="en-US" w:eastAsia="zh-CN"/>
        </w:rPr>
        <w:t>95.33</w:t>
      </w:r>
      <w:r>
        <w:rPr>
          <w:rFonts w:hint="eastAsia" w:ascii="仿宋" w:hAnsi="仿宋" w:eastAsia="仿宋"/>
          <w:color w:val="000000"/>
          <w:sz w:val="32"/>
          <w:szCs w:val="32"/>
        </w:rPr>
        <w:t>万元，</w:t>
      </w:r>
      <w:r>
        <w:rPr>
          <w:rFonts w:hint="eastAsia" w:ascii="仿宋" w:hAnsi="仿宋" w:eastAsia="仿宋"/>
          <w:color w:val="000000"/>
          <w:sz w:val="32"/>
          <w:szCs w:val="32"/>
          <w:highlight w:val="none"/>
          <w:lang w:eastAsia="zh-CN"/>
        </w:rPr>
        <w:t>减少了</w:t>
      </w:r>
      <w:r>
        <w:rPr>
          <w:rFonts w:hint="eastAsia" w:ascii="仿宋" w:hAnsi="仿宋" w:eastAsia="仿宋"/>
          <w:color w:val="000000"/>
          <w:sz w:val="32"/>
          <w:szCs w:val="32"/>
          <w:highlight w:val="none"/>
          <w:lang w:val="en-US" w:eastAsia="zh-CN"/>
        </w:rPr>
        <w:t>58.74</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73675" cy="2632710"/>
            <wp:effectExtent l="0" t="0" r="3175" b="15240"/>
            <wp:docPr id="5" name="图片 5" descr="QQ图片2020111316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01113161608"/>
                    <pic:cNvPicPr>
                      <a:picLocks noChangeAspect="1"/>
                    </pic:cNvPicPr>
                  </pic:nvPicPr>
                  <pic:blipFill>
                    <a:blip r:embed="rId9"/>
                    <a:stretch>
                      <a:fillRect/>
                    </a:stretch>
                  </pic:blipFill>
                  <pic:spPr>
                    <a:xfrm>
                      <a:off x="0" y="0"/>
                      <a:ext cx="5273675" cy="2632710"/>
                    </a:xfrm>
                    <a:prstGeom prst="rect">
                      <a:avLst/>
                    </a:prstGeom>
                  </pic:spPr>
                </pic:pic>
              </a:graphicData>
            </a:graphic>
          </wp:inline>
        </w:drawing>
      </w:r>
    </w:p>
    <w:p>
      <w:pPr>
        <w:spacing w:line="600" w:lineRule="exact"/>
        <w:rPr>
          <w:rFonts w:ascii="仿宋" w:hAnsi="仿宋" w:eastAsia="仿宋"/>
          <w:color w:val="000000"/>
          <w:sz w:val="32"/>
          <w:szCs w:val="32"/>
        </w:rPr>
      </w:pPr>
    </w:p>
    <w:p>
      <w:pPr>
        <w:spacing w:line="600" w:lineRule="exact"/>
        <w:ind w:firstLine="960" w:firstLineChars="300"/>
        <w:rPr>
          <w:rFonts w:ascii="仿宋" w:hAnsi="仿宋" w:eastAsia="仿宋"/>
          <w:color w:val="FF0000"/>
          <w:sz w:val="32"/>
          <w:szCs w:val="32"/>
        </w:rPr>
      </w:pPr>
      <w:r>
        <w:rPr>
          <w:rFonts w:hint="eastAsia" w:ascii="仿宋" w:hAnsi="仿宋" w:eastAsia="仿宋"/>
          <w:color w:val="FF0000"/>
          <w:sz w:val="32"/>
          <w:szCs w:val="32"/>
        </w:rPr>
        <w:t>（图4：财政拨款收、支决算总计变动情况）</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66.97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56.01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减少了</w:t>
      </w:r>
      <w:r>
        <w:rPr>
          <w:rFonts w:hint="eastAsia" w:ascii="仿宋" w:hAnsi="仿宋" w:eastAsia="仿宋"/>
          <w:color w:val="000000"/>
          <w:sz w:val="32"/>
          <w:szCs w:val="32"/>
          <w:lang w:val="en-US" w:eastAsia="zh-CN"/>
        </w:rPr>
        <w:t>24.8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15.28</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143500" cy="2752725"/>
            <wp:effectExtent l="0" t="0" r="0" b="9525"/>
            <wp:docPr id="6" name="图片 6" descr="QQ图片2020111316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01113162245"/>
                    <pic:cNvPicPr>
                      <a:picLocks noChangeAspect="1"/>
                    </pic:cNvPicPr>
                  </pic:nvPicPr>
                  <pic:blipFill>
                    <a:blip r:embed="rId10"/>
                    <a:stretch>
                      <a:fillRect/>
                    </a:stretch>
                  </pic:blipFill>
                  <pic:spPr>
                    <a:xfrm>
                      <a:off x="0" y="0"/>
                      <a:ext cx="5143500" cy="2752725"/>
                    </a:xfrm>
                    <a:prstGeom prst="rect">
                      <a:avLst/>
                    </a:prstGeom>
                  </pic:spPr>
                </pic:pic>
              </a:graphicData>
            </a:graphic>
          </wp:inline>
        </w:drawing>
      </w:r>
    </w:p>
    <w:p>
      <w:pPr>
        <w:spacing w:line="600" w:lineRule="exact"/>
        <w:ind w:firstLine="640" w:firstLineChars="200"/>
        <w:outlineLvl w:val="2"/>
        <w:rPr>
          <w:rFonts w:hint="eastAsia" w:ascii="仿宋" w:hAnsi="仿宋" w:eastAsia="仿宋"/>
          <w:color w:val="FF0000"/>
          <w:sz w:val="32"/>
          <w:szCs w:val="32"/>
        </w:rPr>
      </w:pPr>
      <w:r>
        <w:rPr>
          <w:rFonts w:hint="eastAsia" w:ascii="仿宋" w:hAnsi="仿宋" w:eastAsia="仿宋"/>
          <w:color w:val="FF0000"/>
          <w:sz w:val="32"/>
          <w:szCs w:val="32"/>
        </w:rPr>
        <w:t>（图5：一般公共预算财政拨款支出决算变动情况）</w:t>
      </w:r>
      <w:bookmarkStart w:id="29"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9"/>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137.5</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4.05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2.94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133.45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97.06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240" w:lineRule="auto"/>
        <w:ind w:firstLine="64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114925" cy="2714625"/>
            <wp:effectExtent l="0" t="0" r="9525" b="9525"/>
            <wp:docPr id="8" name="图片 8" descr="QQ图片2020111316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201113162813"/>
                    <pic:cNvPicPr>
                      <a:picLocks noChangeAspect="1"/>
                    </pic:cNvPicPr>
                  </pic:nvPicPr>
                  <pic:blipFill>
                    <a:blip r:embed="rId11"/>
                    <a:stretch>
                      <a:fillRect/>
                    </a:stretch>
                  </pic:blipFill>
                  <pic:spPr>
                    <a:xfrm>
                      <a:off x="0" y="0"/>
                      <a:ext cx="5114925" cy="2714625"/>
                    </a:xfrm>
                    <a:prstGeom prst="rect">
                      <a:avLst/>
                    </a:prstGeom>
                  </pic:spPr>
                </pic:pic>
              </a:graphicData>
            </a:graphic>
          </wp:inline>
        </w:drawing>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rPr>
      </w:pPr>
      <w:bookmarkStart w:id="31" w:name="_Toc15377213"/>
      <w:bookmarkStart w:id="32" w:name="_Toc15377444"/>
      <w:bookmarkStart w:id="33" w:name="_Toc15378460"/>
      <w:r>
        <w:rPr>
          <w:rFonts w:hint="eastAsia" w:ascii="仿宋" w:hAnsi="仿宋" w:eastAsia="仿宋"/>
          <w:b/>
          <w:color w:val="000000" w:themeColor="text1"/>
          <w:sz w:val="32"/>
          <w:szCs w:val="32"/>
          <w14:textFill>
            <w14:solidFill>
              <w14:schemeClr w14:val="tx1"/>
            </w14:solidFill>
          </w14:textFill>
        </w:rPr>
        <w:t>2019年一般公共预算支出决算数为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221.84</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1"/>
      <w:bookmarkEnd w:id="32"/>
      <w:bookmarkEnd w:id="33"/>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hint="eastAsia" w:ascii="仿宋_GB2312" w:hAnsi="仿宋_GB2312" w:eastAsia="仿宋_GB2312" w:cs="仿宋_GB2312"/>
          <w:color w:val="auto"/>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行政事业单位离退休</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其他行政事业单位离退休支出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4.05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hint="eastAsia" w:ascii="仿宋_GB2312" w:hAnsi="仿宋_GB2312" w:eastAsia="仿宋_GB2312" w:cs="仿宋_GB2312"/>
          <w:color w:val="auto"/>
          <w:sz w:val="32"/>
          <w:szCs w:val="32"/>
        </w:rPr>
      </w:pP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210</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卫生健康管理事务</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01</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行政运行</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01</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5.59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支出</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卫生健康管理事务</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01</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其他卫生健康管理事务支出</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99</w:t>
      </w:r>
      <w:r>
        <w:rPr>
          <w:rFonts w:hint="eastAsia" w:ascii="仿宋" w:hAnsi="仿宋" w:eastAsia="仿宋"/>
          <w:b/>
          <w:bCs/>
          <w:color w:val="000000" w:themeColor="text1"/>
          <w:sz w:val="32"/>
          <w:szCs w:val="32"/>
          <w14:textFill>
            <w14:solidFill>
              <w14:schemeClr w14:val="tx1"/>
            </w14:solidFill>
          </w14:textFill>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10.67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lang w:eastAsia="zh-CN"/>
          <w14:textFill>
            <w14:solidFill>
              <w14:schemeClr w14:val="tx1"/>
            </w14:solidFill>
          </w14:textFill>
        </w:rPr>
        <w:t>卫生健康支出</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基层医疗卫生机构</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03</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乡镇卫生院</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02</w:t>
      </w:r>
      <w:r>
        <w:rPr>
          <w:rFonts w:hint="eastAsia" w:ascii="仿宋" w:hAnsi="仿宋" w:eastAsia="仿宋"/>
          <w:b/>
          <w:bCs/>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lang w:eastAsia="zh-CN"/>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b/>
          <w:bCs/>
          <w:color w:val="000000" w:themeColor="text1"/>
          <w:sz w:val="32"/>
          <w:szCs w:val="32"/>
          <w:lang w:eastAsia="zh-CN"/>
          <w14:textFill>
            <w14:solidFill>
              <w14:schemeClr w14:val="tx1"/>
            </w14:solidFill>
          </w14:textFill>
        </w:rPr>
        <w:t>）基层医疗卫生机构（</w:t>
      </w:r>
      <w:r>
        <w:rPr>
          <w:rFonts w:hint="eastAsia" w:ascii="仿宋" w:hAnsi="仿宋" w:eastAsia="仿宋"/>
          <w:b/>
          <w:bCs/>
          <w:color w:val="000000" w:themeColor="text1"/>
          <w:sz w:val="32"/>
          <w:szCs w:val="32"/>
          <w:lang w:val="en-US" w:eastAsia="zh-CN"/>
          <w14:textFill>
            <w14:solidFill>
              <w14:schemeClr w14:val="tx1"/>
            </w14:solidFill>
          </w14:textFill>
        </w:rPr>
        <w:t>03</w:t>
      </w:r>
      <w:r>
        <w:rPr>
          <w:rFonts w:hint="eastAsia" w:ascii="仿宋" w:hAnsi="仿宋" w:eastAsia="仿宋"/>
          <w:b/>
          <w:bCs/>
          <w:color w:val="000000" w:themeColor="text1"/>
          <w:sz w:val="32"/>
          <w:szCs w:val="32"/>
          <w:lang w:eastAsia="zh-CN"/>
          <w14:textFill>
            <w14:solidFill>
              <w14:schemeClr w14:val="tx1"/>
            </w14:solidFill>
          </w14:textFill>
        </w:rPr>
        <w:t>）其他基层医疗卫生机构支出（</w:t>
      </w:r>
      <w:r>
        <w:rPr>
          <w:rFonts w:hint="eastAsia" w:ascii="仿宋" w:hAnsi="仿宋" w:eastAsia="仿宋"/>
          <w:b/>
          <w:bCs/>
          <w:color w:val="000000" w:themeColor="text1"/>
          <w:sz w:val="32"/>
          <w:szCs w:val="32"/>
          <w:lang w:val="en-US" w:eastAsia="zh-CN"/>
          <w14:textFill>
            <w14:solidFill>
              <w14:schemeClr w14:val="tx1"/>
            </w14:solidFill>
          </w14:textFill>
        </w:rPr>
        <w:t>99</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4.97</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numPr>
          <w:ilvl w:val="0"/>
          <w:numId w:val="2"/>
        </w:numPr>
        <w:kinsoku/>
        <w:wordWrap/>
        <w:overflowPunct/>
        <w:topLinePunct w:val="0"/>
        <w:bidi w:val="0"/>
        <w:snapToGrid/>
        <w:spacing w:line="578" w:lineRule="exact"/>
        <w:ind w:right="0" w:righ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lang w:eastAsia="zh-CN"/>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210</w:t>
      </w:r>
      <w:r>
        <w:rPr>
          <w:rFonts w:hint="eastAsia" w:ascii="仿宋" w:hAnsi="仿宋" w:eastAsia="仿宋"/>
          <w:b/>
          <w:bCs/>
          <w:color w:val="000000" w:themeColor="text1"/>
          <w:sz w:val="32"/>
          <w:szCs w:val="32"/>
          <w:lang w:eastAsia="zh-CN"/>
          <w14:textFill>
            <w14:solidFill>
              <w14:schemeClr w14:val="tx1"/>
            </w14:solidFill>
          </w14:textFill>
        </w:rPr>
        <w:t>）公共卫生（</w:t>
      </w:r>
      <w:r>
        <w:rPr>
          <w:rFonts w:hint="eastAsia" w:ascii="仿宋" w:hAnsi="仿宋" w:eastAsia="仿宋"/>
          <w:b/>
          <w:bCs/>
          <w:color w:val="000000" w:themeColor="text1"/>
          <w:sz w:val="32"/>
          <w:szCs w:val="32"/>
          <w:lang w:val="en-US" w:eastAsia="zh-CN"/>
          <w14:textFill>
            <w14:solidFill>
              <w14:schemeClr w14:val="tx1"/>
            </w14:solidFill>
          </w14:textFill>
        </w:rPr>
        <w:t>04</w:t>
      </w:r>
      <w:r>
        <w:rPr>
          <w:rFonts w:hint="eastAsia" w:ascii="仿宋" w:hAnsi="仿宋" w:eastAsia="仿宋"/>
          <w:b/>
          <w:bCs/>
          <w:color w:val="000000" w:themeColor="text1"/>
          <w:sz w:val="32"/>
          <w:szCs w:val="32"/>
          <w:lang w:eastAsia="zh-CN"/>
          <w14:textFill>
            <w14:solidFill>
              <w14:schemeClr w14:val="tx1"/>
            </w14:solidFill>
          </w14:textFill>
        </w:rPr>
        <w:t>）基本公共卫生服务（</w:t>
      </w:r>
      <w:r>
        <w:rPr>
          <w:rFonts w:hint="eastAsia" w:ascii="仿宋" w:hAnsi="仿宋" w:eastAsia="仿宋"/>
          <w:b/>
          <w:bCs/>
          <w:color w:val="000000" w:themeColor="text1"/>
          <w:sz w:val="32"/>
          <w:szCs w:val="32"/>
          <w:lang w:val="en-US" w:eastAsia="zh-CN"/>
          <w14:textFill>
            <w14:solidFill>
              <w14:schemeClr w14:val="tx1"/>
            </w14:solidFill>
          </w14:textFill>
        </w:rPr>
        <w:t>08</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36.59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30.38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22.94</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2.63万元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16.26万元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、离休费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、退休费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、抚恤金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4.05万元</w:t>
      </w:r>
      <w:r>
        <w:rPr>
          <w:rFonts w:hint="eastAsia" w:ascii="仿宋" w:hAnsi="仿宋" w:eastAsia="仿宋"/>
          <w:color w:val="000000"/>
          <w:sz w:val="32"/>
          <w:szCs w:val="32"/>
        </w:rPr>
        <w:t>、医疗费补助</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、其他对个人和家庭的补助支出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7.44</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、咨询费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、手续费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、取暖费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、物业管理费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、因公出国（境）费用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、租赁费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0.47万元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0.8万元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1.2万元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专用材料费</w:t>
      </w:r>
      <w:r>
        <w:rPr>
          <w:rFonts w:hint="eastAsia" w:ascii="仿宋" w:hAnsi="仿宋" w:eastAsia="仿宋"/>
          <w:color w:val="000000"/>
          <w:sz w:val="32"/>
          <w:szCs w:val="32"/>
          <w:lang w:val="en-US" w:eastAsia="zh-CN"/>
        </w:rPr>
        <w:t>3.77万元、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、委托业务费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、税金及附加费用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1.2万元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、专用设备购置</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、信息网络及软件购置更新</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、其他资本性支出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等。</w:t>
      </w:r>
    </w:p>
    <w:p>
      <w:pPr>
        <w:spacing w:line="600" w:lineRule="exact"/>
        <w:ind w:firstLine="645"/>
        <w:rPr>
          <w:rFonts w:ascii="仿宋" w:hAnsi="仿宋" w:eastAsia="仿宋"/>
          <w:color w:val="000000"/>
          <w:sz w:val="32"/>
          <w:szCs w:val="32"/>
        </w:rPr>
      </w:pPr>
    </w:p>
    <w:p>
      <w:pPr>
        <w:spacing w:line="600" w:lineRule="exact"/>
        <w:ind w:firstLine="640"/>
        <w:outlineLvl w:val="1"/>
        <w:rPr>
          <w:rStyle w:val="25"/>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pPr>
        <w:spacing w:line="600" w:lineRule="exact"/>
        <w:ind w:firstLine="640"/>
        <w:rPr>
          <w:rFonts w:ascii="仿宋" w:hAnsi="仿宋" w:eastAsia="仿宋"/>
          <w:color w:val="000000"/>
          <w:sz w:val="32"/>
          <w:szCs w:val="32"/>
        </w:rPr>
      </w:pPr>
      <w:bookmarkStart w:id="39" w:name="_Toc15377217"/>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eastAsia="zh-CN"/>
        </w:rPr>
        <w:t>我院</w:t>
      </w:r>
      <w:r>
        <w:rPr>
          <w:rFonts w:hint="eastAsia" w:ascii="仿宋_GB2312" w:hAnsi="仿宋_GB2312" w:eastAsia="仿宋_GB2312" w:cs="仿宋_GB2312"/>
          <w:sz w:val="32"/>
          <w:szCs w:val="32"/>
        </w:rPr>
        <w:t>“三公”经费</w:t>
      </w:r>
      <w:r>
        <w:rPr>
          <w:rFonts w:hint="eastAsia" w:ascii="仿宋_GB2312" w:hAnsi="仿宋_GB2312" w:eastAsia="仿宋_GB2312" w:cs="仿宋_GB2312"/>
          <w:sz w:val="32"/>
          <w:szCs w:val="32"/>
          <w:lang w:eastAsia="zh-CN"/>
        </w:rPr>
        <w:t>开支较少</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r>
        <w:rPr>
          <w:rFonts w:hint="eastAsia" w:ascii="仿宋" w:hAnsi="仿宋" w:eastAsia="仿宋"/>
          <w:color w:val="000000"/>
          <w:sz w:val="32"/>
          <w:szCs w:val="32"/>
          <w:lang w:val="en-US" w:eastAsia="zh-CN"/>
        </w:rPr>
        <w:t xml:space="preserve"> </w:t>
      </w:r>
    </w:p>
    <w:p>
      <w:pPr>
        <w:spacing w:line="240" w:lineRule="auto"/>
        <w:ind w:firstLine="640"/>
        <w:rPr>
          <w:rFonts w:hint="eastAsia" w:ascii="仿宋" w:hAnsi="仿宋" w:eastAsia="仿宋"/>
          <w:color w:val="FF0000"/>
          <w:sz w:val="32"/>
          <w:szCs w:val="32"/>
          <w:lang w:eastAsia="zh-CN"/>
        </w:rPr>
      </w:pPr>
      <w:r>
        <w:rPr>
          <w:rFonts w:hint="eastAsia" w:ascii="仿宋" w:hAnsi="仿宋" w:eastAsia="仿宋"/>
          <w:color w:val="FF0000"/>
          <w:sz w:val="32"/>
          <w:szCs w:val="32"/>
          <w:lang w:eastAsia="zh-CN"/>
        </w:rPr>
        <w:drawing>
          <wp:inline distT="0" distB="0" distL="114300" distR="114300">
            <wp:extent cx="4533900" cy="2743200"/>
            <wp:effectExtent l="0" t="0" r="0" b="0"/>
            <wp:docPr id="9" name="图片 9" descr="QQ图片2020111316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01113163756"/>
                    <pic:cNvPicPr>
                      <a:picLocks noChangeAspect="1"/>
                    </pic:cNvPicPr>
                  </pic:nvPicPr>
                  <pic:blipFill>
                    <a:blip r:embed="rId12"/>
                    <a:stretch>
                      <a:fillRect/>
                    </a:stretch>
                  </pic:blipFill>
                  <pic:spPr>
                    <a:xfrm>
                      <a:off x="0" y="0"/>
                      <a:ext cx="4533900" cy="2743200"/>
                    </a:xfrm>
                    <a:prstGeom prst="rect">
                      <a:avLst/>
                    </a:prstGeom>
                  </pic:spPr>
                </pic:pic>
              </a:graphicData>
            </a:graphic>
          </wp:inline>
        </w:drawing>
      </w:r>
    </w:p>
    <w:p>
      <w:pPr>
        <w:spacing w:line="600" w:lineRule="exact"/>
        <w:ind w:firstLine="640"/>
        <w:rPr>
          <w:rFonts w:ascii="仿宋" w:hAnsi="仿宋" w:eastAsia="仿宋"/>
          <w:color w:val="FF0000"/>
          <w:sz w:val="32"/>
          <w:szCs w:val="32"/>
        </w:rPr>
      </w:pPr>
      <w:r>
        <w:rPr>
          <w:rFonts w:hint="eastAsia" w:ascii="仿宋" w:hAnsi="仿宋" w:eastAsia="仿宋"/>
          <w:color w:val="FF0000"/>
          <w:sz w:val="32"/>
          <w:szCs w:val="32"/>
        </w:rPr>
        <w:t>（图7：“三公”经费财政拨款支出结构）</w:t>
      </w:r>
    </w:p>
    <w:p>
      <w:pPr>
        <w:numPr>
          <w:ilvl w:val="0"/>
          <w:numId w:val="3"/>
        </w:numPr>
        <w:spacing w:line="600" w:lineRule="exact"/>
        <w:ind w:firstLine="640"/>
        <w:rPr>
          <w:rFonts w:hint="eastAsia" w:ascii="仿宋_GB2312" w:eastAsia="仿宋_GB2312"/>
          <w:color w:val="000000"/>
          <w:sz w:val="32"/>
          <w:szCs w:val="32"/>
          <w:lang w:val="en-US" w:eastAsia="zh-CN"/>
        </w:rPr>
      </w:pPr>
      <w:bookmarkStart w:id="40" w:name="_Toc15377218"/>
      <w:bookmarkStart w:id="41" w:name="_Toc15396610"/>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0.62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0.08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我院公务接待较少。</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1.2</w:t>
      </w:r>
      <w:r>
        <w:rPr>
          <w:rFonts w:hint="eastAsia" w:ascii="仿宋_GB2312" w:eastAsia="仿宋_GB2312"/>
          <w:color w:val="000000"/>
          <w:sz w:val="32"/>
          <w:szCs w:val="32"/>
        </w:rPr>
        <w:t>万元，主要用于开展业务活动开支的交通费、住宿费、用餐费等。国内公务接待</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240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line="600" w:lineRule="exact"/>
        <w:ind w:firstLine="640"/>
        <w:outlineLvl w:val="1"/>
        <w:rPr>
          <w:rFonts w:ascii="黑体" w:eastAsia="黑体"/>
          <w:color w:val="000000"/>
          <w:sz w:val="32"/>
          <w:szCs w:val="32"/>
        </w:rPr>
      </w:pP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44" w:name="_Toc15377221"/>
      <w:bookmarkStart w:id="45"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b/>
          <w:color w:val="000000"/>
          <w:sz w:val="32"/>
          <w:szCs w:val="32"/>
        </w:rPr>
        <w:t>（一）机关运行经费支出情况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4"/>
      <w:r>
        <w:rPr>
          <w:rFonts w:hint="eastAsia" w:ascii="仿宋" w:hAnsi="仿宋"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w:t>
      </w:r>
      <w:r>
        <w:rPr>
          <w:rFonts w:hint="eastAsia" w:ascii="仿宋_GB2312" w:eastAsia="仿宋_GB2312"/>
          <w:color w:val="000000" w:themeColor="text1"/>
          <w:sz w:val="32"/>
          <w:szCs w:val="32"/>
          <w:lang w:val="en-US" w:eastAsia="zh-CN"/>
          <w14:textFill>
            <w14:solidFill>
              <w14:schemeClr w14:val="tx1"/>
            </w14:solidFill>
          </w14:textFill>
        </w:rPr>
        <w:t>车0辆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p>
    <w:p>
      <w:pPr>
        <w:autoSpaceDE w:val="0"/>
        <w:autoSpaceDN w:val="0"/>
        <w:adjustRightInd w:val="0"/>
        <w:spacing w:line="600" w:lineRule="exact"/>
        <w:jc w:val="left"/>
        <w:rPr>
          <w:rFonts w:hint="eastAsia" w:ascii="仿宋_GB2312" w:eastAsia="仿宋_GB2312"/>
          <w:color w:val="000000"/>
          <w:sz w:val="32"/>
          <w:szCs w:val="32"/>
          <w:lang w:eastAsia="zh-CN"/>
        </w:rPr>
      </w:pPr>
    </w:p>
    <w:p>
      <w:pPr>
        <w:numPr>
          <w:ilvl w:val="0"/>
          <w:numId w:val="5"/>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bookmarkStart w:id="5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利息收入</w:t>
      </w:r>
      <w:r>
        <w:rPr>
          <w:rFonts w:hint="eastAsia" w:ascii="仿宋_GB2312" w:hAnsi="仿宋_GB2312" w:eastAsia="仿宋_GB2312" w:cs="仿宋_GB2312"/>
          <w:sz w:val="32"/>
          <w:szCs w:val="32"/>
        </w:rPr>
        <w:t>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社会保障和就业（208）行政事业单位离退休（05）其他行政事业单位离退休支出（99）：指行政事业单位离退休</w:t>
      </w:r>
      <w:r>
        <w:rPr>
          <w:rFonts w:hint="eastAsia" w:ascii="仿宋_GB2312" w:eastAsia="仿宋_GB2312"/>
          <w:color w:val="000000"/>
          <w:sz w:val="32"/>
          <w:szCs w:val="32"/>
          <w:lang w:eastAsia="zh-CN"/>
        </w:rPr>
        <w:t>人员</w:t>
      </w:r>
      <w:r>
        <w:rPr>
          <w:rFonts w:hint="eastAsia" w:ascii="仿宋_GB2312" w:eastAsia="仿宋_GB2312"/>
          <w:color w:val="000000"/>
          <w:sz w:val="32"/>
          <w:szCs w:val="32"/>
        </w:rPr>
        <w:t>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卫生健康支出（210）卫生健康管理事务（01）行政运行（01）：指</w:t>
      </w:r>
      <w:r>
        <w:rPr>
          <w:rFonts w:hint="eastAsia" w:ascii="仿宋_GB2312" w:eastAsia="仿宋_GB2312"/>
          <w:color w:val="000000"/>
          <w:sz w:val="32"/>
          <w:szCs w:val="32"/>
          <w:lang w:eastAsia="zh-CN"/>
        </w:rPr>
        <w:t>用于行政运行的相关支出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卫生健康支出（210）卫生健康管理事务（01）其他卫生健康管理事务支出（99）：指</w:t>
      </w:r>
      <w:r>
        <w:rPr>
          <w:rFonts w:hint="eastAsia" w:ascii="仿宋_GB2312" w:eastAsia="仿宋_GB2312"/>
          <w:color w:val="000000"/>
          <w:sz w:val="32"/>
          <w:szCs w:val="32"/>
          <w:lang w:eastAsia="zh-CN"/>
        </w:rPr>
        <w:t>上述项目以外的卫生健康管理事务支出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卫生健康支出（210）基层医疗卫生机构（03）乡镇卫生院（02）：指</w:t>
      </w:r>
      <w:r>
        <w:rPr>
          <w:rFonts w:hint="eastAsia" w:ascii="仿宋_GB2312" w:hAnsi="仿宋_GB2312" w:eastAsia="仿宋_GB2312" w:cs="仿宋_GB2312"/>
          <w:sz w:val="32"/>
          <w:szCs w:val="32"/>
          <w:lang w:val="en-US" w:eastAsia="zh-CN"/>
        </w:rPr>
        <w:t>反映用于乡镇卫生院的支出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卫生健康支出（210）基层医疗卫生机构（03）其他基层医疗卫生机构支出（99）：指</w:t>
      </w:r>
      <w:r>
        <w:rPr>
          <w:rFonts w:hint="eastAsia" w:ascii="仿宋_GB2312" w:eastAsia="仿宋_GB2312"/>
          <w:color w:val="000000"/>
          <w:sz w:val="32"/>
          <w:szCs w:val="32"/>
          <w:lang w:eastAsia="zh-CN"/>
        </w:rPr>
        <w:t>上述项目以外的</w:t>
      </w:r>
      <w:r>
        <w:rPr>
          <w:rFonts w:hint="eastAsia" w:ascii="仿宋_GB2312" w:eastAsia="仿宋_GB2312"/>
          <w:color w:val="000000"/>
          <w:sz w:val="32"/>
          <w:szCs w:val="32"/>
        </w:rPr>
        <w:t>其他基层医疗卫生机构支出。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卫生健康支出（210）公共卫生（04）基本公共卫生服务（08）：指反映基本公共卫生服务支出。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highlight w:val="none"/>
        </w:rPr>
      </w:pPr>
      <w:r>
        <w:rPr>
          <w:rFonts w:ascii="宋体"/>
          <w:b/>
          <w:color w:val="000000"/>
          <w:sz w:val="44"/>
          <w:szCs w:val="44"/>
        </w:rPr>
        <w:br w:type="page"/>
      </w:r>
      <w:bookmarkStart w:id="52" w:name="_Toc15396614"/>
      <w:r>
        <w:rPr>
          <w:rFonts w:hint="eastAsia" w:ascii="黑体" w:hAnsi="黑体" w:eastAsia="黑体"/>
          <w:color w:val="000000"/>
          <w:sz w:val="44"/>
          <w:szCs w:val="44"/>
          <w:highlight w:val="none"/>
        </w:rPr>
        <w:t>第</w:t>
      </w:r>
      <w:r>
        <w:rPr>
          <w:rStyle w:val="24"/>
          <w:rFonts w:hint="eastAsia" w:ascii="黑体" w:hAnsi="黑体" w:eastAsia="黑体"/>
          <w:b w:val="0"/>
          <w:highlight w:val="none"/>
        </w:rPr>
        <w:t>四部分 附件</w:t>
      </w:r>
      <w:bookmarkEnd w:id="52"/>
    </w:p>
    <w:p>
      <w:pPr>
        <w:spacing w:line="600" w:lineRule="exact"/>
        <w:jc w:val="left"/>
        <w:outlineLvl w:val="0"/>
        <w:rPr>
          <w:rFonts w:ascii="方正小标宋简体" w:hAnsi="方正小标宋简体" w:eastAsia="方正小标宋简体" w:cs="方正小标宋简体"/>
          <w:sz w:val="32"/>
          <w:szCs w:val="32"/>
          <w:highlight w:val="none"/>
        </w:rPr>
      </w:pPr>
      <w:r>
        <w:rPr>
          <w:rFonts w:hint="eastAsia" w:ascii="黑体" w:hAnsi="黑体" w:eastAsia="黑体" w:cs="黑体"/>
          <w:sz w:val="32"/>
          <w:szCs w:val="32"/>
          <w:highlight w:val="none"/>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大竹县黄滩乡卫生院</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ageBreakBefore w:val="0"/>
        <w:kinsoku/>
        <w:wordWrap/>
        <w:overflowPunct/>
        <w:topLinePunct w:val="0"/>
        <w:autoSpaceDE/>
        <w:autoSpaceDN/>
        <w:bidi w:val="0"/>
        <w:spacing w:line="578" w:lineRule="exact"/>
        <w:ind w:right="0" w:rightChars="0" w:firstLine="800" w:firstLineChars="250"/>
        <w:textAlignment w:val="auto"/>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lang w:eastAsia="zh-CN"/>
        </w:rPr>
        <w:t>大竹县黄滩乡卫生院为一级预算单位，</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bCs/>
          <w:color w:val="000000"/>
          <w:sz w:val="32"/>
          <w:szCs w:val="32"/>
        </w:rPr>
        <w:t>贯彻执行党的卫生工作方针政策和国家卫生法律、法规，以公共卫生服务为主，面向农村居民提供综合性卫生服务，为人民身体健康提供基本医疗与预防保健服务，常见病多发病护理、预防保健、卫生人员培训、卫生监督与卫生信息管理。</w:t>
      </w:r>
    </w:p>
    <w:p>
      <w:pPr>
        <w:widowControl/>
        <w:numPr>
          <w:ilvl w:val="0"/>
          <w:numId w:val="6"/>
        </w:numPr>
        <w:adjustRightInd w:val="0"/>
        <w:snapToGrid w:val="0"/>
        <w:spacing w:line="578" w:lineRule="exact"/>
        <w:ind w:left="0" w:leftChars="0" w:firstLine="640" w:firstLineChars="200"/>
        <w:jc w:val="left"/>
        <w:outlineLvl w:val="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numPr>
          <w:ilvl w:val="0"/>
          <w:numId w:val="0"/>
        </w:numPr>
        <w:adjustRightInd w:val="0"/>
        <w:snapToGrid w:val="0"/>
        <w:spacing w:line="578" w:lineRule="exact"/>
        <w:ind w:leftChars="200" w:firstLine="640" w:firstLineChars="200"/>
        <w:jc w:val="left"/>
        <w:outlineLvl w:val="0"/>
        <w:rPr>
          <w:rFonts w:ascii="楷体_GB2312" w:hAnsi="宋体" w:eastAsia="楷体_GB2312" w:cs="宋体"/>
          <w:b/>
          <w:kern w:val="0"/>
          <w:sz w:val="32"/>
          <w:szCs w:val="32"/>
          <w:lang w:val="zh-CN"/>
        </w:rPr>
      </w:pPr>
      <w:r>
        <w:rPr>
          <w:rFonts w:hint="eastAsia" w:ascii="Times New Roman" w:hAnsi="Times New Roman" w:eastAsia="仿宋"/>
          <w:sz w:val="32"/>
          <w:szCs w:val="32"/>
        </w:rPr>
        <w:t>201年末核定编制人数为1</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人，实有在编职工1</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人，退休人员</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人，局聘人员</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人，临聘人员</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580" w:lineRule="exact"/>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年年初财政拨款结转和结余为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年收到</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137.5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政府性基金预算拨款</w:t>
      </w:r>
      <w:r>
        <w:rPr>
          <w:rFonts w:hint="eastAsia" w:ascii="仿宋_GB2312" w:hAnsi="仿宋_GB2312" w:eastAsia="仿宋_GB2312" w:cs="仿宋_GB2312"/>
          <w:sz w:val="32"/>
          <w:szCs w:val="32"/>
          <w:lang w:val="en-US" w:eastAsia="zh-CN"/>
        </w:rPr>
        <w:t>0万元，其中部分重要财政专项资金收入如下：</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基本公共卫生服务项目资金。</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年共收到基本公共卫生服务项目资金</w:t>
      </w:r>
      <w:r>
        <w:rPr>
          <w:rFonts w:hint="eastAsia" w:ascii="仿宋_GB2312" w:hAnsi="仿宋_GB2312" w:eastAsia="仿宋_GB2312" w:cs="仿宋_GB2312"/>
          <w:sz w:val="32"/>
          <w:szCs w:val="32"/>
          <w:lang w:val="en-US" w:eastAsia="zh-CN"/>
        </w:rPr>
        <w:t>45.74万元。</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lang w:eastAsia="zh-CN"/>
        </w:rPr>
        <w:t>资金。其他行政事业单位离退休资金</w:t>
      </w:r>
      <w:r>
        <w:rPr>
          <w:rFonts w:hint="eastAsia" w:ascii="仿宋_GB2312" w:hAnsi="仿宋_GB2312" w:eastAsia="仿宋_GB2312" w:cs="仿宋_GB2312"/>
          <w:sz w:val="32"/>
          <w:szCs w:val="32"/>
          <w:lang w:val="en-US" w:eastAsia="zh-CN"/>
        </w:rPr>
        <w:t>4.05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卫生健康资金133.45万元</w:t>
      </w:r>
      <w:r>
        <w:rPr>
          <w:rFonts w:hint="eastAsia" w:ascii="仿宋_GB2312" w:hAnsi="仿宋_GB2312" w:eastAsia="仿宋_GB2312" w:cs="仿宋_GB2312"/>
          <w:sz w:val="32"/>
          <w:szCs w:val="32"/>
          <w:lang w:eastAsia="zh-CN"/>
        </w:rPr>
        <w:t>。其中：行政运行资金</w:t>
      </w:r>
      <w:r>
        <w:rPr>
          <w:rFonts w:hint="eastAsia" w:ascii="仿宋_GB2312" w:hAnsi="仿宋_GB2312" w:eastAsia="仿宋_GB2312" w:cs="仿宋_GB2312"/>
          <w:sz w:val="32"/>
          <w:szCs w:val="32"/>
          <w:lang w:val="en-US" w:eastAsia="zh-CN"/>
        </w:rPr>
        <w:t>9.55万元</w:t>
      </w:r>
      <w:r>
        <w:rPr>
          <w:rFonts w:hint="eastAsia" w:ascii="仿宋_GB2312" w:hAnsi="仿宋_GB2312" w:eastAsia="仿宋_GB2312" w:cs="仿宋_GB2312"/>
          <w:sz w:val="32"/>
          <w:szCs w:val="32"/>
          <w:lang w:eastAsia="zh-CN"/>
        </w:rPr>
        <w:t>；其他卫生健康管理事务支出资金</w:t>
      </w:r>
      <w:r>
        <w:rPr>
          <w:rFonts w:hint="eastAsia" w:ascii="仿宋_GB2312" w:hAnsi="仿宋_GB2312" w:eastAsia="仿宋_GB2312" w:cs="仿宋_GB2312"/>
          <w:sz w:val="32"/>
          <w:szCs w:val="32"/>
          <w:lang w:val="en-US" w:eastAsia="zh-CN"/>
        </w:rPr>
        <w:t>10.67万元</w:t>
      </w:r>
      <w:r>
        <w:rPr>
          <w:rFonts w:hint="eastAsia" w:ascii="仿宋_GB2312" w:hAnsi="仿宋_GB2312" w:eastAsia="仿宋_GB2312" w:cs="仿宋_GB2312"/>
          <w:sz w:val="32"/>
          <w:szCs w:val="32"/>
          <w:lang w:eastAsia="zh-CN"/>
        </w:rPr>
        <w:t>；乡镇卫生院资金</w:t>
      </w:r>
      <w:r>
        <w:rPr>
          <w:rFonts w:hint="eastAsia" w:ascii="仿宋_GB2312" w:hAnsi="仿宋_GB2312" w:eastAsia="仿宋_GB2312" w:cs="仿宋_GB2312"/>
          <w:sz w:val="32"/>
          <w:szCs w:val="32"/>
          <w:lang w:val="en-US" w:eastAsia="zh-CN"/>
        </w:rPr>
        <w:t>49.54万元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其他基层医疗卫生机构资金11.53万元；基本公共卫生服务资金45.74万元；其他公共卫生支出资金0.37万元。其他中草药资金10万元。</w:t>
      </w:r>
    </w:p>
    <w:p>
      <w:pPr>
        <w:widowControl/>
        <w:numPr>
          <w:ilvl w:val="0"/>
          <w:numId w:val="7"/>
        </w:numPr>
        <w:adjustRightInd w:val="0"/>
        <w:snapToGrid w:val="0"/>
        <w:spacing w:line="578" w:lineRule="exact"/>
        <w:ind w:firstLine="720"/>
        <w:jc w:val="left"/>
        <w:outlineLvl w:val="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numPr>
          <w:ilvl w:val="0"/>
          <w:numId w:val="0"/>
        </w:numPr>
        <w:adjustRightInd w:val="0"/>
        <w:snapToGrid w:val="0"/>
        <w:spacing w:line="578" w:lineRule="exact"/>
        <w:ind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66.97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政府性基金预算拨款支出</w:t>
      </w:r>
      <w:r>
        <w:rPr>
          <w:rFonts w:hint="eastAsia" w:ascii="仿宋_GB2312" w:hAnsi="仿宋_GB2312" w:eastAsia="仿宋_GB2312" w:cs="仿宋_GB2312"/>
          <w:sz w:val="32"/>
          <w:szCs w:val="32"/>
          <w:lang w:val="en-US" w:eastAsia="zh-CN"/>
        </w:rPr>
        <w:t>0万元，其中部分重要财政专项资金支出如下：</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基本公共卫生服务项目资金。</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年基本公共卫生服务项目资金</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36.59万元。</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lang w:eastAsia="zh-CN"/>
        </w:rPr>
        <w:t>资金。其他行政事业单位离退休资金支出</w:t>
      </w:r>
      <w:r>
        <w:rPr>
          <w:rFonts w:hint="eastAsia" w:ascii="仿宋_GB2312" w:hAnsi="仿宋_GB2312" w:eastAsia="仿宋_GB2312" w:cs="仿宋_GB2312"/>
          <w:sz w:val="32"/>
          <w:szCs w:val="32"/>
          <w:lang w:val="en-US" w:eastAsia="zh-CN"/>
        </w:rPr>
        <w:t>4.05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卫生健康资金</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62.92万元</w:t>
      </w:r>
      <w:r>
        <w:rPr>
          <w:rFonts w:hint="eastAsia" w:ascii="仿宋_GB2312" w:hAnsi="仿宋_GB2312" w:eastAsia="仿宋_GB2312" w:cs="仿宋_GB2312"/>
          <w:sz w:val="32"/>
          <w:szCs w:val="32"/>
          <w:lang w:eastAsia="zh-CN"/>
        </w:rPr>
        <w:t>。其中：行政运行资金</w:t>
      </w:r>
      <w:r>
        <w:rPr>
          <w:rFonts w:hint="eastAsia" w:ascii="仿宋_GB2312" w:hAnsi="仿宋_GB2312" w:eastAsia="仿宋_GB2312" w:cs="仿宋_GB2312"/>
          <w:sz w:val="32"/>
          <w:szCs w:val="32"/>
          <w:lang w:val="en-US" w:eastAsia="zh-CN"/>
        </w:rPr>
        <w:t>5.59万元</w:t>
      </w:r>
      <w:r>
        <w:rPr>
          <w:rFonts w:hint="eastAsia" w:ascii="仿宋_GB2312" w:hAnsi="仿宋_GB2312" w:eastAsia="仿宋_GB2312" w:cs="仿宋_GB2312"/>
          <w:sz w:val="32"/>
          <w:szCs w:val="32"/>
          <w:lang w:eastAsia="zh-CN"/>
        </w:rPr>
        <w:t>；其他卫生健康管理事务支出资金</w:t>
      </w:r>
      <w:r>
        <w:rPr>
          <w:rFonts w:hint="eastAsia" w:ascii="仿宋_GB2312" w:hAnsi="仿宋_GB2312" w:eastAsia="仿宋_GB2312" w:cs="仿宋_GB2312"/>
          <w:sz w:val="32"/>
          <w:szCs w:val="32"/>
          <w:lang w:val="en-US" w:eastAsia="zh-CN"/>
        </w:rPr>
        <w:t>10.67万元</w:t>
      </w:r>
      <w:r>
        <w:rPr>
          <w:rFonts w:hint="eastAsia" w:ascii="仿宋_GB2312" w:hAnsi="仿宋_GB2312" w:eastAsia="仿宋_GB2312" w:cs="仿宋_GB2312"/>
          <w:sz w:val="32"/>
          <w:szCs w:val="32"/>
          <w:lang w:eastAsia="zh-CN"/>
        </w:rPr>
        <w:t>；乡镇卫生院资金</w:t>
      </w:r>
      <w:r>
        <w:rPr>
          <w:rFonts w:hint="eastAsia" w:ascii="仿宋_GB2312" w:hAnsi="仿宋_GB2312" w:eastAsia="仿宋_GB2312" w:cs="仿宋_GB2312"/>
          <w:sz w:val="32"/>
          <w:szCs w:val="32"/>
          <w:lang w:val="en-US" w:eastAsia="zh-CN"/>
        </w:rPr>
        <w:t>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其他基层医疗卫生机构资金4.97万元；基本公共卫生服务资金36.59万元；其他公共卫生支出资金0万元。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rPr>
        <w:t>我院严格按照县财政局预算编制通知和有关要求，按时完成报送工作。预算编制准确率为100%，在部门预算审核环节中未发现问题。预算编制全面围绕整体绩效目标，整体绩效目标编制完整、合理。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78" w:lineRule="exact"/>
        <w:ind w:firstLine="640" w:firstLineChars="200"/>
        <w:jc w:val="left"/>
        <w:rPr>
          <w:rFonts w:ascii="仿宋_GB2312" w:hAnsi="宋体" w:eastAsia="仿宋_GB2312" w:cs="宋体"/>
          <w:kern w:val="0"/>
          <w:sz w:val="32"/>
          <w:szCs w:val="32"/>
          <w:lang w:val="zh-CN"/>
        </w:rPr>
      </w:pPr>
      <w:r>
        <w:rPr>
          <w:rFonts w:hint="eastAsia" w:eastAsia="仿宋"/>
          <w:sz w:val="32"/>
          <w:szCs w:val="32"/>
          <w:lang w:val="en-US" w:eastAsia="zh-CN"/>
        </w:rPr>
        <w:t>2019</w:t>
      </w:r>
      <w:r>
        <w:rPr>
          <w:rFonts w:hint="eastAsia" w:ascii="仿宋" w:hAnsi="仿宋" w:eastAsia="仿宋"/>
          <w:sz w:val="32"/>
          <w:szCs w:val="32"/>
        </w:rPr>
        <w:t>年我</w:t>
      </w:r>
      <w:r>
        <w:rPr>
          <w:rFonts w:hint="eastAsia" w:ascii="仿宋" w:hAnsi="仿宋" w:eastAsia="仿宋"/>
          <w:sz w:val="32"/>
          <w:szCs w:val="32"/>
          <w:lang w:eastAsia="zh-CN"/>
        </w:rPr>
        <w:t>院按时按量</w:t>
      </w:r>
      <w:r>
        <w:rPr>
          <w:rFonts w:hint="eastAsia" w:ascii="仿宋" w:hAnsi="仿宋" w:eastAsia="仿宋"/>
          <w:sz w:val="32"/>
          <w:szCs w:val="32"/>
        </w:rPr>
        <w:t>完成了全年目标工作任务。</w:t>
      </w:r>
      <w:r>
        <w:rPr>
          <w:rFonts w:hint="eastAsia" w:ascii="仿宋_GB2312" w:eastAsia="仿宋_GB2312"/>
          <w:sz w:val="32"/>
          <w:szCs w:val="32"/>
        </w:rPr>
        <w:t>资金管理规范，项目管理到位，政策执行有力，有效发挥了财政资金的使用效率</w:t>
      </w:r>
      <w:r>
        <w:rPr>
          <w:rFonts w:hint="eastAsia" w:ascii="仿宋" w:hAnsi="仿宋" w:eastAsia="仿宋"/>
          <w:sz w:val="32"/>
          <w:szCs w:val="32"/>
        </w:rPr>
        <w:t>，社会和经济效益全面发挥。服务对象满意度</w:t>
      </w:r>
      <w:r>
        <w:rPr>
          <w:rFonts w:hint="eastAsia" w:ascii="仿宋" w:hAnsi="仿宋" w:eastAsia="仿宋"/>
          <w:sz w:val="32"/>
          <w:szCs w:val="32"/>
          <w:lang w:eastAsia="zh-CN"/>
        </w:rPr>
        <w:t>较</w:t>
      </w:r>
      <w:r>
        <w:rPr>
          <w:rFonts w:hint="eastAsia" w:ascii="仿宋" w:hAnsi="仿宋" w:eastAsia="仿宋"/>
          <w:sz w:val="32"/>
          <w:szCs w:val="32"/>
        </w:rPr>
        <w:t>高。</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年我院及时、准确地完成预算编制</w:t>
      </w:r>
      <w:r>
        <w:rPr>
          <w:rFonts w:hint="eastAsia" w:ascii="仿宋_GB2312" w:eastAsia="仿宋_GB2312"/>
          <w:sz w:val="32"/>
          <w:szCs w:val="32"/>
          <w:lang w:eastAsia="zh-CN"/>
        </w:rPr>
        <w:t>，</w:t>
      </w:r>
      <w:r>
        <w:rPr>
          <w:rFonts w:hint="eastAsia" w:ascii="仿宋_GB2312" w:eastAsia="仿宋_GB2312"/>
          <w:sz w:val="32"/>
          <w:szCs w:val="32"/>
        </w:rPr>
        <w:t>预算执行情况良好，支出管理规范，资金管理制度较为完善，会计核算和账务处理规范。</w:t>
      </w:r>
    </w:p>
    <w:p>
      <w:pPr>
        <w:numPr>
          <w:ilvl w:val="0"/>
          <w:numId w:val="7"/>
        </w:numPr>
        <w:spacing w:line="578" w:lineRule="exact"/>
        <w:ind w:left="0" w:leftChars="0" w:firstLine="720" w:firstLineChars="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numPr>
          <w:ilvl w:val="0"/>
          <w:numId w:val="0"/>
        </w:numPr>
        <w:spacing w:line="578" w:lineRule="exact"/>
        <w:ind w:left="720" w:leftChars="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1.预算执行进度监控、绩效目标动态监控做得不够好。</w:t>
      </w:r>
    </w:p>
    <w:p>
      <w:pPr>
        <w:spacing w:line="578"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2.绩效评价及结果应用工作深度不够，绩效评价不够深入，未能充分运用评价结果促进工作改进。</w:t>
      </w:r>
    </w:p>
    <w:p>
      <w:pPr>
        <w:spacing w:line="578"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3.内部控制制度不完善，执行力度欠缺。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numPr>
          <w:ilvl w:val="0"/>
          <w:numId w:val="7"/>
        </w:numPr>
        <w:adjustRightInd w:val="0"/>
        <w:snapToGrid w:val="0"/>
        <w:spacing w:line="578" w:lineRule="exact"/>
        <w:ind w:left="0" w:leftChars="0" w:firstLine="720" w:firstLineChars="0"/>
        <w:jc w:val="left"/>
        <w:outlineLvl w:val="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widowControl/>
        <w:numPr>
          <w:ilvl w:val="0"/>
          <w:numId w:val="0"/>
        </w:numPr>
        <w:adjustRightInd w:val="0"/>
        <w:snapToGrid w:val="0"/>
        <w:spacing w:line="578" w:lineRule="exact"/>
        <w:ind w:left="720" w:leftChars="0"/>
        <w:jc w:val="left"/>
        <w:outlineLvl w:val="0"/>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1.制定工作方案，适时监控对预算执行进度和绩效目标，按期开展中期评估。</w:t>
      </w:r>
    </w:p>
    <w:p>
      <w:pPr>
        <w:widowControl/>
        <w:adjustRightInd w:val="0"/>
        <w:snapToGrid w:val="0"/>
        <w:spacing w:line="578" w:lineRule="exact"/>
        <w:ind w:firstLine="720"/>
        <w:jc w:val="left"/>
        <w:outlineLvl w:val="0"/>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2.成立绩效管理科，积极开展绩效评价，并运用评价结果促进工作改进。</w:t>
      </w:r>
    </w:p>
    <w:p>
      <w:pPr>
        <w:widowControl/>
        <w:adjustRightInd w:val="0"/>
        <w:snapToGrid w:val="0"/>
        <w:spacing w:line="578" w:lineRule="exact"/>
        <w:ind w:firstLine="720"/>
        <w:jc w:val="left"/>
        <w:outlineLvl w:val="0"/>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3.健全内部控制制度，加大执行力度。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3"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1"/>
      <w:bookmarkEnd w:id="5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4"/>
    </w:p>
    <w:p>
      <w:pPr>
        <w:pStyle w:val="3"/>
        <w:rPr>
          <w:rFonts w:ascii="仿宋" w:hAnsi="仿宋" w:eastAsia="仿宋"/>
          <w:color w:val="000000"/>
        </w:rPr>
      </w:pPr>
      <w:bookmarkStart w:id="55"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5"/>
    </w:p>
    <w:p>
      <w:pPr>
        <w:pStyle w:val="3"/>
        <w:rPr>
          <w:rFonts w:ascii="仿宋" w:hAnsi="仿宋" w:eastAsia="仿宋"/>
          <w:color w:val="000000"/>
        </w:rPr>
      </w:pPr>
      <w:bookmarkStart w:id="5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6"/>
    </w:p>
    <w:p>
      <w:pPr>
        <w:pStyle w:val="3"/>
        <w:rPr>
          <w:rFonts w:ascii="仿宋" w:hAnsi="仿宋" w:eastAsia="仿宋"/>
          <w:b w:val="0"/>
          <w:color w:val="000000"/>
        </w:rPr>
      </w:pPr>
      <w:bookmarkStart w:id="5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7"/>
    </w:p>
    <w:p>
      <w:pPr>
        <w:pStyle w:val="3"/>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58"/>
      <w:bookmarkStart w:id="59"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59"/>
    </w:p>
    <w:p>
      <w:pPr>
        <w:pStyle w:val="3"/>
        <w:rPr>
          <w:rFonts w:ascii="仿宋" w:hAnsi="仿宋" w:eastAsia="仿宋"/>
          <w:color w:val="000000"/>
        </w:rPr>
      </w:pPr>
      <w:bookmarkStart w:id="6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0"/>
    </w:p>
    <w:p>
      <w:pPr>
        <w:pStyle w:val="3"/>
        <w:rPr>
          <w:rFonts w:ascii="仿宋" w:hAnsi="仿宋" w:eastAsia="仿宋"/>
          <w:color w:val="000000"/>
        </w:rPr>
      </w:pPr>
      <w:bookmarkStart w:id="6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1"/>
    </w:p>
    <w:p>
      <w:pPr>
        <w:pStyle w:val="3"/>
        <w:rPr>
          <w:rFonts w:ascii="仿宋" w:hAnsi="仿宋" w:eastAsia="仿宋"/>
          <w:color w:val="000000"/>
        </w:rPr>
      </w:pPr>
      <w:bookmarkStart w:id="6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2"/>
    </w:p>
    <w:p>
      <w:pPr>
        <w:pStyle w:val="3"/>
        <w:rPr>
          <w:rFonts w:ascii="仿宋" w:hAnsi="仿宋" w:eastAsia="仿宋"/>
          <w:color w:val="000000"/>
        </w:rPr>
      </w:pPr>
      <w:bookmarkStart w:id="6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3"/>
    </w:p>
    <w:p>
      <w:pPr>
        <w:pStyle w:val="3"/>
        <w:rPr>
          <w:rFonts w:ascii="仿宋" w:hAnsi="仿宋" w:eastAsia="仿宋"/>
          <w:color w:val="000000"/>
        </w:rPr>
      </w:pPr>
      <w:bookmarkStart w:id="6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4"/>
    </w:p>
    <w:p>
      <w:pPr>
        <w:pStyle w:val="3"/>
        <w:rPr>
          <w:rFonts w:ascii="仿宋" w:hAnsi="仿宋" w:eastAsia="仿宋"/>
          <w:color w:val="000000"/>
        </w:rPr>
      </w:pPr>
      <w:bookmarkStart w:id="6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5"/>
    </w:p>
    <w:p>
      <w:pPr>
        <w:pStyle w:val="3"/>
        <w:rPr>
          <w:rFonts w:ascii="仿宋" w:hAnsi="仿宋" w:eastAsia="仿宋"/>
          <w:color w:val="000000" w:themeColor="text1"/>
          <w14:textFill>
            <w14:solidFill>
              <w14:schemeClr w14:val="tx1"/>
            </w14:solidFill>
          </w14:textFill>
        </w:rPr>
      </w:pPr>
      <w:bookmarkStart w:id="6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10C74"/>
    <w:multiLevelType w:val="singleLevel"/>
    <w:tmpl w:val="9BE10C74"/>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071F54A"/>
    <w:multiLevelType w:val="singleLevel"/>
    <w:tmpl w:val="D071F54A"/>
    <w:lvl w:ilvl="0" w:tentative="0">
      <w:start w:val="1"/>
      <w:numFmt w:val="decimal"/>
      <w:lvlText w:val="%1."/>
      <w:lvlJc w:val="left"/>
      <w:pPr>
        <w:tabs>
          <w:tab w:val="left" w:pos="312"/>
        </w:tabs>
      </w:pPr>
    </w:lvl>
  </w:abstractNum>
  <w:abstractNum w:abstractNumId="3">
    <w:nsid w:val="E0246850"/>
    <w:multiLevelType w:val="singleLevel"/>
    <w:tmpl w:val="E0246850"/>
    <w:lvl w:ilvl="0" w:tentative="0">
      <w:start w:val="2"/>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445FB55"/>
    <w:multiLevelType w:val="singleLevel"/>
    <w:tmpl w:val="7445FB55"/>
    <w:lvl w:ilvl="0" w:tentative="0">
      <w:start w:val="2"/>
      <w:numFmt w:val="chineseCounting"/>
      <w:suff w:val="nothing"/>
      <w:lvlText w:val="（%1）"/>
      <w:lvlJc w:val="left"/>
      <w:rPr>
        <w:rFonts w:hint="eastAsia"/>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B266F0"/>
    <w:rsid w:val="10C055FF"/>
    <w:rsid w:val="11B5121B"/>
    <w:rsid w:val="126B3F0B"/>
    <w:rsid w:val="142A685D"/>
    <w:rsid w:val="16BB723D"/>
    <w:rsid w:val="1AFE6EBE"/>
    <w:rsid w:val="240371BF"/>
    <w:rsid w:val="29FD04D3"/>
    <w:rsid w:val="319F7F4E"/>
    <w:rsid w:val="31AA0E53"/>
    <w:rsid w:val="35B230D6"/>
    <w:rsid w:val="37920FDD"/>
    <w:rsid w:val="40C35A7A"/>
    <w:rsid w:val="43E14B3E"/>
    <w:rsid w:val="48185E17"/>
    <w:rsid w:val="4ECE2238"/>
    <w:rsid w:val="50DE7DEB"/>
    <w:rsid w:val="57733733"/>
    <w:rsid w:val="5F261AB6"/>
    <w:rsid w:val="5F3550A7"/>
    <w:rsid w:val="69546EB5"/>
    <w:rsid w:val="6D8B28FC"/>
    <w:rsid w:val="708313E2"/>
    <w:rsid w:val="72734D90"/>
    <w:rsid w:val="75E326DD"/>
    <w:rsid w:val="767F4B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6</TotalTime>
  <ScaleCrop>false</ScaleCrop>
  <LinksUpToDate>false</LinksUpToDate>
  <CharactersWithSpaces>8536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2020-11-20T03:25:23Z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