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E7" w:rsidRDefault="00176DE7">
      <w:pPr>
        <w:spacing w:line="600" w:lineRule="exact"/>
        <w:jc w:val="center"/>
        <w:outlineLvl w:val="0"/>
        <w:rPr>
          <w:rFonts w:ascii="方正小标宋简体" w:eastAsia="方正小标宋简体" w:hAnsi="宋体"/>
          <w:color w:val="000000"/>
          <w:sz w:val="72"/>
          <w:szCs w:val="72"/>
        </w:rPr>
      </w:pPr>
      <w:bookmarkStart w:id="0" w:name="_Toc15306267"/>
    </w:p>
    <w:p w:rsidR="00176DE7" w:rsidRDefault="00176DE7">
      <w:pPr>
        <w:spacing w:line="600" w:lineRule="exact"/>
        <w:jc w:val="center"/>
        <w:outlineLvl w:val="0"/>
        <w:rPr>
          <w:rFonts w:ascii="方正小标宋简体" w:eastAsia="方正小标宋简体" w:hAnsi="宋体"/>
          <w:color w:val="000000"/>
          <w:sz w:val="72"/>
          <w:szCs w:val="72"/>
        </w:rPr>
      </w:pPr>
    </w:p>
    <w:p w:rsidR="00176DE7" w:rsidRDefault="00176DE7">
      <w:pPr>
        <w:spacing w:line="600" w:lineRule="exact"/>
        <w:jc w:val="center"/>
        <w:outlineLvl w:val="0"/>
        <w:rPr>
          <w:rFonts w:ascii="方正小标宋简体" w:eastAsia="方正小标宋简体" w:hAnsi="宋体"/>
          <w:color w:val="000000"/>
          <w:sz w:val="72"/>
          <w:szCs w:val="72"/>
        </w:rPr>
      </w:pPr>
    </w:p>
    <w:p w:rsidR="00176DE7" w:rsidRDefault="00176DE7">
      <w:pPr>
        <w:spacing w:line="600" w:lineRule="exact"/>
        <w:jc w:val="center"/>
        <w:outlineLvl w:val="0"/>
        <w:rPr>
          <w:rFonts w:ascii="方正小标宋简体" w:eastAsia="方正小标宋简体" w:hAnsi="宋体"/>
          <w:color w:val="000000"/>
          <w:sz w:val="72"/>
          <w:szCs w:val="72"/>
        </w:rPr>
      </w:pPr>
    </w:p>
    <w:p w:rsidR="00813244" w:rsidRDefault="00813244" w:rsidP="00813244">
      <w:pPr>
        <w:spacing w:line="600" w:lineRule="exact"/>
        <w:jc w:val="center"/>
        <w:outlineLvl w:val="0"/>
        <w:rPr>
          <w:rFonts w:ascii="方正小标宋简体" w:eastAsia="方正小标宋简体" w:hAnsi="宋体"/>
          <w:color w:val="000000"/>
          <w:sz w:val="72"/>
          <w:szCs w:val="72"/>
        </w:rPr>
      </w:pPr>
      <w:bookmarkStart w:id="1" w:name="_Toc15377193"/>
      <w:bookmarkStart w:id="2" w:name="_Toc15378441"/>
      <w:bookmarkStart w:id="3" w:name="_Toc15396475"/>
      <w:bookmarkStart w:id="4" w:name="_Toc15377425"/>
      <w:bookmarkStart w:id="5" w:name="_Toc15396597"/>
    </w:p>
    <w:p w:rsidR="00813244" w:rsidRDefault="00813244" w:rsidP="00813244">
      <w:pPr>
        <w:spacing w:line="600" w:lineRule="exact"/>
        <w:jc w:val="center"/>
        <w:outlineLvl w:val="0"/>
        <w:rPr>
          <w:rFonts w:ascii="方正小标宋简体" w:eastAsia="方正小标宋简体" w:hAnsi="宋体"/>
          <w:color w:val="000000"/>
          <w:sz w:val="72"/>
          <w:szCs w:val="72"/>
        </w:rPr>
      </w:pPr>
    </w:p>
    <w:p w:rsidR="00813244" w:rsidRDefault="00813244" w:rsidP="00813244">
      <w:pPr>
        <w:adjustRightInd w:val="0"/>
        <w:snapToGrid w:val="0"/>
        <w:spacing w:line="360" w:lineRule="auto"/>
        <w:jc w:val="center"/>
        <w:outlineLvl w:val="0"/>
        <w:rPr>
          <w:rFonts w:ascii="方正小标宋简体" w:eastAsia="方正小标宋简体" w:hAnsi="宋体"/>
          <w:color w:val="000000"/>
          <w:sz w:val="72"/>
          <w:szCs w:val="72"/>
        </w:rPr>
      </w:pPr>
      <w:r>
        <w:rPr>
          <w:rFonts w:ascii="黑体" w:eastAsia="黑体" w:hAnsi="黑体"/>
          <w:color w:val="000000"/>
          <w:sz w:val="72"/>
          <w:szCs w:val="72"/>
        </w:rPr>
        <w:t>2020</w:t>
      </w:r>
      <w:r>
        <w:rPr>
          <w:rFonts w:ascii="方正小标宋简体" w:eastAsia="方正小标宋简体" w:hAnsi="宋体" w:hint="eastAsia"/>
          <w:color w:val="000000"/>
          <w:sz w:val="72"/>
          <w:szCs w:val="72"/>
        </w:rPr>
        <w:t>年度</w:t>
      </w:r>
    </w:p>
    <w:p w:rsidR="00813244" w:rsidRDefault="00813244" w:rsidP="00813244">
      <w:pPr>
        <w:adjustRightInd w:val="0"/>
        <w:snapToGrid w:val="0"/>
        <w:spacing w:line="360" w:lineRule="auto"/>
        <w:jc w:val="center"/>
        <w:outlineLvl w:val="0"/>
        <w:rPr>
          <w:rFonts w:ascii="方正小标宋简体" w:eastAsia="方正小标宋简体" w:hAnsi="宋体"/>
          <w:color w:val="000000"/>
          <w:sz w:val="72"/>
          <w:szCs w:val="72"/>
        </w:rPr>
      </w:pPr>
      <w:r>
        <w:rPr>
          <w:rFonts w:ascii="方正小标宋简体" w:eastAsia="方正小标宋简体" w:hAnsi="宋体" w:hint="eastAsia"/>
          <w:w w:val="90"/>
          <w:sz w:val="72"/>
          <w:szCs w:val="72"/>
        </w:rPr>
        <w:t>大竹县高明镇第二中心小学</w:t>
      </w:r>
      <w:r>
        <w:rPr>
          <w:rFonts w:ascii="方正小标宋简体" w:eastAsia="方正小标宋简体" w:hAnsi="宋体" w:hint="eastAsia"/>
          <w:color w:val="000000"/>
          <w:sz w:val="72"/>
          <w:szCs w:val="72"/>
        </w:rPr>
        <w:t>部门决算</w:t>
      </w:r>
    </w:p>
    <w:p w:rsidR="00813244" w:rsidRDefault="00813244" w:rsidP="00813244">
      <w:pPr>
        <w:adjustRightInd w:val="0"/>
        <w:snapToGrid w:val="0"/>
        <w:spacing w:line="360" w:lineRule="auto"/>
        <w:jc w:val="center"/>
        <w:outlineLvl w:val="0"/>
        <w:rPr>
          <w:rFonts w:ascii="方正小标宋简体" w:eastAsia="方正小标宋简体" w:hAnsi="宋体"/>
          <w:color w:val="000000"/>
          <w:sz w:val="52"/>
          <w:szCs w:val="52"/>
        </w:rPr>
      </w:pPr>
    </w:p>
    <w:p w:rsidR="00813244" w:rsidRDefault="00813244" w:rsidP="00813244">
      <w:pPr>
        <w:widowControl/>
        <w:jc w:val="center"/>
        <w:rPr>
          <w:rFonts w:ascii="黑体" w:eastAsia="黑体" w:hAnsi="黑体"/>
          <w:sz w:val="48"/>
          <w:szCs w:val="48"/>
        </w:rPr>
      </w:pPr>
      <w:r>
        <w:rPr>
          <w:rFonts w:ascii="方正小标宋简体" w:eastAsia="方正小标宋简体" w:hAnsi="宋体"/>
          <w:color w:val="000000"/>
          <w:sz w:val="36"/>
          <w:szCs w:val="36"/>
        </w:rPr>
        <w:br w:type="page"/>
      </w:r>
      <w:bookmarkStart w:id="6" w:name="_Hlk84692631"/>
      <w:r>
        <w:rPr>
          <w:rFonts w:ascii="黑体" w:eastAsia="黑体" w:hAnsi="黑体" w:hint="eastAsia"/>
          <w:sz w:val="48"/>
          <w:szCs w:val="48"/>
        </w:rPr>
        <w:lastRenderedPageBreak/>
        <w:t>目录</w:t>
      </w:r>
    </w:p>
    <w:p w:rsidR="00813244" w:rsidRDefault="00813244" w:rsidP="00813244">
      <w:pPr>
        <w:widowControl/>
        <w:jc w:val="center"/>
        <w:rPr>
          <w:rFonts w:ascii="黑体" w:eastAsia="黑体" w:hAnsi="黑体"/>
          <w:sz w:val="28"/>
          <w:szCs w:val="28"/>
        </w:rPr>
      </w:pPr>
    </w:p>
    <w:p w:rsidR="00813244" w:rsidRDefault="00813244" w:rsidP="00813244">
      <w:pPr>
        <w:pStyle w:val="10"/>
      </w:pPr>
      <w:r>
        <w:rPr>
          <w:rFonts w:hint="eastAsia"/>
        </w:rPr>
        <w:t>公开时间：</w:t>
      </w:r>
      <w:r>
        <w:t>2021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 xml:space="preserve">27 </w:t>
      </w:r>
      <w:r>
        <w:rPr>
          <w:rFonts w:hint="eastAsia"/>
        </w:rPr>
        <w:t>日</w:t>
      </w:r>
    </w:p>
    <w:p w:rsidR="00813244" w:rsidRDefault="00813244" w:rsidP="00813244"/>
    <w:p w:rsidR="00813244" w:rsidRDefault="00813244" w:rsidP="00813244">
      <w:pPr>
        <w:pStyle w:val="10"/>
        <w:adjustRightInd w:val="0"/>
        <w:snapToGrid w:val="0"/>
        <w:spacing w:before="0" w:line="440" w:lineRule="exact"/>
        <w:jc w:val="left"/>
        <w:rPr>
          <w:sz w:val="24"/>
          <w:szCs w:val="24"/>
        </w:rPr>
      </w:pPr>
      <w:r>
        <w:rPr>
          <w:rFonts w:hint="eastAsia"/>
          <w:sz w:val="24"/>
        </w:rPr>
        <w:t>第一部分部门概况</w:t>
      </w:r>
      <w:r>
        <w:rPr>
          <w:sz w:val="24"/>
        </w:rPr>
        <w:tab/>
        <w:t>4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一、基本职能及主要工作</w:t>
      </w:r>
      <w:r>
        <w:rPr>
          <w:sz w:val="24"/>
        </w:rPr>
        <w:t>…</w:t>
      </w:r>
      <w:r>
        <w:rPr>
          <w:sz w:val="24"/>
        </w:rPr>
        <w:tab/>
        <w:t>4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二、机构设置</w:t>
      </w:r>
      <w:r>
        <w:rPr>
          <w:sz w:val="24"/>
        </w:rPr>
        <w:tab/>
        <w:t>4</w:t>
      </w:r>
    </w:p>
    <w:p w:rsidR="00813244" w:rsidRDefault="00813244" w:rsidP="00813244">
      <w:pPr>
        <w:pStyle w:val="10"/>
        <w:adjustRightInd w:val="0"/>
        <w:snapToGrid w:val="0"/>
        <w:spacing w:before="0" w:line="440" w:lineRule="exact"/>
        <w:jc w:val="left"/>
        <w:rPr>
          <w:sz w:val="24"/>
          <w:szCs w:val="24"/>
        </w:rPr>
      </w:pPr>
      <w:r>
        <w:rPr>
          <w:rFonts w:hint="eastAsia"/>
          <w:sz w:val="24"/>
        </w:rPr>
        <w:t>第二部分部门决算情况说明</w:t>
      </w:r>
      <w:r>
        <w:rPr>
          <w:sz w:val="24"/>
        </w:rPr>
        <w:tab/>
        <w:t>5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一、收入支出决算总体情况说明</w:t>
      </w:r>
      <w:r>
        <w:rPr>
          <w:sz w:val="24"/>
        </w:rPr>
        <w:tab/>
        <w:t>5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二、收入决算情况说明</w:t>
      </w:r>
      <w:r>
        <w:rPr>
          <w:sz w:val="24"/>
        </w:rPr>
        <w:tab/>
      </w:r>
      <w:r w:rsidR="00F93DAA">
        <w:rPr>
          <w:sz w:val="24"/>
        </w:rPr>
        <w:t>5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三、支出决算情况说明</w:t>
      </w:r>
      <w:r>
        <w:rPr>
          <w:sz w:val="24"/>
        </w:rPr>
        <w:tab/>
        <w:t>6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四、财政拨款收入支出决算总体情况说明</w:t>
      </w:r>
      <w:r>
        <w:rPr>
          <w:sz w:val="24"/>
        </w:rPr>
        <w:tab/>
        <w:t>7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五、一般公共预算财政拨款支出决算情况说明</w:t>
      </w:r>
      <w:r>
        <w:rPr>
          <w:sz w:val="24"/>
        </w:rPr>
        <w:tab/>
        <w:t>7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六、一般公共预算财政拨款基本支出决算情况说明</w:t>
      </w:r>
      <w:r>
        <w:rPr>
          <w:sz w:val="24"/>
        </w:rPr>
        <w:tab/>
        <w:t>9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七、</w:t>
      </w:r>
      <w:r>
        <w:rPr>
          <w:sz w:val="24"/>
        </w:rPr>
        <w:t>“</w:t>
      </w:r>
      <w:r>
        <w:rPr>
          <w:rFonts w:hint="eastAsia"/>
          <w:sz w:val="24"/>
        </w:rPr>
        <w:t>三公”经费财政拨款支出决算情况说明</w:t>
      </w:r>
      <w:r>
        <w:rPr>
          <w:sz w:val="24"/>
        </w:rPr>
        <w:tab/>
        <w:t>10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八、政府性基金预算支出决算情况说明</w:t>
      </w:r>
      <w:r>
        <w:rPr>
          <w:sz w:val="24"/>
        </w:rPr>
        <w:tab/>
        <w:t>12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ind w:leftChars="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九、</w:t>
      </w:r>
      <w:r>
        <w:rPr>
          <w:rFonts w:hint="eastAsia"/>
          <w:sz w:val="24"/>
        </w:rPr>
        <w:t>国有资本经营预算支出决算情况说明</w:t>
      </w:r>
      <w:r>
        <w:rPr>
          <w:sz w:val="24"/>
        </w:rPr>
        <w:tab/>
        <w:t>12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ind w:leftChars="0"/>
        <w:jc w:val="left"/>
        <w:rPr>
          <w:rFonts w:ascii="仿宋" w:eastAsia="仿宋" w:hAnsi="仿宋"/>
          <w:sz w:val="24"/>
        </w:rPr>
      </w:pPr>
      <w:r w:rsidRPr="00811A77">
        <w:rPr>
          <w:rStyle w:val="aa"/>
          <w:rFonts w:ascii="仿宋" w:eastAsia="仿宋" w:hAnsi="仿宋" w:hint="eastAsia"/>
          <w:color w:val="auto"/>
          <w:sz w:val="24"/>
          <w:u w:val="none"/>
        </w:rPr>
        <w:t>十、</w:t>
      </w:r>
      <w:r>
        <w:rPr>
          <w:rFonts w:hint="eastAsia"/>
          <w:sz w:val="24"/>
        </w:rPr>
        <w:t>其他重要事项的情况说明</w:t>
      </w:r>
      <w:r>
        <w:rPr>
          <w:sz w:val="24"/>
        </w:rPr>
        <w:tab/>
        <w:t>12</w:t>
      </w:r>
    </w:p>
    <w:p w:rsidR="00813244" w:rsidRDefault="00813244" w:rsidP="00813244">
      <w:pPr>
        <w:pStyle w:val="10"/>
        <w:adjustRightInd w:val="0"/>
        <w:snapToGrid w:val="0"/>
        <w:spacing w:before="0" w:line="440" w:lineRule="exact"/>
        <w:jc w:val="left"/>
        <w:rPr>
          <w:sz w:val="24"/>
          <w:szCs w:val="24"/>
        </w:rPr>
      </w:pPr>
      <w:r>
        <w:rPr>
          <w:rFonts w:hint="eastAsia"/>
          <w:sz w:val="24"/>
        </w:rPr>
        <w:t>第三部分名词解释</w:t>
      </w:r>
      <w:r>
        <w:rPr>
          <w:sz w:val="24"/>
        </w:rPr>
        <w:tab/>
        <w:t>16</w:t>
      </w:r>
    </w:p>
    <w:p w:rsidR="00813244" w:rsidRDefault="00813244" w:rsidP="00813244">
      <w:pPr>
        <w:pStyle w:val="10"/>
        <w:adjustRightInd w:val="0"/>
        <w:snapToGrid w:val="0"/>
        <w:spacing w:before="0" w:line="440" w:lineRule="exact"/>
        <w:jc w:val="left"/>
        <w:rPr>
          <w:sz w:val="24"/>
          <w:szCs w:val="24"/>
        </w:rPr>
      </w:pPr>
      <w:r>
        <w:rPr>
          <w:rFonts w:hint="eastAsia"/>
          <w:sz w:val="24"/>
        </w:rPr>
        <w:t>第四部分附件</w:t>
      </w:r>
      <w:r>
        <w:rPr>
          <w:sz w:val="24"/>
        </w:rPr>
        <w:tab/>
        <w:t>1</w:t>
      </w:r>
      <w:r w:rsidR="00F93DAA">
        <w:rPr>
          <w:sz w:val="24"/>
        </w:rPr>
        <w:t>8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sz w:val="24"/>
        </w:rPr>
        <w:tab/>
        <w:t>1</w:t>
      </w:r>
      <w:r w:rsidR="00F93DAA">
        <w:rPr>
          <w:sz w:val="24"/>
        </w:rPr>
        <w:t>8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  <w:r>
        <w:rPr>
          <w:sz w:val="24"/>
        </w:rPr>
        <w:tab/>
        <w:t>2</w:t>
      </w:r>
      <w:r w:rsidR="00F93DAA">
        <w:rPr>
          <w:sz w:val="24"/>
        </w:rPr>
        <w:t>4</w:t>
      </w:r>
    </w:p>
    <w:p w:rsidR="00813244" w:rsidRDefault="00813244" w:rsidP="00813244">
      <w:pPr>
        <w:pStyle w:val="10"/>
        <w:adjustRightInd w:val="0"/>
        <w:snapToGrid w:val="0"/>
        <w:spacing w:before="0" w:line="440" w:lineRule="exact"/>
        <w:jc w:val="left"/>
        <w:rPr>
          <w:sz w:val="24"/>
          <w:szCs w:val="24"/>
        </w:rPr>
      </w:pPr>
      <w:r>
        <w:rPr>
          <w:rFonts w:hint="eastAsia"/>
          <w:sz w:val="24"/>
        </w:rPr>
        <w:t>第五部分附表</w:t>
      </w:r>
      <w:r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Default="00813244" w:rsidP="00813244">
      <w:pPr>
        <w:pStyle w:val="20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一、</w:t>
      </w:r>
      <w:r>
        <w:rPr>
          <w:rFonts w:hint="eastAsia"/>
          <w:sz w:val="24"/>
        </w:rPr>
        <w:t>收入支出决算总表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二、</w:t>
      </w:r>
      <w:r>
        <w:rPr>
          <w:rFonts w:hint="eastAsia"/>
          <w:sz w:val="24"/>
        </w:rPr>
        <w:t>收入</w:t>
      </w:r>
      <w:r w:rsidRPr="00F93DAA">
        <w:rPr>
          <w:rFonts w:hint="eastAsia"/>
          <w:sz w:val="24"/>
        </w:rPr>
        <w:t>决算</w:t>
      </w:r>
      <w:r>
        <w:rPr>
          <w:rFonts w:hint="eastAsia"/>
          <w:sz w:val="24"/>
        </w:rPr>
        <w:t>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r w:rsidRPr="00F93DAA">
        <w:rPr>
          <w:rFonts w:hint="eastAsia"/>
          <w:sz w:val="24"/>
        </w:rPr>
        <w:t>三、</w:t>
      </w:r>
      <w:r>
        <w:rPr>
          <w:rFonts w:hint="eastAsia"/>
          <w:sz w:val="24"/>
        </w:rPr>
        <w:t>支出</w:t>
      </w:r>
      <w:r w:rsidRPr="00F93DAA">
        <w:rPr>
          <w:rFonts w:hint="eastAsia"/>
          <w:sz w:val="24"/>
        </w:rPr>
        <w:t>决算</w:t>
      </w:r>
      <w:r>
        <w:rPr>
          <w:rFonts w:hint="eastAsia"/>
          <w:sz w:val="24"/>
        </w:rPr>
        <w:t>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r w:rsidRPr="00F93DAA">
        <w:rPr>
          <w:rFonts w:hint="eastAsia"/>
          <w:sz w:val="24"/>
        </w:rPr>
        <w:t>四、</w:t>
      </w:r>
      <w:r>
        <w:rPr>
          <w:rFonts w:hint="eastAsia"/>
          <w:sz w:val="24"/>
        </w:rPr>
        <w:t>财政拨款收入支出决算总表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r w:rsidRPr="00F93DAA">
        <w:rPr>
          <w:rFonts w:hint="eastAsia"/>
          <w:sz w:val="24"/>
        </w:rPr>
        <w:t>五、财政拨款支出决算明细表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r w:rsidRPr="00F93DAA">
        <w:rPr>
          <w:rFonts w:hint="eastAsia"/>
          <w:sz w:val="24"/>
        </w:rPr>
        <w:t>六、</w:t>
      </w:r>
      <w:r>
        <w:rPr>
          <w:rFonts w:hint="eastAsia"/>
          <w:sz w:val="24"/>
        </w:rPr>
        <w:t>一般公共预算财政拨款支出决算表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r w:rsidRPr="00F93DAA">
        <w:rPr>
          <w:rFonts w:hint="eastAsia"/>
          <w:sz w:val="24"/>
        </w:rPr>
        <w:t>七、</w:t>
      </w:r>
      <w:r>
        <w:rPr>
          <w:rFonts w:hint="eastAsia"/>
          <w:sz w:val="24"/>
        </w:rPr>
        <w:t>一般公共预算财政拨款支出决算明细表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bookmarkStart w:id="7" w:name="_Hlk84692654"/>
      <w:bookmarkEnd w:id="6"/>
      <w:r w:rsidRPr="00F93DAA">
        <w:rPr>
          <w:rFonts w:hint="eastAsia"/>
          <w:sz w:val="24"/>
        </w:rPr>
        <w:lastRenderedPageBreak/>
        <w:t>八、</w:t>
      </w:r>
      <w:r>
        <w:rPr>
          <w:rFonts w:hint="eastAsia"/>
          <w:sz w:val="24"/>
        </w:rPr>
        <w:t>一般公共预算财政拨款基本支出决算表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r w:rsidRPr="00F93DAA">
        <w:rPr>
          <w:rFonts w:hint="eastAsia"/>
          <w:sz w:val="24"/>
        </w:rPr>
        <w:t>九、</w:t>
      </w:r>
      <w:r>
        <w:rPr>
          <w:rFonts w:hint="eastAsia"/>
          <w:sz w:val="24"/>
        </w:rPr>
        <w:t>一般公共预算财政拨款项目支出决算表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r w:rsidRPr="00F93DAA">
        <w:rPr>
          <w:rFonts w:hint="eastAsia"/>
          <w:sz w:val="24"/>
        </w:rPr>
        <w:t>十、</w:t>
      </w:r>
      <w:r>
        <w:rPr>
          <w:rFonts w:hint="eastAsia"/>
          <w:sz w:val="24"/>
        </w:rPr>
        <w:t>一般公共预算财政拨款“三公”经费支出决算表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r w:rsidRPr="00F93DAA">
        <w:rPr>
          <w:rFonts w:hint="eastAsia"/>
          <w:sz w:val="24"/>
        </w:rPr>
        <w:t>十一、</w:t>
      </w:r>
      <w:r>
        <w:rPr>
          <w:rFonts w:hint="eastAsia"/>
          <w:sz w:val="24"/>
        </w:rPr>
        <w:t>政府性基金预算财政拨款收入支出决算表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r w:rsidRPr="00F93DAA">
        <w:rPr>
          <w:rFonts w:hint="eastAsia"/>
          <w:sz w:val="24"/>
        </w:rPr>
        <w:t>十二、</w:t>
      </w:r>
      <w:r>
        <w:rPr>
          <w:rFonts w:hint="eastAsia"/>
          <w:sz w:val="24"/>
        </w:rPr>
        <w:t>政府性基金预算财政拨款“三公”经费支出决算表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r w:rsidRPr="00F93DAA">
        <w:rPr>
          <w:rFonts w:hint="eastAsia"/>
          <w:sz w:val="24"/>
        </w:rPr>
        <w:t>十三、国有资本经营预算财政拨款收入支出决算表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p w:rsidR="00813244" w:rsidRPr="00F93DAA" w:rsidRDefault="00813244" w:rsidP="00813244">
      <w:pPr>
        <w:pStyle w:val="20"/>
        <w:adjustRightInd w:val="0"/>
        <w:snapToGrid w:val="0"/>
        <w:spacing w:line="440" w:lineRule="exact"/>
        <w:jc w:val="left"/>
        <w:rPr>
          <w:sz w:val="24"/>
        </w:rPr>
      </w:pPr>
      <w:r w:rsidRPr="00F93DAA">
        <w:rPr>
          <w:rFonts w:hint="eastAsia"/>
          <w:sz w:val="24"/>
        </w:rPr>
        <w:t>十四、国有资本经营预算财政拨款支出决算表</w:t>
      </w:r>
      <w:r w:rsidR="00811A77">
        <w:rPr>
          <w:sz w:val="24"/>
        </w:rPr>
        <w:tab/>
        <w:t>2</w:t>
      </w:r>
      <w:r w:rsidR="00937BB7">
        <w:rPr>
          <w:rFonts w:hint="eastAsia"/>
          <w:sz w:val="24"/>
        </w:rPr>
        <w:t>5</w:t>
      </w:r>
    </w:p>
    <w:bookmarkEnd w:id="7"/>
    <w:p w:rsidR="00813244" w:rsidRPr="00F93DAA" w:rsidRDefault="00813244" w:rsidP="00813244">
      <w:pPr>
        <w:widowControl/>
        <w:spacing w:line="440" w:lineRule="exact"/>
        <w:jc w:val="left"/>
        <w:rPr>
          <w:sz w:val="24"/>
        </w:rPr>
      </w:pPr>
    </w:p>
    <w:p w:rsidR="00813244" w:rsidRPr="00F93DAA" w:rsidRDefault="00813244" w:rsidP="00813244">
      <w:pPr>
        <w:widowControl/>
        <w:spacing w:line="440" w:lineRule="exact"/>
        <w:jc w:val="left"/>
        <w:rPr>
          <w:sz w:val="24"/>
        </w:rPr>
      </w:pPr>
    </w:p>
    <w:p w:rsidR="00813244" w:rsidRPr="00F93DAA" w:rsidRDefault="00813244" w:rsidP="00813244">
      <w:pPr>
        <w:widowControl/>
        <w:spacing w:line="440" w:lineRule="exact"/>
        <w:jc w:val="left"/>
        <w:rPr>
          <w:sz w:val="24"/>
        </w:rPr>
      </w:pPr>
    </w:p>
    <w:p w:rsidR="00813244" w:rsidRPr="00F93DAA" w:rsidRDefault="00813244" w:rsidP="00813244">
      <w:pPr>
        <w:widowControl/>
        <w:spacing w:line="440" w:lineRule="exact"/>
        <w:jc w:val="left"/>
        <w:rPr>
          <w:sz w:val="24"/>
        </w:rPr>
      </w:pPr>
    </w:p>
    <w:p w:rsidR="00813244" w:rsidRPr="00F93DAA" w:rsidRDefault="00813244" w:rsidP="00813244">
      <w:pPr>
        <w:widowControl/>
        <w:spacing w:line="440" w:lineRule="exact"/>
        <w:jc w:val="left"/>
        <w:rPr>
          <w:sz w:val="24"/>
        </w:rPr>
      </w:pPr>
    </w:p>
    <w:p w:rsidR="00813244" w:rsidRPr="00F93DAA" w:rsidRDefault="00813244" w:rsidP="00813244">
      <w:pPr>
        <w:widowControl/>
        <w:spacing w:line="440" w:lineRule="exact"/>
        <w:jc w:val="left"/>
        <w:rPr>
          <w:sz w:val="24"/>
        </w:rPr>
      </w:pPr>
    </w:p>
    <w:p w:rsidR="00813244" w:rsidRPr="00F93DAA" w:rsidRDefault="00813244" w:rsidP="00813244">
      <w:pPr>
        <w:widowControl/>
        <w:spacing w:line="440" w:lineRule="exact"/>
        <w:jc w:val="left"/>
        <w:rPr>
          <w:sz w:val="24"/>
        </w:rPr>
      </w:pPr>
    </w:p>
    <w:p w:rsidR="00813244" w:rsidRPr="00F93DAA" w:rsidRDefault="00813244" w:rsidP="00813244">
      <w:pPr>
        <w:widowControl/>
        <w:spacing w:line="440" w:lineRule="exact"/>
        <w:jc w:val="left"/>
        <w:rPr>
          <w:sz w:val="24"/>
        </w:rPr>
      </w:pPr>
    </w:p>
    <w:p w:rsidR="00813244" w:rsidRPr="00F93DAA" w:rsidRDefault="00813244" w:rsidP="00813244">
      <w:pPr>
        <w:widowControl/>
        <w:spacing w:line="440" w:lineRule="exact"/>
        <w:jc w:val="left"/>
        <w:rPr>
          <w:sz w:val="24"/>
        </w:rPr>
      </w:pPr>
    </w:p>
    <w:p w:rsidR="00813244" w:rsidRPr="00F93DAA" w:rsidRDefault="00813244" w:rsidP="00813244">
      <w:pPr>
        <w:widowControl/>
        <w:spacing w:line="440" w:lineRule="exact"/>
        <w:jc w:val="left"/>
        <w:rPr>
          <w:sz w:val="24"/>
        </w:rPr>
      </w:pPr>
    </w:p>
    <w:p w:rsidR="00813244" w:rsidRPr="00F93DAA" w:rsidRDefault="00813244" w:rsidP="00813244">
      <w:pPr>
        <w:widowControl/>
        <w:spacing w:line="440" w:lineRule="exact"/>
        <w:jc w:val="left"/>
        <w:rPr>
          <w:sz w:val="24"/>
        </w:rPr>
      </w:pPr>
    </w:p>
    <w:p w:rsidR="00813244" w:rsidRDefault="00813244" w:rsidP="00813244">
      <w:pPr>
        <w:widowControl/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813244" w:rsidRDefault="00813244" w:rsidP="00813244">
      <w:pPr>
        <w:widowControl/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813244" w:rsidRDefault="00813244" w:rsidP="00813244">
      <w:pPr>
        <w:widowControl/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813244" w:rsidRDefault="00813244" w:rsidP="00813244">
      <w:pPr>
        <w:widowControl/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813244" w:rsidRDefault="00813244" w:rsidP="00813244">
      <w:pPr>
        <w:widowControl/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813244" w:rsidRDefault="00813244" w:rsidP="00813244">
      <w:pPr>
        <w:widowControl/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813244" w:rsidRDefault="00813244" w:rsidP="00813244">
      <w:pPr>
        <w:widowControl/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813244" w:rsidRDefault="00813244" w:rsidP="00813244">
      <w:pPr>
        <w:widowControl/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813244" w:rsidRDefault="00813244" w:rsidP="00813244">
      <w:pPr>
        <w:widowControl/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813244" w:rsidRDefault="00813244" w:rsidP="00813244">
      <w:pPr>
        <w:widowControl/>
        <w:spacing w:line="440" w:lineRule="exact"/>
        <w:jc w:val="left"/>
        <w:rPr>
          <w:rFonts w:ascii="仿宋" w:eastAsia="仿宋" w:hAnsi="仿宋"/>
          <w:bCs/>
          <w:kern w:val="44"/>
          <w:sz w:val="24"/>
        </w:rPr>
      </w:pPr>
    </w:p>
    <w:p w:rsidR="00176DE7" w:rsidRDefault="00D42919">
      <w:pPr>
        <w:pStyle w:val="1"/>
        <w:jc w:val="center"/>
        <w:rPr>
          <w:rFonts w:ascii="黑体" w:eastAsia="黑体"/>
          <w:color w:val="000000"/>
          <w:sz w:val="32"/>
          <w:szCs w:val="32"/>
        </w:rPr>
      </w:pPr>
      <w:bookmarkStart w:id="8" w:name="_Toc15396599"/>
      <w:bookmarkStart w:id="9" w:name="_Toc15377196"/>
      <w:bookmarkEnd w:id="0"/>
      <w:bookmarkEnd w:id="1"/>
      <w:bookmarkEnd w:id="2"/>
      <w:bookmarkEnd w:id="3"/>
      <w:bookmarkEnd w:id="4"/>
      <w:bookmarkEnd w:id="5"/>
      <w:r>
        <w:rPr>
          <w:rFonts w:ascii="黑体" w:eastAsia="黑体" w:hAnsi="黑体" w:hint="eastAsia"/>
          <w:b w:val="0"/>
        </w:rPr>
        <w:lastRenderedPageBreak/>
        <w:t xml:space="preserve">第一部分 </w:t>
      </w:r>
      <w:r>
        <w:rPr>
          <w:rStyle w:val="1Char"/>
          <w:rFonts w:ascii="黑体" w:eastAsia="黑体" w:hAnsi="黑体" w:hint="eastAsia"/>
        </w:rPr>
        <w:t>部门概况</w:t>
      </w:r>
      <w:bookmarkEnd w:id="8"/>
      <w:bookmarkEnd w:id="9"/>
    </w:p>
    <w:p w:rsidR="00176DE7" w:rsidRDefault="00D42919">
      <w:pPr>
        <w:pStyle w:val="2"/>
        <w:spacing w:before="0" w:after="0" w:line="578" w:lineRule="exact"/>
        <w:rPr>
          <w:rStyle w:val="2Char"/>
          <w:rFonts w:ascii="仿宋" w:eastAsia="仿宋" w:hAnsi="仿宋"/>
        </w:rPr>
      </w:pPr>
      <w:bookmarkStart w:id="10" w:name="_Toc15396600"/>
      <w:bookmarkStart w:id="11" w:name="_Toc15377197"/>
      <w:r>
        <w:rPr>
          <w:rFonts w:ascii="黑体" w:eastAsia="黑体" w:hAnsi="黑体" w:hint="eastAsia"/>
          <w:b w:val="0"/>
          <w:color w:val="000000"/>
        </w:rPr>
        <w:t>一、基</w:t>
      </w:r>
      <w:r>
        <w:rPr>
          <w:rStyle w:val="2Char"/>
          <w:rFonts w:ascii="黑体" w:eastAsia="黑体" w:hAnsi="黑体" w:hint="eastAsia"/>
        </w:rPr>
        <w:t>本职能及主要工作</w:t>
      </w:r>
      <w:bookmarkEnd w:id="10"/>
      <w:bookmarkEnd w:id="11"/>
    </w:p>
    <w:p w:rsidR="00176DE7" w:rsidRDefault="00D42919">
      <w:pPr>
        <w:pStyle w:val="a4"/>
        <w:adjustRightInd w:val="0"/>
        <w:snapToGrid w:val="0"/>
        <w:spacing w:beforeLines="0" w:line="578" w:lineRule="exact"/>
        <w:ind w:firstLineChars="210" w:firstLine="672"/>
        <w:outlineLvl w:val="2"/>
        <w:rPr>
          <w:rFonts w:hAnsi="仿宋"/>
          <w:bCs/>
          <w:color w:val="000000"/>
          <w:sz w:val="32"/>
          <w:szCs w:val="32"/>
        </w:rPr>
      </w:pPr>
      <w:bookmarkStart w:id="12" w:name="_Toc15377198"/>
      <w:bookmarkStart w:id="13" w:name="_Toc15378445"/>
      <w:r>
        <w:rPr>
          <w:rFonts w:hAnsi="仿宋" w:hint="eastAsia"/>
          <w:bCs/>
          <w:color w:val="000000"/>
          <w:sz w:val="32"/>
          <w:szCs w:val="32"/>
        </w:rPr>
        <w:t>（一）主要职能。</w:t>
      </w:r>
    </w:p>
    <w:p w:rsidR="00176DE7" w:rsidRDefault="00D42919">
      <w:pPr>
        <w:pStyle w:val="a4"/>
        <w:adjustRightInd w:val="0"/>
        <w:snapToGrid w:val="0"/>
        <w:spacing w:before="93" w:line="560" w:lineRule="exact"/>
        <w:ind w:firstLineChars="210" w:firstLine="672"/>
        <w:rPr>
          <w:rFonts w:hAnsi="仿宋"/>
          <w:sz w:val="32"/>
          <w:szCs w:val="32"/>
        </w:rPr>
      </w:pPr>
      <w:r>
        <w:rPr>
          <w:rFonts w:hAnsi="仿宋" w:hint="eastAsia"/>
          <w:sz w:val="32"/>
          <w:szCs w:val="32"/>
        </w:rPr>
        <w:t>宣传贯彻执行党和国家的教育方针、教育政策、教育法律和教育法规，贯彻执行上级教育行政部门的行政规章。根据县委、县政府制定的教育事业发展规划，结合实际制定并组织实施本校的教育事业发展规划。在县委、县政府的领导下实施义务教育，扫除新文盲，巩固提高教育成果。按照上级有关部门的规定，负责对学校教育的财务和基建进行管理。按照义务教育课程计划和学历教育要求开齐课程开足课时，认真实施教育教学管理，全面推进素质教育，全面提高教育教学质量。</w:t>
      </w:r>
    </w:p>
    <w:p w:rsidR="00176DE7" w:rsidRDefault="00D42919">
      <w:pPr>
        <w:pStyle w:val="a4"/>
        <w:adjustRightInd w:val="0"/>
        <w:snapToGrid w:val="0"/>
        <w:spacing w:beforeLines="0" w:line="578" w:lineRule="exact"/>
        <w:ind w:firstLineChars="210" w:firstLine="672"/>
        <w:outlineLvl w:val="2"/>
        <w:rPr>
          <w:rFonts w:hAnsi="仿宋"/>
          <w:bCs/>
          <w:color w:val="000000"/>
          <w:sz w:val="32"/>
          <w:szCs w:val="32"/>
        </w:rPr>
      </w:pPr>
      <w:bookmarkStart w:id="14" w:name="_Toc15377199"/>
      <w:bookmarkStart w:id="15" w:name="_Toc15378446"/>
      <w:bookmarkEnd w:id="12"/>
      <w:bookmarkEnd w:id="13"/>
      <w:r>
        <w:rPr>
          <w:rFonts w:hAnsi="仿宋" w:hint="eastAsia"/>
          <w:bCs/>
          <w:color w:val="000000"/>
          <w:sz w:val="32"/>
          <w:szCs w:val="32"/>
        </w:rPr>
        <w:t>（二）20</w:t>
      </w:r>
      <w:r w:rsidR="0010595E">
        <w:rPr>
          <w:rFonts w:hAnsi="仿宋" w:hint="eastAsia"/>
          <w:bCs/>
          <w:color w:val="000000"/>
          <w:sz w:val="32"/>
          <w:szCs w:val="32"/>
        </w:rPr>
        <w:t>20</w:t>
      </w:r>
      <w:r>
        <w:rPr>
          <w:rFonts w:hAnsi="仿宋" w:hint="eastAsia"/>
          <w:bCs/>
          <w:color w:val="000000"/>
          <w:sz w:val="32"/>
          <w:szCs w:val="32"/>
        </w:rPr>
        <w:t>年重点工作完成情况。</w:t>
      </w:r>
      <w:bookmarkEnd w:id="14"/>
      <w:bookmarkEnd w:id="15"/>
    </w:p>
    <w:p w:rsidR="00176DE7" w:rsidRDefault="00D42919">
      <w:pPr>
        <w:pStyle w:val="a4"/>
        <w:adjustRightInd w:val="0"/>
        <w:snapToGrid w:val="0"/>
        <w:spacing w:before="93" w:line="600" w:lineRule="exact"/>
        <w:ind w:firstLineChars="210" w:firstLine="672"/>
        <w:rPr>
          <w:rFonts w:hAnsi="仿宋"/>
          <w:bCs/>
          <w:sz w:val="32"/>
          <w:szCs w:val="32"/>
        </w:rPr>
      </w:pPr>
      <w:r>
        <w:rPr>
          <w:rFonts w:hAnsi="仿宋" w:hint="eastAsia"/>
          <w:sz w:val="32"/>
          <w:szCs w:val="32"/>
        </w:rPr>
        <w:t>主要工作：使我校义务教育和学历教育健康有序开展，使全校教育教学质量进一步提高。同时要在县委、县政府和教育主管部门以及财政部门的领导下，为师生的学习和工作创造更优美和谐的环境。</w:t>
      </w:r>
    </w:p>
    <w:p w:rsidR="00176DE7" w:rsidRDefault="00D42919">
      <w:pPr>
        <w:pStyle w:val="2"/>
        <w:spacing w:before="0" w:after="0" w:line="578" w:lineRule="exact"/>
        <w:rPr>
          <w:rStyle w:val="2Char"/>
        </w:rPr>
      </w:pPr>
      <w:bookmarkStart w:id="16" w:name="_Toc15396601"/>
      <w:bookmarkStart w:id="17" w:name="_Toc15377200"/>
      <w:r>
        <w:rPr>
          <w:rFonts w:ascii="黑体" w:eastAsia="黑体" w:hint="eastAsia"/>
          <w:b w:val="0"/>
          <w:color w:val="000000"/>
        </w:rPr>
        <w:t>二、</w:t>
      </w:r>
      <w:r>
        <w:rPr>
          <w:rFonts w:ascii="黑体" w:eastAsia="黑体" w:hAnsi="黑体" w:hint="eastAsia"/>
          <w:b w:val="0"/>
          <w:color w:val="000000"/>
        </w:rPr>
        <w:t>机</w:t>
      </w:r>
      <w:r>
        <w:rPr>
          <w:rStyle w:val="2Char"/>
          <w:rFonts w:ascii="黑体" w:eastAsia="黑体" w:hAnsi="黑体" w:hint="eastAsia"/>
        </w:rPr>
        <w:t>构设置</w:t>
      </w:r>
      <w:bookmarkEnd w:id="16"/>
      <w:bookmarkEnd w:id="17"/>
    </w:p>
    <w:p w:rsidR="00176DE7" w:rsidRDefault="00D42919">
      <w:pPr>
        <w:spacing w:line="578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大竹县高明镇第二中心小学下属二级单位0个，其中行政单位0个，参照公务员法管理的事业单位</w:t>
      </w:r>
      <w:r>
        <w:rPr>
          <w:rFonts w:ascii="仿宋_GB2312" w:eastAsia="仿宋_GB2312" w:hAnsi="仿宋" w:hint="eastAsia"/>
          <w:bCs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个，其他事业单位0个。</w:t>
      </w:r>
    </w:p>
    <w:p w:rsidR="00176DE7" w:rsidRPr="005327BB" w:rsidRDefault="00D42919" w:rsidP="005327BB">
      <w:pPr>
        <w:pStyle w:val="a4"/>
        <w:adjustRightInd w:val="0"/>
        <w:snapToGrid w:val="0"/>
        <w:spacing w:beforeLines="0" w:line="578" w:lineRule="exact"/>
        <w:ind w:firstLineChars="210" w:firstLine="672"/>
        <w:rPr>
          <w:rFonts w:hAnsi="仿宋"/>
          <w:color w:val="000000"/>
          <w:sz w:val="32"/>
          <w:szCs w:val="32"/>
        </w:rPr>
      </w:pPr>
      <w:r>
        <w:rPr>
          <w:rFonts w:hAnsi="仿宋" w:hint="eastAsia"/>
          <w:color w:val="000000"/>
          <w:sz w:val="32"/>
          <w:szCs w:val="32"/>
        </w:rPr>
        <w:t>纳入</w:t>
      </w:r>
      <w:r>
        <w:rPr>
          <w:rFonts w:hAnsi="仿宋" w:hint="eastAsia"/>
          <w:sz w:val="32"/>
          <w:szCs w:val="32"/>
        </w:rPr>
        <w:t>大竹县高明镇第二中心小学</w:t>
      </w:r>
      <w:r>
        <w:rPr>
          <w:rFonts w:hAnsi="仿宋" w:hint="eastAsia"/>
          <w:color w:val="000000"/>
          <w:sz w:val="32"/>
          <w:szCs w:val="32"/>
        </w:rPr>
        <w:t>20</w:t>
      </w:r>
      <w:r w:rsidR="0010595E">
        <w:rPr>
          <w:rFonts w:hAnsi="仿宋" w:hint="eastAsia"/>
          <w:color w:val="000000"/>
          <w:sz w:val="32"/>
          <w:szCs w:val="32"/>
        </w:rPr>
        <w:t>20</w:t>
      </w:r>
      <w:r>
        <w:rPr>
          <w:rFonts w:hAnsi="仿宋" w:hint="eastAsia"/>
          <w:color w:val="000000"/>
          <w:sz w:val="32"/>
          <w:szCs w:val="32"/>
        </w:rPr>
        <w:t>年度部门决算编制范围的二级预算单位无。</w:t>
      </w:r>
    </w:p>
    <w:p w:rsidR="00176DE7" w:rsidRPr="005327BB" w:rsidRDefault="00D42919" w:rsidP="005327BB">
      <w:pPr>
        <w:pStyle w:val="1"/>
        <w:ind w:right="440"/>
        <w:jc w:val="right"/>
        <w:rPr>
          <w:rFonts w:ascii="黑体" w:eastAsia="黑体" w:hAnsi="黑体"/>
          <w:b w:val="0"/>
          <w:bCs w:val="0"/>
        </w:rPr>
      </w:pPr>
      <w:bookmarkStart w:id="18" w:name="_Toc15377204"/>
      <w:bookmarkStart w:id="19" w:name="_Toc15396602"/>
      <w:r>
        <w:rPr>
          <w:rFonts w:ascii="黑体" w:eastAsia="黑体" w:hAnsi="黑体" w:hint="eastAsia"/>
          <w:b w:val="0"/>
          <w:color w:val="000000"/>
        </w:rPr>
        <w:lastRenderedPageBreak/>
        <w:t>第二部分</w:t>
      </w:r>
      <w:r>
        <w:rPr>
          <w:rStyle w:val="1Char"/>
          <w:rFonts w:ascii="黑体" w:eastAsia="黑体" w:hAnsi="黑体" w:hint="eastAsia"/>
        </w:rPr>
        <w:t>20</w:t>
      </w:r>
      <w:r w:rsidR="0010595E">
        <w:rPr>
          <w:rStyle w:val="1Char"/>
          <w:rFonts w:ascii="黑体" w:eastAsia="黑体" w:hAnsi="黑体" w:hint="eastAsia"/>
        </w:rPr>
        <w:t>20</w:t>
      </w:r>
      <w:r>
        <w:rPr>
          <w:rStyle w:val="1Char"/>
          <w:rFonts w:ascii="黑体" w:eastAsia="黑体" w:hAnsi="黑体" w:hint="eastAsia"/>
        </w:rPr>
        <w:t>年度部门决算情况说明</w:t>
      </w:r>
      <w:bookmarkEnd w:id="18"/>
      <w:bookmarkEnd w:id="19"/>
    </w:p>
    <w:p w:rsidR="00176DE7" w:rsidRDefault="00D42919">
      <w:pPr>
        <w:pStyle w:val="11"/>
        <w:numPr>
          <w:ilvl w:val="0"/>
          <w:numId w:val="1"/>
        </w:numPr>
        <w:spacing w:line="578" w:lineRule="exact"/>
        <w:ind w:firstLineChars="0"/>
        <w:outlineLvl w:val="1"/>
        <w:rPr>
          <w:rStyle w:val="2Char"/>
          <w:rFonts w:ascii="黑体" w:eastAsia="黑体" w:hAnsi="黑体"/>
          <w:b w:val="0"/>
        </w:rPr>
      </w:pPr>
      <w:bookmarkStart w:id="20" w:name="_Toc15396603"/>
      <w:bookmarkStart w:id="21" w:name="_Toc15377205"/>
      <w:r>
        <w:rPr>
          <w:rFonts w:ascii="黑体" w:eastAsia="黑体" w:hAnsi="黑体" w:hint="eastAsia"/>
          <w:color w:val="000000"/>
          <w:sz w:val="32"/>
          <w:szCs w:val="32"/>
        </w:rPr>
        <w:t>收</w:t>
      </w:r>
      <w:r>
        <w:rPr>
          <w:rStyle w:val="2Char"/>
          <w:rFonts w:ascii="黑体" w:eastAsia="黑体" w:hAnsi="黑体" w:hint="eastAsia"/>
          <w:b w:val="0"/>
        </w:rPr>
        <w:t>入支出决算总体情况说明</w:t>
      </w:r>
      <w:bookmarkEnd w:id="20"/>
      <w:bookmarkEnd w:id="21"/>
    </w:p>
    <w:p w:rsidR="00176DE7" w:rsidRDefault="00D42919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F75EE6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年度收、支总计</w:t>
      </w:r>
      <w:bookmarkStart w:id="22" w:name="_Hlk84942170"/>
      <w:r>
        <w:rPr>
          <w:rFonts w:ascii="仿宋_GB2312" w:eastAsia="仿宋_GB2312" w:hAnsi="仿宋_GB2312" w:cs="仿宋_GB2312" w:hint="eastAsia"/>
          <w:sz w:val="32"/>
          <w:szCs w:val="32"/>
        </w:rPr>
        <w:t>各为</w:t>
      </w:r>
      <w:r>
        <w:rPr>
          <w:rFonts w:ascii="仿宋_GB2312" w:eastAsia="仿宋_GB2312" w:hAnsi="仿宋" w:hint="eastAsia"/>
          <w:sz w:val="32"/>
          <w:szCs w:val="32"/>
        </w:rPr>
        <w:t>1</w:t>
      </w:r>
      <w:r w:rsidR="00F75EE6">
        <w:rPr>
          <w:rFonts w:ascii="仿宋_GB2312" w:eastAsia="仿宋_GB2312" w:hAnsi="仿宋" w:hint="eastAsia"/>
          <w:sz w:val="32"/>
          <w:szCs w:val="32"/>
        </w:rPr>
        <w:t>179.09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万元。与201</w:t>
      </w:r>
      <w:r w:rsidR="00F75EE6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年相比，收、支总计各</w:t>
      </w:r>
      <w:r w:rsidR="00F75EE6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="00F75EE6">
        <w:rPr>
          <w:rFonts w:ascii="仿宋_GB2312" w:eastAsia="仿宋_GB2312" w:hAnsi="仿宋" w:hint="eastAsia"/>
          <w:color w:val="000000"/>
          <w:sz w:val="32"/>
          <w:szCs w:val="32"/>
        </w:rPr>
        <w:t>98.18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F75EE6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="00F75EE6">
        <w:rPr>
          <w:rFonts w:ascii="仿宋_GB2312" w:eastAsia="仿宋_GB2312" w:hAnsi="仿宋" w:hint="eastAsia"/>
          <w:color w:val="000000"/>
          <w:sz w:val="32"/>
          <w:szCs w:val="32"/>
        </w:rPr>
        <w:t>7.68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。主要变动原因是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 w:rsidR="00F75EE6"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 w:rsidR="00F75EE6">
        <w:rPr>
          <w:rFonts w:ascii="仿宋_GB2312" w:eastAsia="仿宋_GB2312" w:hAnsi="仿宋" w:hint="eastAsia"/>
          <w:color w:val="000000"/>
          <w:sz w:val="32"/>
          <w:szCs w:val="32"/>
        </w:rPr>
        <w:t>人员调出较多，上级专项经费减少。</w:t>
      </w:r>
    </w:p>
    <w:p w:rsidR="00176DE7" w:rsidRPr="00813244" w:rsidRDefault="00813244" w:rsidP="00813244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499745</wp:posOffset>
            </wp:positionV>
            <wp:extent cx="4870450" cy="2724150"/>
            <wp:effectExtent l="0" t="0" r="6350" b="0"/>
            <wp:wrapTight wrapText="bothSides">
              <wp:wrapPolygon edited="0">
                <wp:start x="0" y="0"/>
                <wp:lineTo x="0" y="21449"/>
                <wp:lineTo x="21544" y="21449"/>
                <wp:lineTo x="21544" y="0"/>
                <wp:lineTo x="0" y="0"/>
              </wp:wrapPolygon>
            </wp:wrapTight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D42919">
        <w:rPr>
          <w:rFonts w:ascii="仿宋_GB2312" w:eastAsia="仿宋_GB2312" w:hAnsi="仿宋_GB2312" w:cs="仿宋_GB2312" w:hint="eastAsia"/>
          <w:sz w:val="32"/>
          <w:szCs w:val="32"/>
        </w:rPr>
        <w:t>（图1：收、支决算总计变动情况图）</w:t>
      </w:r>
    </w:p>
    <w:p w:rsidR="00176DE7" w:rsidRDefault="00D42919">
      <w:pPr>
        <w:pStyle w:val="11"/>
        <w:numPr>
          <w:ilvl w:val="0"/>
          <w:numId w:val="1"/>
        </w:numPr>
        <w:spacing w:line="578" w:lineRule="exact"/>
        <w:ind w:firstLineChars="0"/>
        <w:outlineLvl w:val="1"/>
        <w:rPr>
          <w:rStyle w:val="2Char"/>
          <w:rFonts w:ascii="黑体" w:eastAsia="黑体" w:hAnsi="黑体"/>
          <w:b w:val="0"/>
        </w:rPr>
      </w:pPr>
      <w:bookmarkStart w:id="23" w:name="_Toc15377206"/>
      <w:bookmarkStart w:id="24" w:name="_Toc15396604"/>
      <w:bookmarkEnd w:id="22"/>
      <w:r>
        <w:rPr>
          <w:rFonts w:ascii="黑体" w:eastAsia="黑体" w:hAnsi="黑体" w:hint="eastAsia"/>
          <w:color w:val="000000"/>
          <w:sz w:val="32"/>
          <w:szCs w:val="32"/>
        </w:rPr>
        <w:t>收</w:t>
      </w:r>
      <w:r>
        <w:rPr>
          <w:rStyle w:val="2Char"/>
          <w:rFonts w:ascii="黑体" w:eastAsia="黑体" w:hAnsi="黑体" w:hint="eastAsia"/>
          <w:b w:val="0"/>
        </w:rPr>
        <w:t>入决算情况说明</w:t>
      </w:r>
      <w:bookmarkEnd w:id="23"/>
      <w:bookmarkEnd w:id="24"/>
    </w:p>
    <w:p w:rsidR="00176DE7" w:rsidRDefault="00D42919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25" w:name="_Hlk84943097"/>
      <w:bookmarkStart w:id="26" w:name="_Hlk84942895"/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F75EE6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年本年收入合计</w:t>
      </w:r>
      <w:r w:rsidR="00F75EE6">
        <w:rPr>
          <w:rFonts w:ascii="仿宋_GB2312" w:eastAsia="仿宋_GB2312" w:hAnsi="仿宋_GB2312" w:cs="仿宋_GB2312" w:hint="eastAsia"/>
          <w:sz w:val="32"/>
          <w:szCs w:val="32"/>
        </w:rPr>
        <w:t>683.7</w:t>
      </w:r>
      <w:r w:rsidR="00300749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万元，其中：一般公共预算财政拨款收入</w:t>
      </w:r>
      <w:r w:rsidR="00F75EE6">
        <w:rPr>
          <w:rFonts w:ascii="仿宋_GB2312" w:eastAsia="仿宋_GB2312" w:hAnsi="仿宋_GB2312" w:cs="仿宋_GB2312" w:hint="eastAsia"/>
          <w:sz w:val="32"/>
          <w:szCs w:val="32"/>
        </w:rPr>
        <w:t>675.41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F75EE6">
        <w:rPr>
          <w:rFonts w:ascii="仿宋_GB2312" w:eastAsia="仿宋_GB2312" w:hAnsi="仿宋_GB2312" w:cs="仿宋_GB2312" w:hint="eastAsia"/>
          <w:sz w:val="32"/>
          <w:szCs w:val="32"/>
        </w:rPr>
        <w:t>98.78</w:t>
      </w:r>
      <w:r>
        <w:rPr>
          <w:rFonts w:ascii="仿宋_GB2312" w:eastAsia="仿宋_GB2312" w:hAnsi="仿宋_GB2312" w:cs="仿宋_GB2312" w:hint="eastAsia"/>
          <w:sz w:val="32"/>
          <w:szCs w:val="32"/>
        </w:rPr>
        <w:t>%；政府性基金预算财政拨款收入</w:t>
      </w:r>
      <w:r w:rsidR="00F75EE6">
        <w:rPr>
          <w:rFonts w:ascii="仿宋_GB2312" w:eastAsia="仿宋_GB2312" w:hAnsi="仿宋_GB2312" w:cs="仿宋_GB2312" w:hint="eastAsia"/>
          <w:sz w:val="32"/>
          <w:szCs w:val="32"/>
        </w:rPr>
        <w:t>4.5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F75EE6">
        <w:rPr>
          <w:rFonts w:ascii="仿宋_GB2312" w:eastAsia="仿宋_GB2312" w:hAnsi="仿宋_GB2312" w:cs="仿宋_GB2312" w:hint="eastAsia"/>
          <w:sz w:val="32"/>
          <w:szCs w:val="32"/>
        </w:rPr>
        <w:t>0.66</w:t>
      </w:r>
      <w:r>
        <w:rPr>
          <w:rFonts w:ascii="仿宋_GB2312" w:eastAsia="仿宋_GB2312" w:hAnsi="仿宋_GB2312" w:cs="仿宋_GB2312" w:hint="eastAsia"/>
          <w:sz w:val="32"/>
          <w:szCs w:val="32"/>
        </w:rPr>
        <w:t>%；国有资本经营预算财政拨款收入0万元，占0%；事业收入</w:t>
      </w:r>
      <w:r w:rsidR="00F75EE6">
        <w:rPr>
          <w:rFonts w:ascii="仿宋_GB2312" w:eastAsia="仿宋_GB2312" w:hAnsi="仿宋_GB2312" w:cs="仿宋_GB2312" w:hint="eastAsia"/>
          <w:sz w:val="32"/>
          <w:szCs w:val="32"/>
        </w:rPr>
        <w:t>3.83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万元，占0.</w:t>
      </w:r>
      <w:r w:rsidR="0010595E">
        <w:rPr>
          <w:rFonts w:ascii="仿宋_GB2312" w:eastAsia="仿宋_GB2312" w:hAnsi="仿宋_GB2312" w:cs="仿宋_GB2312" w:hint="eastAsia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sz w:val="32"/>
          <w:szCs w:val="32"/>
        </w:rPr>
        <w:t>%；经营收入0万元，占0%；附属单位上缴收入0万元，占0%；其他收入0万元，占0%。</w:t>
      </w:r>
    </w:p>
    <w:p w:rsidR="00937BB7" w:rsidRDefault="00937BB7" w:rsidP="005327BB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37BB7" w:rsidRDefault="00937BB7" w:rsidP="005327BB">
      <w:pPr>
        <w:spacing w:line="578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76DE7" w:rsidRPr="005327BB" w:rsidRDefault="00D42919" w:rsidP="005327BB">
      <w:pPr>
        <w:spacing w:line="578" w:lineRule="exact"/>
        <w:ind w:firstLineChars="200" w:firstLine="640"/>
        <w:rPr>
          <w:rStyle w:val="2Char"/>
          <w:rFonts w:ascii="仿宋_GB2312" w:eastAsia="仿宋_GB2312" w:hAnsi="仿宋_GB2312" w:cs="仿宋_GB2312"/>
          <w:b w:val="0"/>
          <w:bCs w:val="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（图2：收入决算结构图）</w:t>
      </w:r>
      <w:bookmarkStart w:id="27" w:name="_Toc15396605"/>
      <w:bookmarkStart w:id="28" w:name="_Toc15377207"/>
      <w:bookmarkEnd w:id="25"/>
      <w:r w:rsidR="00937BB7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261620</wp:posOffset>
            </wp:positionV>
            <wp:extent cx="5248275" cy="2609850"/>
            <wp:effectExtent l="19050" t="0" r="9525" b="0"/>
            <wp:wrapSquare wrapText="bothSides"/>
            <wp:docPr id="15" name="图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bookmarkEnd w:id="26"/>
    <w:p w:rsidR="00176DE7" w:rsidRDefault="00D42919">
      <w:pPr>
        <w:pStyle w:val="11"/>
        <w:numPr>
          <w:ilvl w:val="0"/>
          <w:numId w:val="1"/>
        </w:numPr>
        <w:ind w:firstLineChars="0"/>
        <w:outlineLvl w:val="1"/>
        <w:rPr>
          <w:rStyle w:val="2Char"/>
          <w:rFonts w:ascii="黑体" w:eastAsia="黑体" w:hAnsi="黑体"/>
          <w:b w:val="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支</w:t>
      </w:r>
      <w:r>
        <w:rPr>
          <w:rStyle w:val="2Char"/>
          <w:rFonts w:ascii="黑体" w:eastAsia="黑体" w:hAnsi="黑体" w:hint="eastAsia"/>
          <w:b w:val="0"/>
        </w:rPr>
        <w:t>出决算情况说明</w:t>
      </w:r>
      <w:bookmarkEnd w:id="27"/>
      <w:bookmarkEnd w:id="28"/>
    </w:p>
    <w:p w:rsidR="00176DE7" w:rsidRDefault="00D429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29" w:name="_Hlk84943654"/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D24A62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年本年支出合计</w:t>
      </w:r>
      <w:r w:rsidR="00D24A62">
        <w:rPr>
          <w:rFonts w:ascii="仿宋_GB2312" w:eastAsia="仿宋_GB2312" w:hAnsi="仿宋_GB2312" w:cs="仿宋_GB2312" w:hint="eastAsia"/>
          <w:sz w:val="32"/>
          <w:szCs w:val="32"/>
        </w:rPr>
        <w:t>949.82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万元，其中：基本支出</w:t>
      </w:r>
      <w:r w:rsidR="00D24A62">
        <w:rPr>
          <w:rFonts w:ascii="仿宋_GB2312" w:eastAsia="仿宋_GB2312" w:hAnsi="仿宋_GB2312" w:cs="仿宋_GB2312" w:hint="eastAsia"/>
          <w:sz w:val="32"/>
          <w:szCs w:val="32"/>
        </w:rPr>
        <w:t>949.82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D24A62"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%；项目支出</w:t>
      </w:r>
      <w:r w:rsidR="00D24A62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D24A62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%；上缴上级支出0万元，占0%；经营支出0万元，占0%；对附属单位补助支出0万元，占0%。</w:t>
      </w:r>
    </w:p>
    <w:p w:rsidR="00176DE7" w:rsidRDefault="00D429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1553210</wp:posOffset>
            </wp:positionH>
            <wp:positionV relativeFrom="paragraph">
              <wp:posOffset>7744460</wp:posOffset>
            </wp:positionV>
            <wp:extent cx="2741930" cy="1831340"/>
            <wp:effectExtent l="0" t="0" r="0" b="635"/>
            <wp:wrapNone/>
            <wp:docPr id="6" name="对象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（图3：支出决算结构图）</w:t>
      </w:r>
      <w:r>
        <w:rPr>
          <w:rFonts w:ascii="仿宋_GB2312" w:eastAsia="仿宋_GB2312"/>
          <w:noProof/>
          <w:color w:val="FF000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1553210</wp:posOffset>
            </wp:positionH>
            <wp:positionV relativeFrom="paragraph">
              <wp:posOffset>7744460</wp:posOffset>
            </wp:positionV>
            <wp:extent cx="2741930" cy="1831340"/>
            <wp:effectExtent l="0" t="0" r="0" b="635"/>
            <wp:wrapNone/>
            <wp:docPr id="11" name="对象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="仿宋_GB2312" w:eastAsia="仿宋_GB2312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1553210</wp:posOffset>
            </wp:positionH>
            <wp:positionV relativeFrom="paragraph">
              <wp:posOffset>7744460</wp:posOffset>
            </wp:positionV>
            <wp:extent cx="2741930" cy="1831340"/>
            <wp:effectExtent l="0" t="0" r="0" b="635"/>
            <wp:wrapNone/>
            <wp:docPr id="5" name="对象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bookmarkEnd w:id="29"/>
    <w:p w:rsidR="00176DE7" w:rsidRDefault="00BD114A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noProof/>
          <w:color w:val="FF0000"/>
          <w:sz w:val="32"/>
          <w:szCs w:val="32"/>
        </w:rPr>
        <w:drawing>
          <wp:inline distT="0" distB="0" distL="0" distR="0">
            <wp:extent cx="4940300" cy="2952750"/>
            <wp:effectExtent l="19050" t="0" r="12700" b="0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76DE7" w:rsidRDefault="00D42919">
      <w:pPr>
        <w:spacing w:line="578" w:lineRule="exact"/>
        <w:ind w:firstLineChars="200" w:firstLine="640"/>
        <w:outlineLvl w:val="1"/>
        <w:rPr>
          <w:rStyle w:val="2Char"/>
          <w:rFonts w:ascii="黑体" w:eastAsia="黑体" w:hAnsi="黑体"/>
          <w:b w:val="0"/>
        </w:rPr>
      </w:pPr>
      <w:bookmarkStart w:id="30" w:name="_Toc15377208"/>
      <w:bookmarkStart w:id="31" w:name="_Toc15396606"/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四、财</w:t>
      </w:r>
      <w:r>
        <w:rPr>
          <w:rStyle w:val="2Char"/>
          <w:rFonts w:ascii="黑体" w:eastAsia="黑体" w:hAnsi="黑体" w:hint="eastAsia"/>
          <w:b w:val="0"/>
        </w:rPr>
        <w:t>政拨款收入支出决算总体情况说明</w:t>
      </w:r>
      <w:bookmarkEnd w:id="30"/>
      <w:bookmarkEnd w:id="31"/>
    </w:p>
    <w:p w:rsidR="00176DE7" w:rsidRDefault="00D42919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D24A62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年度收、支总计各为</w:t>
      </w:r>
      <w:r w:rsidR="00300749">
        <w:rPr>
          <w:rFonts w:ascii="仿宋_GB2312" w:eastAsia="仿宋_GB2312" w:hAnsi="仿宋_GB2312" w:cs="仿宋_GB2312"/>
          <w:sz w:val="32"/>
          <w:szCs w:val="32"/>
        </w:rPr>
        <w:t>1175.26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万元。与201</w:t>
      </w:r>
      <w:r w:rsidR="00D24A62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年相比，收、支总计</w:t>
      </w:r>
      <w:r w:rsidR="00D24A62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="00337794">
        <w:rPr>
          <w:rFonts w:ascii="仿宋_GB2312" w:eastAsia="仿宋_GB2312" w:hAnsi="仿宋" w:hint="eastAsia"/>
          <w:color w:val="000000"/>
          <w:sz w:val="32"/>
          <w:szCs w:val="32"/>
        </w:rPr>
        <w:t>94.87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D24A62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="00337794">
        <w:rPr>
          <w:rFonts w:ascii="仿宋_GB2312" w:eastAsia="仿宋_GB2312" w:hAnsi="仿宋" w:hint="eastAsia"/>
          <w:color w:val="000000"/>
          <w:sz w:val="32"/>
          <w:szCs w:val="32"/>
        </w:rPr>
        <w:t>7.47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。主要变动原因是</w:t>
      </w:r>
      <w:r w:rsidR="00D24A62">
        <w:rPr>
          <w:rFonts w:ascii="仿宋_GB2312" w:eastAsia="仿宋_GB2312" w:hAnsi="仿宋" w:hint="eastAsia"/>
          <w:color w:val="000000"/>
          <w:sz w:val="32"/>
          <w:szCs w:val="32"/>
        </w:rPr>
        <w:t>2020年人员调出较多，上级专项经费减少。</w:t>
      </w:r>
    </w:p>
    <w:p w:rsidR="00176DE7" w:rsidRPr="005327BB" w:rsidRDefault="008C3FDB" w:rsidP="005327BB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/>
          <w:noProof/>
          <w:color w:val="000000"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389255</wp:posOffset>
            </wp:positionV>
            <wp:extent cx="4476750" cy="2114550"/>
            <wp:effectExtent l="19050" t="0" r="19050" b="0"/>
            <wp:wrapSquare wrapText="bothSides"/>
            <wp:docPr id="21" name="图表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D42919">
        <w:rPr>
          <w:rFonts w:ascii="仿宋_GB2312" w:eastAsia="仿宋_GB2312" w:hAnsi="仿宋_GB2312" w:cs="仿宋_GB2312" w:hint="eastAsia"/>
          <w:sz w:val="32"/>
          <w:szCs w:val="32"/>
        </w:rPr>
        <w:t>（图4：财政拨款收、支决算总计变动情况）</w:t>
      </w:r>
    </w:p>
    <w:p w:rsidR="00176DE7" w:rsidRDefault="00D42919" w:rsidP="005327BB">
      <w:pPr>
        <w:spacing w:line="578" w:lineRule="exact"/>
        <w:ind w:firstLineChars="100" w:firstLine="320"/>
        <w:outlineLvl w:val="1"/>
        <w:rPr>
          <w:rStyle w:val="2Char"/>
          <w:rFonts w:ascii="黑体" w:eastAsia="黑体" w:hAnsi="黑体"/>
          <w:b w:val="0"/>
        </w:rPr>
      </w:pPr>
      <w:bookmarkStart w:id="32" w:name="_Toc15377209"/>
      <w:bookmarkStart w:id="33" w:name="_Toc15396607"/>
      <w:r>
        <w:rPr>
          <w:rFonts w:ascii="黑体" w:eastAsia="黑体" w:hAnsi="黑体" w:hint="eastAsia"/>
          <w:color w:val="000000"/>
          <w:sz w:val="32"/>
          <w:szCs w:val="32"/>
        </w:rPr>
        <w:t>五、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一</w:t>
      </w:r>
      <w:r>
        <w:rPr>
          <w:rStyle w:val="2Char"/>
          <w:rFonts w:ascii="黑体" w:eastAsia="黑体" w:hAnsi="黑体" w:hint="eastAsia"/>
          <w:b w:val="0"/>
        </w:rPr>
        <w:t>般公共预算财政拨款支出决算情况说明</w:t>
      </w:r>
      <w:bookmarkEnd w:id="32"/>
      <w:bookmarkEnd w:id="33"/>
    </w:p>
    <w:p w:rsidR="00176DE7" w:rsidRDefault="00D42919">
      <w:pPr>
        <w:spacing w:line="578" w:lineRule="exact"/>
        <w:ind w:firstLineChars="200" w:firstLine="643"/>
        <w:outlineLvl w:val="2"/>
        <w:rPr>
          <w:rFonts w:ascii="仿宋" w:eastAsia="仿宋" w:hAnsi="仿宋"/>
          <w:b/>
          <w:color w:val="000000"/>
          <w:sz w:val="32"/>
          <w:szCs w:val="32"/>
        </w:rPr>
      </w:pPr>
      <w:bookmarkStart w:id="34" w:name="_Toc15377210"/>
      <w:r>
        <w:rPr>
          <w:rFonts w:ascii="仿宋" w:eastAsia="仿宋" w:hAnsi="仿宋" w:hint="eastAsia"/>
          <w:b/>
          <w:color w:val="000000"/>
          <w:sz w:val="32"/>
          <w:szCs w:val="32"/>
        </w:rPr>
        <w:t>（一）一般公共预算财政拨款支出决算总体情况</w:t>
      </w:r>
      <w:bookmarkEnd w:id="34"/>
    </w:p>
    <w:p w:rsidR="00176DE7" w:rsidRDefault="00D429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年一般公共预算财政拨款支出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949</w:t>
      </w:r>
      <w:r w:rsidR="005F351D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万元，占本年支出合计的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%。与201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年相比，一般公共预算财政拨款增加万元，上升</w:t>
      </w:r>
      <w:r w:rsidR="00EE4C11">
        <w:rPr>
          <w:rFonts w:ascii="仿宋_GB2312" w:eastAsia="仿宋_GB2312" w:hAnsi="仿宋_GB2312" w:cs="仿宋_GB2312" w:hint="eastAsia"/>
          <w:sz w:val="32"/>
          <w:szCs w:val="32"/>
        </w:rPr>
        <w:t>22.59</w:t>
      </w:r>
      <w:r>
        <w:rPr>
          <w:rFonts w:ascii="仿宋_GB2312" w:eastAsia="仿宋_GB2312" w:hAnsi="仿宋_GB2312" w:cs="仿宋_GB2312" w:hint="eastAsia"/>
          <w:sz w:val="32"/>
          <w:szCs w:val="32"/>
        </w:rPr>
        <w:t>%。主要变动原因是</w:t>
      </w:r>
      <w:r w:rsidR="00D91854">
        <w:rPr>
          <w:rFonts w:ascii="仿宋_GB2312" w:eastAsia="仿宋_GB2312" w:hAnsi="仿宋" w:hint="eastAsia"/>
          <w:color w:val="000000"/>
          <w:sz w:val="32"/>
          <w:szCs w:val="32"/>
        </w:rPr>
        <w:t>2020年支付周转房项目建设资金，校舍维修专项资金等。</w:t>
      </w:r>
    </w:p>
    <w:p w:rsidR="00176DE7" w:rsidRDefault="00D429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（图5：一般公共预算财政拨款支出决算变动情况）</w:t>
      </w:r>
    </w:p>
    <w:p w:rsidR="00176DE7" w:rsidRDefault="008C3FDB" w:rsidP="008C3FD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0" distR="0">
            <wp:extent cx="4737100" cy="1873250"/>
            <wp:effectExtent l="0" t="0" r="6350" b="12700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Start w:id="35" w:name="_Toc15377211"/>
    </w:p>
    <w:p w:rsidR="00176DE7" w:rsidRDefault="00D42919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（二）一般公共预算财政拨款支出决算结构情况</w:t>
      </w:r>
      <w:bookmarkEnd w:id="35"/>
    </w:p>
    <w:p w:rsidR="00176DE7" w:rsidRDefault="00D429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年一般公共预算财政拨款支出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949.82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万元，主要用于以下方面:教育支出（</w:t>
      </w:r>
      <w:r w:rsidR="00D26352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26352">
        <w:rPr>
          <w:rFonts w:ascii="仿宋_GB2312" w:eastAsia="仿宋_GB2312" w:hAnsi="仿宋_GB2312" w:cs="仿宋_GB2312"/>
          <w:sz w:val="32"/>
          <w:szCs w:val="32"/>
        </w:rPr>
        <w:t>05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809.86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85.26</w:t>
      </w:r>
      <w:r>
        <w:rPr>
          <w:rFonts w:ascii="仿宋_GB2312" w:eastAsia="仿宋_GB2312" w:hAnsi="仿宋_GB2312" w:cs="仿宋_GB2312" w:hint="eastAsia"/>
          <w:sz w:val="32"/>
          <w:szCs w:val="32"/>
        </w:rPr>
        <w:t>%；社会保障和就业（</w:t>
      </w:r>
      <w:r w:rsidR="00D26352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26352">
        <w:rPr>
          <w:rFonts w:ascii="仿宋_GB2312" w:eastAsia="仿宋_GB2312" w:hAnsi="仿宋_GB2312" w:cs="仿宋_GB2312"/>
          <w:sz w:val="32"/>
          <w:szCs w:val="32"/>
        </w:rPr>
        <w:t>08</w:t>
      </w:r>
      <w:r>
        <w:rPr>
          <w:rFonts w:ascii="仿宋_GB2312" w:eastAsia="仿宋_GB2312" w:hAnsi="仿宋_GB2312" w:cs="仿宋_GB2312" w:hint="eastAsia"/>
          <w:sz w:val="32"/>
          <w:szCs w:val="32"/>
        </w:rPr>
        <w:t>）支出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72.2</w:t>
      </w:r>
      <w:r w:rsidR="005F351D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万元，占7.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B214F9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%；</w:t>
      </w:r>
      <w:r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卫生健康支出</w:t>
      </w:r>
      <w:r w:rsidR="00D26352"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(</w:t>
      </w:r>
      <w:r w:rsidR="00D26352">
        <w:rPr>
          <w:rFonts w:ascii="仿宋_GB2312" w:eastAsia="仿宋_GB2312" w:hAnsi="仿宋"/>
          <w:b/>
          <w:bCs/>
          <w:color w:val="000000" w:themeColor="text1"/>
          <w:sz w:val="32"/>
          <w:szCs w:val="32"/>
        </w:rPr>
        <w:t>210)</w:t>
      </w:r>
      <w:r w:rsidR="00D91854">
        <w:rPr>
          <w:rFonts w:ascii="仿宋_GB2312" w:eastAsia="仿宋_GB2312" w:hAnsi="仿宋" w:hint="eastAsia"/>
          <w:color w:val="000000" w:themeColor="text1"/>
          <w:sz w:val="32"/>
          <w:szCs w:val="32"/>
        </w:rPr>
        <w:t>26.22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万元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占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2.76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住房保障支出</w:t>
      </w:r>
      <w:r w:rsidR="00D26352">
        <w:rPr>
          <w:rFonts w:ascii="仿宋_GB2312" w:eastAsia="仿宋_GB2312" w:hAnsi="仿宋_GB2312" w:cs="仿宋_GB2312" w:hint="eastAsia"/>
          <w:sz w:val="32"/>
          <w:szCs w:val="32"/>
        </w:rPr>
        <w:t>(</w:t>
      </w:r>
      <w:r w:rsidR="00D26352">
        <w:rPr>
          <w:rFonts w:ascii="仿宋_GB2312" w:eastAsia="仿宋_GB2312" w:hAnsi="仿宋_GB2312" w:cs="仿宋_GB2312"/>
          <w:sz w:val="32"/>
          <w:szCs w:val="32"/>
        </w:rPr>
        <w:t>221)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41.45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D91854"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="00B214F9">
        <w:rPr>
          <w:rFonts w:ascii="仿宋_GB2312" w:eastAsia="仿宋_GB2312" w:hAnsi="仿宋_GB2312" w:cs="仿宋_GB2312" w:hint="eastAsia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sz w:val="32"/>
          <w:szCs w:val="32"/>
        </w:rPr>
        <w:t>%。</w:t>
      </w:r>
    </w:p>
    <w:p w:rsidR="00176DE7" w:rsidRDefault="00D429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（图6）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一般公共预算财政拨款支出决算结构情况</w:t>
      </w:r>
    </w:p>
    <w:p w:rsidR="00176DE7" w:rsidRDefault="008C3FDB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noProof/>
          <w:color w:val="000000"/>
          <w:sz w:val="32"/>
          <w:szCs w:val="32"/>
        </w:rPr>
        <w:drawing>
          <wp:inline distT="0" distB="0" distL="0" distR="0">
            <wp:extent cx="5274310" cy="3076575"/>
            <wp:effectExtent l="0" t="0" r="2540" b="9525"/>
            <wp:docPr id="23" name="图表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76DE7" w:rsidRDefault="00D42919">
      <w:pPr>
        <w:spacing w:line="578" w:lineRule="exact"/>
        <w:ind w:firstLineChars="200" w:firstLine="643"/>
        <w:outlineLvl w:val="2"/>
        <w:rPr>
          <w:rFonts w:ascii="仿宋" w:eastAsia="仿宋" w:hAnsi="仿宋"/>
          <w:b/>
          <w:color w:val="000000"/>
          <w:sz w:val="32"/>
          <w:szCs w:val="32"/>
        </w:rPr>
      </w:pPr>
      <w:bookmarkStart w:id="36" w:name="_Toc15377212"/>
      <w:r>
        <w:rPr>
          <w:rFonts w:ascii="仿宋" w:eastAsia="仿宋" w:hAnsi="仿宋" w:hint="eastAsia"/>
          <w:b/>
          <w:color w:val="000000"/>
          <w:sz w:val="32"/>
          <w:szCs w:val="32"/>
        </w:rPr>
        <w:t>（三）一般公共预算财政拨款支出决算具体情况</w:t>
      </w:r>
      <w:bookmarkEnd w:id="36"/>
    </w:p>
    <w:p w:rsidR="00176DE7" w:rsidRDefault="00D42919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37" w:name="_Toc15377213"/>
      <w:bookmarkStart w:id="38" w:name="_Toc15377444"/>
      <w:bookmarkStart w:id="39" w:name="_Toc15378460"/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9B1255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年一般公共预算支出决算数为</w:t>
      </w:r>
      <w:r w:rsidR="009B1255">
        <w:rPr>
          <w:rFonts w:ascii="仿宋_GB2312" w:eastAsia="仿宋_GB2312" w:hAnsi="仿宋_GB2312" w:cs="仿宋_GB2312" w:hint="eastAsia"/>
          <w:sz w:val="32"/>
          <w:szCs w:val="32"/>
        </w:rPr>
        <w:t>949.82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万元，完成预算100%。其中：</w:t>
      </w:r>
      <w:bookmarkEnd w:id="37"/>
      <w:bookmarkEnd w:id="38"/>
      <w:bookmarkEnd w:id="39"/>
    </w:p>
    <w:p w:rsidR="00176DE7" w:rsidRDefault="00D42919">
      <w:pPr>
        <w:spacing w:line="600" w:lineRule="exact"/>
        <w:ind w:firstLineChars="200" w:firstLine="643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Style w:val="a9"/>
          <w:rFonts w:ascii="仿宋" w:eastAsia="仿宋" w:hAnsi="仿宋" w:hint="eastAsia"/>
          <w:color w:val="000000"/>
          <w:sz w:val="32"/>
          <w:szCs w:val="32"/>
        </w:rPr>
        <w:t>1. 教育（205）普通教育（02）小学教育（02）:</w:t>
      </w:r>
      <w:r>
        <w:rPr>
          <w:rStyle w:val="a9"/>
          <w:rFonts w:ascii="仿宋_GB2312" w:eastAsia="仿宋_GB2312" w:hAnsi="仿宋" w:hint="eastAsia"/>
          <w:b w:val="0"/>
          <w:color w:val="000000"/>
          <w:sz w:val="32"/>
          <w:szCs w:val="32"/>
        </w:rPr>
        <w:t>支出决算为</w:t>
      </w:r>
      <w:r w:rsidR="005F351D">
        <w:rPr>
          <w:rStyle w:val="a9"/>
          <w:rFonts w:ascii="仿宋_GB2312" w:eastAsia="仿宋_GB2312" w:hAnsi="仿宋"/>
          <w:b w:val="0"/>
          <w:color w:val="000000"/>
          <w:sz w:val="32"/>
          <w:szCs w:val="32"/>
        </w:rPr>
        <w:t>809</w:t>
      </w:r>
      <w:r w:rsidR="009B1255">
        <w:rPr>
          <w:rStyle w:val="a9"/>
          <w:rFonts w:ascii="仿宋_GB2312" w:eastAsia="仿宋_GB2312" w:hAnsi="仿宋" w:hint="eastAsia"/>
          <w:b w:val="0"/>
          <w:color w:val="000000"/>
          <w:sz w:val="32"/>
          <w:szCs w:val="32"/>
        </w:rPr>
        <w:t>.86</w:t>
      </w:r>
      <w:r>
        <w:rPr>
          <w:rStyle w:val="a9"/>
          <w:rFonts w:ascii="仿宋_GB2312" w:eastAsia="仿宋_GB2312" w:hAnsi="仿宋" w:hint="eastAsia"/>
          <w:b w:val="0"/>
          <w:color w:val="000000"/>
          <w:sz w:val="32"/>
          <w:szCs w:val="32"/>
        </w:rPr>
        <w:t>万元，完成预算100%。</w:t>
      </w:r>
    </w:p>
    <w:p w:rsidR="00176DE7" w:rsidRDefault="00D42919">
      <w:pPr>
        <w:spacing w:line="600" w:lineRule="exact"/>
        <w:ind w:firstLineChars="200" w:firstLine="643"/>
        <w:rPr>
          <w:rStyle w:val="a9"/>
          <w:rFonts w:ascii="仿宋_GB2312" w:eastAsia="仿宋_GB2312" w:hAnsi="仿宋"/>
          <w:b w:val="0"/>
          <w:bCs/>
          <w:color w:val="000000"/>
          <w:sz w:val="32"/>
          <w:szCs w:val="32"/>
        </w:rPr>
      </w:pPr>
      <w:r>
        <w:rPr>
          <w:rStyle w:val="a9"/>
          <w:rFonts w:ascii="仿宋" w:eastAsia="仿宋" w:hAnsi="仿宋" w:hint="eastAsia"/>
          <w:color w:val="000000"/>
          <w:sz w:val="32"/>
          <w:szCs w:val="32"/>
        </w:rPr>
        <w:t>2. 社会保障和就业（208）行政事业单位离退休（05）机关事业单位基本养老保险缴费支出（05）:</w:t>
      </w:r>
      <w:r>
        <w:rPr>
          <w:rStyle w:val="a9"/>
          <w:rFonts w:ascii="仿宋_GB2312" w:eastAsia="仿宋_GB2312" w:hAnsi="仿宋" w:hint="eastAsia"/>
          <w:b w:val="0"/>
          <w:color w:val="000000"/>
          <w:sz w:val="32"/>
          <w:szCs w:val="32"/>
        </w:rPr>
        <w:t>支出决算为</w:t>
      </w:r>
      <w:r w:rsidR="00D26352">
        <w:rPr>
          <w:rStyle w:val="a9"/>
          <w:rFonts w:ascii="仿宋_GB2312" w:eastAsia="仿宋_GB2312" w:hAnsi="仿宋"/>
          <w:b w:val="0"/>
          <w:color w:val="000000"/>
          <w:sz w:val="32"/>
          <w:szCs w:val="32"/>
        </w:rPr>
        <w:lastRenderedPageBreak/>
        <w:t>50.72</w:t>
      </w:r>
      <w:r>
        <w:rPr>
          <w:rStyle w:val="a9"/>
          <w:rFonts w:ascii="仿宋_GB2312" w:eastAsia="仿宋_GB2312" w:hAnsi="仿宋" w:hint="eastAsia"/>
          <w:b w:val="0"/>
          <w:color w:val="000000"/>
          <w:sz w:val="32"/>
          <w:szCs w:val="32"/>
        </w:rPr>
        <w:t>万元，完成预算100%</w:t>
      </w:r>
      <w:r>
        <w:rPr>
          <w:rStyle w:val="a9"/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。</w:t>
      </w:r>
    </w:p>
    <w:p w:rsidR="00D26352" w:rsidRDefault="00D26352" w:rsidP="00D26352">
      <w:pPr>
        <w:spacing w:line="600" w:lineRule="exact"/>
        <w:ind w:firstLineChars="200" w:firstLine="640"/>
        <w:rPr>
          <w:rStyle w:val="a9"/>
          <w:rFonts w:ascii="仿宋_GB2312" w:eastAsia="仿宋_GB2312" w:hAnsi="仿宋"/>
          <w:b w:val="0"/>
          <w:bCs/>
          <w:color w:val="000000"/>
          <w:sz w:val="32"/>
          <w:szCs w:val="32"/>
        </w:rPr>
      </w:pPr>
      <w:r>
        <w:rPr>
          <w:rStyle w:val="a9"/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3、</w:t>
      </w:r>
      <w:r>
        <w:rPr>
          <w:rStyle w:val="a9"/>
          <w:rFonts w:ascii="仿宋" w:eastAsia="仿宋" w:hAnsi="仿宋" w:hint="eastAsia"/>
          <w:color w:val="000000"/>
          <w:sz w:val="32"/>
          <w:szCs w:val="32"/>
        </w:rPr>
        <w:t>社会保障和就业（208）其他社会保障和就业支出（99）其他社会保障和就业支出（01）:</w:t>
      </w:r>
      <w:r>
        <w:rPr>
          <w:rStyle w:val="a9"/>
          <w:rFonts w:ascii="仿宋_GB2312" w:eastAsia="仿宋_GB2312" w:hAnsi="仿宋" w:hint="eastAsia"/>
          <w:b w:val="0"/>
          <w:color w:val="000000"/>
          <w:sz w:val="32"/>
          <w:szCs w:val="32"/>
        </w:rPr>
        <w:t>支出决算为21.57万元，完成预算100%</w:t>
      </w:r>
      <w:r>
        <w:rPr>
          <w:rStyle w:val="a9"/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。</w:t>
      </w:r>
    </w:p>
    <w:p w:rsidR="00D26352" w:rsidRPr="00D26352" w:rsidRDefault="00D26352" w:rsidP="00D26352">
      <w:pPr>
        <w:spacing w:line="600" w:lineRule="exact"/>
        <w:ind w:firstLineChars="200" w:firstLine="643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Style w:val="a9"/>
          <w:rFonts w:ascii="仿宋" w:eastAsia="仿宋" w:hAnsi="仿宋" w:hint="eastAsia"/>
          <w:bCs/>
          <w:color w:val="000000"/>
          <w:sz w:val="32"/>
          <w:szCs w:val="32"/>
        </w:rPr>
        <w:t>4</w:t>
      </w:r>
      <w:r>
        <w:rPr>
          <w:rStyle w:val="a9"/>
          <w:rFonts w:ascii="仿宋" w:eastAsia="仿宋" w:hAnsi="仿宋"/>
          <w:bCs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卫生健康</w:t>
      </w:r>
      <w:r>
        <w:rPr>
          <w:rStyle w:val="a9"/>
          <w:rFonts w:ascii="仿宋" w:eastAsia="仿宋" w:hAnsi="仿宋" w:hint="eastAsia"/>
          <w:bCs/>
          <w:color w:val="000000"/>
          <w:sz w:val="32"/>
          <w:szCs w:val="32"/>
        </w:rPr>
        <w:t>（210）行政单位医疗（11）事业单位医疗（02）</w:t>
      </w:r>
      <w:r>
        <w:rPr>
          <w:rStyle w:val="a9"/>
          <w:rFonts w:ascii="仿宋" w:eastAsia="仿宋" w:hAnsi="仿宋"/>
          <w:bCs/>
          <w:color w:val="000000"/>
          <w:sz w:val="32"/>
          <w:szCs w:val="32"/>
        </w:rPr>
        <w:t>:</w:t>
      </w:r>
      <w:r>
        <w:rPr>
          <w:rStyle w:val="a9"/>
          <w:rFonts w:ascii="仿宋_GB2312" w:eastAsia="仿宋_GB2312" w:hAnsi="仿宋" w:hint="eastAsia"/>
          <w:b w:val="0"/>
          <w:bCs/>
          <w:color w:val="000000"/>
          <w:sz w:val="32"/>
          <w:szCs w:val="32"/>
        </w:rPr>
        <w:t>支出决算为26.22万元，完成预算100%。</w:t>
      </w:r>
    </w:p>
    <w:p w:rsidR="00176DE7" w:rsidRDefault="00937BB7">
      <w:pPr>
        <w:spacing w:line="600" w:lineRule="exact"/>
        <w:ind w:firstLineChars="200" w:firstLine="643"/>
        <w:rPr>
          <w:rStyle w:val="a9"/>
          <w:rFonts w:ascii="仿宋" w:eastAsia="仿宋" w:hAnsi="仿宋"/>
          <w:b w:val="0"/>
          <w:color w:val="000000"/>
          <w:sz w:val="32"/>
          <w:szCs w:val="32"/>
        </w:rPr>
      </w:pPr>
      <w:r>
        <w:rPr>
          <w:rStyle w:val="a9"/>
          <w:rFonts w:ascii="仿宋" w:eastAsia="仿宋" w:hAnsi="仿宋" w:hint="eastAsia"/>
          <w:color w:val="000000"/>
          <w:sz w:val="32"/>
          <w:szCs w:val="32"/>
        </w:rPr>
        <w:t>5</w:t>
      </w:r>
      <w:r w:rsidR="00D42919">
        <w:rPr>
          <w:rStyle w:val="a9"/>
          <w:rFonts w:ascii="仿宋" w:eastAsia="仿宋" w:hAnsi="仿宋" w:hint="eastAsia"/>
          <w:color w:val="000000"/>
          <w:sz w:val="32"/>
          <w:szCs w:val="32"/>
        </w:rPr>
        <w:t>. 住房保障支出（221）住房改革支出（02）住房公积金（01）:</w:t>
      </w:r>
      <w:r w:rsidR="00D42919">
        <w:rPr>
          <w:rStyle w:val="a9"/>
          <w:rFonts w:ascii="仿宋_GB2312" w:eastAsia="仿宋_GB2312" w:hAnsi="仿宋" w:hint="eastAsia"/>
          <w:b w:val="0"/>
          <w:color w:val="000000"/>
          <w:sz w:val="32"/>
          <w:szCs w:val="32"/>
        </w:rPr>
        <w:t>支出决算为4</w:t>
      </w:r>
      <w:r w:rsidR="009B1255">
        <w:rPr>
          <w:rStyle w:val="a9"/>
          <w:rFonts w:ascii="仿宋_GB2312" w:eastAsia="仿宋_GB2312" w:hAnsi="仿宋" w:hint="eastAsia"/>
          <w:b w:val="0"/>
          <w:color w:val="000000"/>
          <w:sz w:val="32"/>
          <w:szCs w:val="32"/>
        </w:rPr>
        <w:t>1.45</w:t>
      </w:r>
      <w:r w:rsidR="00D42919">
        <w:rPr>
          <w:rStyle w:val="a9"/>
          <w:rFonts w:ascii="仿宋_GB2312" w:eastAsia="仿宋_GB2312" w:hAnsi="仿宋" w:hint="eastAsia"/>
          <w:b w:val="0"/>
          <w:color w:val="000000"/>
          <w:sz w:val="32"/>
          <w:szCs w:val="32"/>
        </w:rPr>
        <w:t>万元，完成预算100%。</w:t>
      </w:r>
    </w:p>
    <w:p w:rsidR="00176DE7" w:rsidRDefault="00D42919">
      <w:pPr>
        <w:tabs>
          <w:tab w:val="right" w:pos="8306"/>
        </w:tabs>
        <w:spacing w:line="578" w:lineRule="exact"/>
        <w:ind w:firstLine="640"/>
        <w:outlineLvl w:val="1"/>
        <w:rPr>
          <w:rStyle w:val="2Char"/>
        </w:rPr>
      </w:pPr>
      <w:bookmarkStart w:id="40" w:name="_Toc15396608"/>
      <w:bookmarkStart w:id="41" w:name="_Toc15377214"/>
      <w:r>
        <w:rPr>
          <w:rFonts w:ascii="黑体" w:eastAsia="黑体" w:hint="eastAsia"/>
          <w:color w:val="000000"/>
          <w:sz w:val="32"/>
          <w:szCs w:val="32"/>
        </w:rPr>
        <w:t>六</w:t>
      </w:r>
      <w:r>
        <w:rPr>
          <w:rFonts w:ascii="黑体" w:eastAsia="黑体" w:hint="eastAsia"/>
          <w:b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一</w:t>
      </w:r>
      <w:r>
        <w:rPr>
          <w:rStyle w:val="2Char"/>
          <w:rFonts w:ascii="黑体" w:eastAsia="黑体" w:hAnsi="黑体" w:hint="eastAsia"/>
          <w:b w:val="0"/>
        </w:rPr>
        <w:t>般公共预算财政拨款基本支出决算情况说明</w:t>
      </w:r>
      <w:bookmarkEnd w:id="40"/>
      <w:bookmarkEnd w:id="41"/>
      <w:r>
        <w:rPr>
          <w:rStyle w:val="2Char"/>
          <w:rFonts w:ascii="黑体" w:eastAsia="黑体" w:hAnsi="黑体"/>
          <w:b w:val="0"/>
        </w:rPr>
        <w:tab/>
      </w:r>
    </w:p>
    <w:p w:rsidR="00176DE7" w:rsidRDefault="00D42919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9B1255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年一般公共预算财政拨款基本支出</w:t>
      </w:r>
      <w:r w:rsidR="00A65823">
        <w:rPr>
          <w:rFonts w:ascii="仿宋_GB2312" w:eastAsia="仿宋_GB2312" w:hAnsi="仿宋_GB2312" w:cs="仿宋_GB2312" w:hint="eastAsia"/>
          <w:sz w:val="32"/>
          <w:szCs w:val="32"/>
        </w:rPr>
        <w:t>852.3</w:t>
      </w:r>
      <w:r w:rsidR="00650A33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</w:t>
      </w:r>
    </w:p>
    <w:p w:rsidR="00176DE7" w:rsidRDefault="00D42919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人员经费6</w:t>
      </w:r>
      <w:r w:rsidR="009B1255">
        <w:rPr>
          <w:rFonts w:ascii="仿宋_GB2312" w:eastAsia="仿宋_GB2312" w:hAnsi="仿宋_GB2312" w:cs="仿宋_GB2312" w:hint="eastAsia"/>
          <w:sz w:val="32"/>
          <w:szCs w:val="32"/>
        </w:rPr>
        <w:t>85.</w:t>
      </w:r>
      <w:r w:rsidR="005F351D">
        <w:rPr>
          <w:rFonts w:ascii="仿宋_GB2312" w:eastAsia="仿宋_GB2312" w:hAnsi="仿宋_GB2312" w:cs="仿宋_GB2312"/>
          <w:sz w:val="32"/>
          <w:szCs w:val="32"/>
        </w:rPr>
        <w:t>2</w:t>
      </w:r>
      <w:r w:rsidR="00650A33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万元，主要包括：基本工资</w:t>
      </w:r>
      <w:r w:rsidR="009B1255">
        <w:rPr>
          <w:rFonts w:ascii="仿宋_GB2312" w:eastAsia="仿宋_GB2312" w:hAnsi="仿宋_GB2312" w:cs="仿宋_GB2312" w:hint="eastAsia"/>
          <w:sz w:val="32"/>
          <w:szCs w:val="32"/>
        </w:rPr>
        <w:t>181.23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万元、津贴补贴52.</w:t>
      </w:r>
      <w:r w:rsidR="009B1255"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万元、奖金1</w:t>
      </w:r>
      <w:r w:rsidR="009B1255">
        <w:rPr>
          <w:rFonts w:ascii="仿宋_GB2312" w:eastAsia="仿宋_GB2312" w:hAnsi="仿宋_GB2312" w:cs="仿宋_GB2312" w:hint="eastAsia"/>
          <w:sz w:val="32"/>
          <w:szCs w:val="32"/>
        </w:rPr>
        <w:t>72.05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万元、伙食补助费0万元、绩效工资12</w:t>
      </w:r>
      <w:r w:rsidR="009B1255">
        <w:rPr>
          <w:rFonts w:ascii="仿宋_GB2312" w:eastAsia="仿宋_GB2312" w:hAnsi="仿宋_GB2312" w:cs="仿宋_GB2312" w:hint="eastAsia"/>
          <w:sz w:val="32"/>
          <w:szCs w:val="32"/>
        </w:rPr>
        <w:t>8.32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万元、机关事业单位基本养老保险缴费5</w:t>
      </w:r>
      <w:r w:rsidR="009B1255">
        <w:rPr>
          <w:rFonts w:ascii="仿宋_GB2312" w:eastAsia="仿宋_GB2312" w:hAnsi="仿宋_GB2312" w:cs="仿宋_GB2312" w:hint="eastAsia"/>
          <w:sz w:val="32"/>
          <w:szCs w:val="32"/>
        </w:rPr>
        <w:t>0.72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万元、职工基本医疗保险缴费</w:t>
      </w:r>
      <w:r w:rsidR="009B1255">
        <w:rPr>
          <w:rFonts w:ascii="仿宋_GB2312" w:eastAsia="仿宋_GB2312" w:hAnsi="仿宋_GB2312" w:cs="仿宋_GB2312" w:hint="eastAsia"/>
          <w:sz w:val="32"/>
          <w:szCs w:val="32"/>
        </w:rPr>
        <w:t>26.22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万元、住房公积金</w:t>
      </w:r>
      <w:r w:rsidR="009B1255">
        <w:rPr>
          <w:rFonts w:ascii="仿宋_GB2312" w:eastAsia="仿宋_GB2312" w:hAnsi="仿宋_GB2312" w:cs="仿宋_GB2312" w:hint="eastAsia"/>
          <w:sz w:val="32"/>
          <w:szCs w:val="32"/>
        </w:rPr>
        <w:t>41.45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</w:t>
      </w:r>
      <w:r w:rsidR="009B1255">
        <w:rPr>
          <w:rFonts w:ascii="仿宋_GB2312" w:eastAsia="仿宋_GB2312" w:hAnsi="仿宋_GB2312" w:cs="仿宋_GB2312" w:hint="eastAsia"/>
          <w:sz w:val="32"/>
          <w:szCs w:val="32"/>
        </w:rPr>
        <w:t>其他工资福利支出1.19万元、</w:t>
      </w:r>
      <w:r>
        <w:rPr>
          <w:rFonts w:ascii="仿宋_GB2312" w:eastAsia="仿宋_GB2312" w:hAnsi="仿宋_GB2312" w:cs="仿宋_GB2312" w:hint="eastAsia"/>
          <w:sz w:val="32"/>
          <w:szCs w:val="32"/>
        </w:rPr>
        <w:t>离休费0万元、退休费0万元、抚恤金5.1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万元、生活补助</w:t>
      </w:r>
      <w:r w:rsidR="00D65573">
        <w:rPr>
          <w:rFonts w:ascii="仿宋_GB2312" w:eastAsia="仿宋_GB2312" w:hAnsi="仿宋_GB2312" w:cs="仿宋_GB2312"/>
          <w:sz w:val="32"/>
          <w:szCs w:val="32"/>
        </w:rPr>
        <w:t>4.88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万元、医疗费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万元、奖励金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21.57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万元、其他对个人和家庭的补助支出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万元等。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　　公用经费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167.12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万元，主要包括：办公费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7.7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万元、印刷费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0.11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万元、咨询费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1.18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万元、手续费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万元、水费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1.82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万元、电费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1.74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万元、邮电费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1.79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万元、取暖费0万元、物业管理费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万元、差旅费2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万元、因公出国（境）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费用0万元、维修（护）费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79.45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万元、租赁费0万元、会议费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万元、培训费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1.29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万元、公务接待费0.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专用材料费0.55万元、</w:t>
      </w:r>
      <w:r>
        <w:rPr>
          <w:rFonts w:ascii="仿宋_GB2312" w:eastAsia="仿宋_GB2312" w:hAnsi="仿宋_GB2312" w:cs="仿宋_GB2312" w:hint="eastAsia"/>
          <w:sz w:val="32"/>
          <w:szCs w:val="32"/>
        </w:rPr>
        <w:t>劳务费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5.73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万元、委托业务费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万元、工会经费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9.79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万元、福利费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9.75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万元、公务用车运行维护费0万元、其他交通费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万元、税金及附加费用0万元、其他商品和服务支出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43.88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万元、办公设备购置0万元、专用设备购置0万元、信息网络及软件购置更新0万元、其他资本性支出0万元等。</w:t>
      </w:r>
    </w:p>
    <w:p w:rsidR="00176DE7" w:rsidRDefault="00D42919">
      <w:pPr>
        <w:spacing w:line="578" w:lineRule="exact"/>
        <w:ind w:firstLine="640"/>
        <w:outlineLvl w:val="1"/>
        <w:rPr>
          <w:rStyle w:val="2Char"/>
          <w:rFonts w:ascii="黑体" w:eastAsia="黑体" w:hAnsi="黑体"/>
          <w:b w:val="0"/>
        </w:rPr>
      </w:pPr>
      <w:bookmarkStart w:id="42" w:name="_Toc15396609"/>
      <w:bookmarkStart w:id="43" w:name="_Toc15377215"/>
      <w:r>
        <w:rPr>
          <w:rFonts w:ascii="黑体" w:eastAsia="黑体" w:hint="eastAsia"/>
          <w:color w:val="000000"/>
          <w:sz w:val="32"/>
          <w:szCs w:val="32"/>
        </w:rPr>
        <w:t>七、</w:t>
      </w:r>
      <w:r>
        <w:rPr>
          <w:rStyle w:val="2Char"/>
          <w:rFonts w:ascii="黑体" w:eastAsia="黑体" w:hAnsi="黑体" w:hint="eastAsia"/>
        </w:rPr>
        <w:t>“</w:t>
      </w:r>
      <w:r>
        <w:rPr>
          <w:rStyle w:val="2Char"/>
          <w:rFonts w:ascii="黑体" w:eastAsia="黑体" w:hAnsi="黑体" w:hint="eastAsia"/>
          <w:b w:val="0"/>
        </w:rPr>
        <w:t>三公”经费财政拨款支出决算情况说明</w:t>
      </w:r>
      <w:bookmarkEnd w:id="42"/>
      <w:bookmarkEnd w:id="43"/>
    </w:p>
    <w:p w:rsidR="00176DE7" w:rsidRDefault="00D42919">
      <w:pPr>
        <w:spacing w:line="60" w:lineRule="atLeast"/>
        <w:outlineLvl w:val="2"/>
        <w:rPr>
          <w:rFonts w:ascii="仿宋" w:eastAsia="仿宋" w:hAnsi="仿宋"/>
          <w:b/>
          <w:bCs/>
          <w:color w:val="000000"/>
          <w:sz w:val="32"/>
          <w:szCs w:val="32"/>
        </w:rPr>
      </w:pPr>
      <w:bookmarkStart w:id="44" w:name="_Toc15377216"/>
      <w:bookmarkStart w:id="45" w:name="_Toc15396610"/>
      <w:bookmarkStart w:id="46" w:name="_Toc15377218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 xml:space="preserve">    （一）“三公”经费财政拨款支出决算总体情况说明</w:t>
      </w:r>
      <w:bookmarkEnd w:id="44"/>
    </w:p>
    <w:p w:rsidR="00176DE7" w:rsidRDefault="00D42919">
      <w:pPr>
        <w:spacing w:line="60" w:lineRule="atLeas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年“三公”经费财政拨款支出决算为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0.17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</w:t>
      </w:r>
      <w:r w:rsidR="00D26352">
        <w:rPr>
          <w:rFonts w:ascii="仿宋_GB2312" w:eastAsia="仿宋_GB2312" w:hAnsi="仿宋_GB2312" w:cs="仿宋_GB2312" w:hint="eastAsia"/>
          <w:sz w:val="32"/>
          <w:szCs w:val="32"/>
        </w:rPr>
        <w:t>85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，决算数小于预算数的主要原因是降低标准和减少接待人次。</w:t>
      </w:r>
    </w:p>
    <w:p w:rsidR="00176DE7" w:rsidRDefault="00D42919">
      <w:pPr>
        <w:numPr>
          <w:ilvl w:val="0"/>
          <w:numId w:val="2"/>
        </w:numPr>
        <w:spacing w:line="60" w:lineRule="atLeast"/>
        <w:ind w:firstLineChars="220" w:firstLine="707"/>
        <w:rPr>
          <w:rFonts w:ascii="仿宋" w:eastAsia="仿宋" w:hAnsi="仿宋"/>
          <w:b/>
          <w:bCs/>
          <w:color w:val="000000"/>
          <w:sz w:val="32"/>
          <w:szCs w:val="32"/>
        </w:rPr>
      </w:pPr>
      <w:bookmarkStart w:id="47" w:name="_Toc15377217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“三公”经费财政拨款支出决算具体情况说明</w:t>
      </w:r>
      <w:bookmarkEnd w:id="47"/>
    </w:p>
    <w:p w:rsidR="00176DE7" w:rsidRDefault="00D42919">
      <w:pPr>
        <w:spacing w:line="60" w:lineRule="atLeast"/>
        <w:ind w:firstLineChars="300"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年“三公”经费财政拨款支出决算中，因公出国（境）费支出决算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>
        <w:rPr>
          <w:rFonts w:ascii="仿宋_GB2312" w:eastAsia="仿宋_GB2312" w:hAnsi="仿宋_GB2312" w:cs="仿宋_GB2312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；公务用车购置及运行维护费支出决算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>
        <w:rPr>
          <w:rFonts w:ascii="仿宋_GB2312" w:eastAsia="仿宋_GB2312" w:hAnsi="仿宋_GB2312" w:cs="仿宋_GB2312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；公务接待费支出决算0.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>
        <w:rPr>
          <w:rFonts w:ascii="仿宋_GB2312" w:eastAsia="仿宋_GB2312" w:hAnsi="仿宋_GB2312" w:cs="仿宋_GB2312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。具体情况如下：</w:t>
      </w:r>
    </w:p>
    <w:p w:rsidR="00176DE7" w:rsidRDefault="00176DE7"/>
    <w:p w:rsidR="00176DE7" w:rsidRDefault="00B1788C">
      <w:pPr>
        <w:jc w:val="center"/>
        <w:rPr>
          <w:rFonts w:ascii="仿宋_GB2312" w:eastAsia="仿宋_GB2312" w:hAnsi="仿宋_GB2312"/>
          <w:sz w:val="32"/>
          <w:szCs w:val="32"/>
        </w:rPr>
      </w:pPr>
      <w:bookmarkStart w:id="48" w:name="_Hlk84941154"/>
      <w:bookmarkEnd w:id="48"/>
      <w:r w:rsidRPr="00B1788C">
        <w:rPr>
          <w:noProof/>
          <w:szCs w:val="21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3.5pt;margin-top:41pt;width:406.7pt;height:195.15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">
            <v:textbox style="mso-fit-shape-to-text:t">
              <w:txbxContent>
                <w:p w:rsidR="00176DE7" w:rsidRDefault="00D42919">
                  <w:pPr>
                    <w:keepNext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953635" cy="1932305"/>
                        <wp:effectExtent l="1905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lum contras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53635" cy="1932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6DE7" w:rsidRDefault="00D42919">
                  <w:pPr>
                    <w:pStyle w:val="a3"/>
                    <w:ind w:firstLineChars="550" w:firstLine="1100"/>
                    <w:rPr>
                      <w:rFonts w:cs="Times New Roman"/>
                    </w:rPr>
                  </w:pPr>
                  <w:r>
                    <w:rPr>
                      <w:rFonts w:cs="黑体" w:hint="eastAsia"/>
                    </w:rPr>
                    <w:t>三公经费支出</w:t>
                  </w:r>
                  <w:r>
                    <w:t>0.</w:t>
                  </w:r>
                  <w:r w:rsidR="00903059">
                    <w:rPr>
                      <w:rFonts w:hint="eastAsia"/>
                    </w:rPr>
                    <w:t>17</w:t>
                  </w:r>
                  <w:r>
                    <w:rPr>
                      <w:rFonts w:cs="黑体" w:hint="eastAsia"/>
                    </w:rPr>
                    <w:t>万元，其中公务接待费</w:t>
                  </w:r>
                  <w:r>
                    <w:t>0.</w:t>
                  </w:r>
                  <w:r w:rsidR="00903059">
                    <w:rPr>
                      <w:rFonts w:hint="eastAsia"/>
                    </w:rPr>
                    <w:t>17</w:t>
                  </w:r>
                  <w:r>
                    <w:rPr>
                      <w:rFonts w:cs="黑体" w:hint="eastAsia"/>
                    </w:rPr>
                    <w:t>万元占比</w:t>
                  </w:r>
                  <w:r>
                    <w:t>100%</w:t>
                  </w:r>
                </w:p>
                <w:p w:rsidR="00176DE7" w:rsidRDefault="00176DE7"/>
              </w:txbxContent>
            </v:textbox>
            <w10:wrap type="square"/>
          </v:shape>
        </w:pict>
      </w:r>
      <w:r w:rsidR="00D42919">
        <w:rPr>
          <w:rFonts w:ascii="仿宋_GB2312" w:eastAsia="仿宋_GB2312" w:hAnsi="仿宋_GB2312" w:cs="仿宋_GB2312" w:hint="eastAsia"/>
          <w:sz w:val="32"/>
          <w:szCs w:val="32"/>
        </w:rPr>
        <w:t>（图</w:t>
      </w:r>
      <w:r w:rsidR="00D42919">
        <w:rPr>
          <w:rFonts w:ascii="仿宋_GB2312" w:eastAsia="仿宋_GB2312" w:hAnsi="仿宋_GB2312" w:cs="仿宋_GB2312"/>
          <w:sz w:val="32"/>
          <w:szCs w:val="32"/>
        </w:rPr>
        <w:t>7</w:t>
      </w:r>
      <w:r w:rsidR="00D42919">
        <w:rPr>
          <w:rFonts w:ascii="仿宋_GB2312" w:eastAsia="仿宋_GB2312" w:hAnsi="仿宋_GB2312" w:cs="仿宋_GB2312" w:hint="eastAsia"/>
          <w:sz w:val="32"/>
          <w:szCs w:val="32"/>
        </w:rPr>
        <w:t>：“三公”经费财政拨款支出结构）</w:t>
      </w:r>
    </w:p>
    <w:p w:rsidR="00176DE7" w:rsidRDefault="00D42919">
      <w:pPr>
        <w:spacing w:line="578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因公出国（境）经费支出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</w:t>
      </w:r>
      <w:r>
        <w:rPr>
          <w:rFonts w:ascii="仿宋_GB2312" w:eastAsia="仿宋_GB2312" w:hAnsi="仿宋_GB2312" w:cs="仿宋_GB2312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。全年安排因公出国（境）团组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次，出国（境）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人。因公出国（境）支出决算比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年增加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>
        <w:rPr>
          <w:rFonts w:ascii="仿宋_GB2312" w:eastAsia="仿宋_GB2312" w:hAnsi="仿宋_GB2312" w:cs="仿宋_GB2312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76DE7" w:rsidRDefault="00D42919">
      <w:pPr>
        <w:spacing w:line="578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公务用车购置及运行维护费支出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176DE7" w:rsidRDefault="00D42919">
      <w:pPr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其中：公务用车购置支出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万元。全年按规定更新购置公务用车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辆，其中：轿车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辆、金额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万元，越野车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辆、金额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万元，载客汽车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辆、金额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万元。截至</w:t>
      </w: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月底，单位共有公务用车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辆，其中：轿车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辆、越野车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辆、载客汽车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辆。</w:t>
      </w:r>
    </w:p>
    <w:p w:rsidR="00176DE7" w:rsidRDefault="00D42919">
      <w:pPr>
        <w:spacing w:line="578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公务用车运行维护费支出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176DE7" w:rsidRDefault="00D42919">
      <w:pPr>
        <w:spacing w:line="60" w:lineRule="atLeas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公务接待费支出</w:t>
      </w:r>
      <w:r>
        <w:rPr>
          <w:rFonts w:ascii="仿宋_GB2312" w:eastAsia="仿宋_GB2312" w:hAnsi="仿宋_GB2312" w:cs="仿宋_GB2312"/>
          <w:sz w:val="32"/>
          <w:szCs w:val="32"/>
        </w:rPr>
        <w:t>0.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</w:t>
      </w:r>
      <w:r w:rsidR="00D26352">
        <w:rPr>
          <w:rFonts w:ascii="仿宋_GB2312" w:eastAsia="仿宋_GB2312" w:hAnsi="仿宋_GB2312" w:cs="仿宋_GB2312" w:hint="eastAsia"/>
          <w:sz w:val="32"/>
          <w:szCs w:val="32"/>
        </w:rPr>
        <w:t>85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。公务接待费支出决算比</w:t>
      </w:r>
      <w:r>
        <w:rPr>
          <w:rFonts w:ascii="仿宋_GB2312" w:eastAsia="仿宋_GB2312" w:hAnsi="仿宋_GB2312" w:cs="仿宋_GB2312"/>
          <w:sz w:val="32"/>
          <w:szCs w:val="32"/>
        </w:rPr>
        <w:t>201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年减少0.0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。主要原因是上级检查工作接待次数减少和标准降低。其中：</w:t>
      </w:r>
    </w:p>
    <w:p w:rsidR="00176DE7" w:rsidRDefault="00D42919">
      <w:pPr>
        <w:spacing w:line="60" w:lineRule="atLeast"/>
        <w:ind w:firstLineChars="200" w:firstLine="643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国内公务接待支出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0.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万元，主要用于</w:t>
      </w:r>
      <w:r>
        <w:rPr>
          <w:rFonts w:ascii="仿宋_GB2312" w:eastAsia="仿宋_GB2312" w:cs="仿宋_GB2312" w:hint="eastAsia"/>
          <w:sz w:val="32"/>
          <w:szCs w:val="32"/>
        </w:rPr>
        <w:t>教育教学、开展业务活动开支的交通费、住宿费、用餐费</w:t>
      </w:r>
      <w:r>
        <w:rPr>
          <w:rFonts w:ascii="仿宋_GB2312" w:eastAsia="仿宋_GB2312" w:hAnsi="仿宋_GB2312" w:cs="仿宋_GB2312" w:hint="eastAsia"/>
          <w:sz w:val="32"/>
          <w:szCs w:val="32"/>
        </w:rPr>
        <w:t>。国内公务接待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批次，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人次（不包括陪同人员），共计支出</w:t>
      </w:r>
      <w:r>
        <w:rPr>
          <w:rFonts w:ascii="仿宋_GB2312" w:eastAsia="仿宋_GB2312" w:hAnsi="仿宋_GB2312" w:cs="仿宋_GB2312"/>
          <w:sz w:val="32"/>
          <w:szCs w:val="32"/>
        </w:rPr>
        <w:t>0.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万元，具体内容包括：</w:t>
      </w:r>
      <w:r>
        <w:rPr>
          <w:rFonts w:ascii="仿宋_GB2312" w:eastAsia="仿宋_GB2312" w:cs="仿宋_GB2312" w:hint="eastAsia"/>
          <w:sz w:val="32"/>
          <w:szCs w:val="32"/>
        </w:rPr>
        <w:t>主要用于教育教学、开展业务活动开支的交通费、住宿费、用餐费。</w:t>
      </w:r>
    </w:p>
    <w:p w:rsidR="00176DE7" w:rsidRDefault="00D42919">
      <w:pPr>
        <w:spacing w:line="60" w:lineRule="atLeast"/>
        <w:ind w:firstLineChars="200" w:firstLine="643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外事接待支出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万元，外事接待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批次，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人，共计支出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176DE7" w:rsidRDefault="00D42919">
      <w:pPr>
        <w:spacing w:line="578" w:lineRule="exact"/>
        <w:ind w:firstLine="640"/>
        <w:outlineLvl w:val="1"/>
        <w:rPr>
          <w:rStyle w:val="2Char"/>
          <w:rFonts w:ascii="黑体" w:eastAsia="黑体" w:hAnsi="黑体"/>
        </w:rPr>
      </w:pPr>
      <w:r>
        <w:rPr>
          <w:rFonts w:ascii="黑体" w:eastAsia="黑体" w:hint="eastAsia"/>
          <w:color w:val="000000"/>
          <w:sz w:val="32"/>
          <w:szCs w:val="32"/>
        </w:rPr>
        <w:t>八、</w:t>
      </w:r>
      <w:r>
        <w:rPr>
          <w:rStyle w:val="2Char"/>
          <w:rFonts w:ascii="黑体" w:eastAsia="黑体" w:hAnsi="黑体" w:hint="eastAsia"/>
          <w:b w:val="0"/>
        </w:rPr>
        <w:t>政府性基金预算支出决算情况说明</w:t>
      </w:r>
      <w:bookmarkEnd w:id="45"/>
      <w:bookmarkEnd w:id="46"/>
    </w:p>
    <w:p w:rsidR="00176DE7" w:rsidRDefault="00D429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49" w:name="_Toc15377219"/>
      <w:bookmarkStart w:id="50" w:name="_Toc15396611"/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903059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年政府性基金预算财政拨款支出0万元。</w:t>
      </w:r>
    </w:p>
    <w:p w:rsidR="00176DE7" w:rsidRDefault="00D42919">
      <w:pPr>
        <w:spacing w:line="578" w:lineRule="exact"/>
        <w:ind w:firstLineChars="200" w:firstLine="640"/>
        <w:rPr>
          <w:rStyle w:val="2Char"/>
          <w:rFonts w:ascii="黑体" w:eastAsia="黑体" w:hAnsi="黑体"/>
          <w:b w:val="0"/>
        </w:rPr>
      </w:pPr>
      <w:r>
        <w:rPr>
          <w:rStyle w:val="2Char"/>
          <w:rFonts w:ascii="黑体" w:eastAsia="黑体" w:hAnsi="黑体" w:hint="eastAsia"/>
          <w:b w:val="0"/>
        </w:rPr>
        <w:t>九、国有资本经营预算支出决算情况说明</w:t>
      </w:r>
      <w:bookmarkEnd w:id="49"/>
      <w:bookmarkEnd w:id="50"/>
    </w:p>
    <w:p w:rsidR="00176DE7" w:rsidRDefault="00D42919">
      <w:pPr>
        <w:spacing w:line="578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1459AF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年国有资本经营预算拨款支出0万元。</w:t>
      </w:r>
    </w:p>
    <w:p w:rsidR="00176DE7" w:rsidRDefault="00D42919">
      <w:pPr>
        <w:spacing w:line="578" w:lineRule="exact"/>
        <w:ind w:firstLineChars="250" w:firstLine="800"/>
        <w:outlineLvl w:val="1"/>
        <w:rPr>
          <w:rStyle w:val="Heading2Char"/>
          <w:rFonts w:ascii="黑体" w:eastAsia="黑体" w:hAnsi="黑体"/>
        </w:rPr>
      </w:pPr>
      <w:bookmarkStart w:id="51" w:name="_Toc15377221"/>
      <w:bookmarkStart w:id="52" w:name="_Toc15396612"/>
      <w:bookmarkStart w:id="53" w:name="_Toc15396613"/>
      <w:bookmarkStart w:id="54" w:name="_Toc15377225"/>
      <w:r>
        <w:rPr>
          <w:rFonts w:ascii="黑体" w:eastAsia="黑体" w:hAnsi="黑体" w:cs="黑体" w:hint="eastAsia"/>
          <w:color w:val="000000"/>
          <w:sz w:val="32"/>
          <w:szCs w:val="32"/>
        </w:rPr>
        <w:t>十</w:t>
      </w:r>
      <w:r>
        <w:rPr>
          <w:rStyle w:val="Heading2Char"/>
          <w:rFonts w:ascii="黑体" w:eastAsia="黑体" w:hAnsi="黑体" w:cs="黑体" w:hint="eastAsia"/>
        </w:rPr>
        <w:t>、其他重要事项的情况说明</w:t>
      </w:r>
      <w:bookmarkEnd w:id="51"/>
      <w:bookmarkEnd w:id="52"/>
    </w:p>
    <w:p w:rsidR="00176DE7" w:rsidRDefault="00D42919">
      <w:pPr>
        <w:spacing w:line="578" w:lineRule="exact"/>
        <w:ind w:firstLineChars="200" w:firstLine="643"/>
        <w:outlineLvl w:val="2"/>
        <w:rPr>
          <w:rFonts w:ascii="仿宋" w:eastAsia="仿宋" w:hAnsi="仿宋"/>
          <w:color w:val="000000"/>
          <w:sz w:val="32"/>
          <w:szCs w:val="32"/>
        </w:rPr>
      </w:pPr>
      <w:bookmarkStart w:id="55" w:name="_Toc15377222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（一）机关运行经费支出情况</w:t>
      </w:r>
      <w:bookmarkEnd w:id="55"/>
    </w:p>
    <w:p w:rsidR="00176DE7" w:rsidRDefault="00D42919">
      <w:pPr>
        <w:spacing w:line="578" w:lineRule="exact"/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我单位执行的是事业单位会计制度，无机关运行经费。</w:t>
      </w:r>
    </w:p>
    <w:p w:rsidR="00176DE7" w:rsidRDefault="00D42919">
      <w:pPr>
        <w:autoSpaceDE w:val="0"/>
        <w:autoSpaceDN w:val="0"/>
        <w:adjustRightInd w:val="0"/>
        <w:spacing w:line="578" w:lineRule="exact"/>
        <w:ind w:firstLineChars="200" w:firstLine="643"/>
        <w:jc w:val="left"/>
        <w:outlineLvl w:val="2"/>
        <w:rPr>
          <w:rFonts w:ascii="仿宋" w:eastAsia="仿宋" w:hAnsi="仿宋"/>
          <w:b/>
          <w:bCs/>
          <w:color w:val="000000"/>
          <w:sz w:val="32"/>
          <w:szCs w:val="32"/>
        </w:rPr>
      </w:pPr>
      <w:bookmarkStart w:id="56" w:name="_Toc15377223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（二）政府采购支出情况</w:t>
      </w:r>
      <w:bookmarkEnd w:id="56"/>
    </w:p>
    <w:p w:rsidR="00176DE7" w:rsidRDefault="00D42919">
      <w:pPr>
        <w:spacing w:line="578" w:lineRule="exact"/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</w:t>
      </w:r>
      <w:r w:rsidR="001459AF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年，大竹县</w:t>
      </w:r>
      <w:r>
        <w:rPr>
          <w:rFonts w:ascii="宋体" w:hAnsi="宋体" w:cs="宋体" w:hint="eastAsia"/>
          <w:color w:val="000000"/>
          <w:sz w:val="30"/>
          <w:szCs w:val="30"/>
        </w:rPr>
        <w:t>高明镇第二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中心小学政府采购支出总额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万元，其中：政府采购货物支出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万元、政府采购工程支出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万元、政府采购服务支出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万元。授予中小企业合同金额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万元，其中：授予小微企业合同金额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176DE7" w:rsidRDefault="00D42919">
      <w:pPr>
        <w:autoSpaceDE w:val="0"/>
        <w:autoSpaceDN w:val="0"/>
        <w:adjustRightInd w:val="0"/>
        <w:spacing w:line="578" w:lineRule="exact"/>
        <w:ind w:firstLineChars="200" w:firstLine="643"/>
        <w:jc w:val="left"/>
        <w:outlineLvl w:val="2"/>
        <w:rPr>
          <w:rFonts w:ascii="仿宋" w:eastAsia="仿宋" w:hAnsi="仿宋"/>
          <w:b/>
          <w:bCs/>
          <w:color w:val="000000"/>
          <w:sz w:val="32"/>
          <w:szCs w:val="32"/>
        </w:rPr>
      </w:pPr>
      <w:bookmarkStart w:id="57" w:name="_Toc15377224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（三）国有资产占有使用情况</w:t>
      </w:r>
      <w:bookmarkEnd w:id="57"/>
    </w:p>
    <w:p w:rsidR="00176DE7" w:rsidRDefault="00D42919">
      <w:pPr>
        <w:spacing w:line="578" w:lineRule="exact"/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 w:rsidR="001459AF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日，大竹县</w:t>
      </w:r>
      <w:r>
        <w:rPr>
          <w:rFonts w:ascii="宋体" w:hAnsi="宋体" w:cs="宋体" w:hint="eastAsia"/>
          <w:color w:val="000000"/>
          <w:sz w:val="30"/>
          <w:szCs w:val="30"/>
        </w:rPr>
        <w:t>高明镇第二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中心小学共有车辆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辆，其中：部级领导干部用车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辆、一般公务用车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辆、一般执法执勤用车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辆、特种专业技术用车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辆、其他用车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辆。单价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万元以上通用设备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台（套），单价</w:t>
      </w:r>
      <w:r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万元以上专用设备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台（套）。</w:t>
      </w:r>
    </w:p>
    <w:p w:rsidR="00176DE7" w:rsidRDefault="00D42919">
      <w:pPr>
        <w:pStyle w:val="11"/>
        <w:spacing w:line="578" w:lineRule="exact"/>
        <w:ind w:left="709" w:firstLineChars="0" w:firstLine="0"/>
        <w:rPr>
          <w:rStyle w:val="Heading2Char"/>
          <w:rFonts w:ascii="黑体" w:eastAsia="黑体" w:hAnsi="黑体" w:cstheme="majorBidi"/>
          <w:b w:val="0"/>
        </w:rPr>
      </w:pPr>
      <w:r>
        <w:rPr>
          <w:rStyle w:val="2Char"/>
          <w:rFonts w:ascii="黑体" w:eastAsia="黑体" w:hAnsi="黑体" w:hint="eastAsia"/>
          <w:b w:val="0"/>
        </w:rPr>
        <w:lastRenderedPageBreak/>
        <w:t>（四）预算绩效情况说明</w:t>
      </w:r>
    </w:p>
    <w:p w:rsidR="00176DE7" w:rsidRDefault="00D42919">
      <w:pPr>
        <w:spacing w:line="578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根据预算绩效管理要求，本单位在年初预算编制阶段，组织对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项目开展了预算事前绩效评估，对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个项目编制了绩效目标，预算执行过程中，选取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个项目开展绩效监控，年终执行完毕后，对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个项目开展了绩效目标完成情况梳理填报。</w:t>
      </w:r>
    </w:p>
    <w:p w:rsidR="00176DE7" w:rsidRDefault="00D42919">
      <w:pPr>
        <w:spacing w:line="578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本部门按要求对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 w:rsidR="001459AF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年部门整体支出开展绩效自评，从评价情况来看良好。</w:t>
      </w:r>
    </w:p>
    <w:p w:rsidR="00176DE7" w:rsidRDefault="00D42919">
      <w:pPr>
        <w:spacing w:line="578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1.项目绩效目标完成情况。</w:t>
      </w:r>
    </w:p>
    <w:p w:rsidR="00176DE7" w:rsidRDefault="00D42919">
      <w:pPr>
        <w:spacing w:line="578" w:lineRule="exact"/>
        <w:ind w:firstLineChars="300"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本部门在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 w:rsidR="001459AF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年度部门决算中反映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个项目绩效目标实际完成情况。</w:t>
      </w:r>
    </w:p>
    <w:p w:rsidR="00176DE7" w:rsidRDefault="00176DE7">
      <w:pPr>
        <w:tabs>
          <w:tab w:val="left" w:pos="312"/>
        </w:tabs>
        <w:spacing w:line="578" w:lineRule="exact"/>
        <w:rPr>
          <w:rFonts w:ascii="仿宋_GB2312" w:eastAsia="仿宋_GB2312" w:hAnsi="仿宋_GB2312"/>
          <w:sz w:val="32"/>
          <w:szCs w:val="32"/>
        </w:rPr>
      </w:pPr>
    </w:p>
    <w:tbl>
      <w:tblPr>
        <w:tblpPr w:leftFromText="180" w:rightFromText="180" w:vertAnchor="text" w:horzAnchor="page" w:tblpXSpec="center" w:tblpY="423"/>
        <w:tblOverlap w:val="never"/>
        <w:tblW w:w="92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1367"/>
        <w:gridCol w:w="1025"/>
        <w:gridCol w:w="2392"/>
        <w:gridCol w:w="2394"/>
        <w:gridCol w:w="1646"/>
      </w:tblGrid>
      <w:tr w:rsidR="00176DE7" w:rsidTr="00BC6D65">
        <w:trPr>
          <w:trHeight w:val="1034"/>
        </w:trPr>
        <w:tc>
          <w:tcPr>
            <w:tcW w:w="9214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pStyle w:val="11"/>
              <w:widowControl/>
              <w:spacing w:line="578" w:lineRule="exact"/>
              <w:ind w:leftChars="1310" w:left="4173" w:hangingChars="395" w:hanging="1422"/>
              <w:textAlignment w:val="center"/>
              <w:rPr>
                <w:rFonts w:ascii="宋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6"/>
                <w:szCs w:val="36"/>
              </w:rPr>
              <w:t>项目支出绩效目标完成情况表</w:t>
            </w:r>
            <w:r>
              <w:rPr>
                <w:rFonts w:ascii="宋体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>(20</w:t>
            </w:r>
            <w:r w:rsidR="001459AF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年度</w:t>
            </w:r>
            <w: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176DE7" w:rsidTr="00BC6D65">
        <w:trPr>
          <w:trHeight w:val="276"/>
        </w:trPr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无</w:t>
            </w:r>
          </w:p>
        </w:tc>
      </w:tr>
      <w:tr w:rsidR="00176DE7" w:rsidTr="00BC6D65">
        <w:trPr>
          <w:trHeight w:val="276"/>
        </w:trPr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6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大竹县高明镇第二中心小学</w:t>
            </w:r>
          </w:p>
        </w:tc>
      </w:tr>
      <w:tr w:rsidR="00176DE7" w:rsidTr="00BC6D65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预算执行情况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预算数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执行数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0</w:t>
            </w:r>
          </w:p>
        </w:tc>
      </w:tr>
      <w:tr w:rsidR="00176DE7" w:rsidTr="00BC6D65">
        <w:trPr>
          <w:trHeight w:val="27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其中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财政拨款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其中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财政拨款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0</w:t>
            </w:r>
          </w:p>
        </w:tc>
      </w:tr>
      <w:tr w:rsidR="00176DE7" w:rsidTr="00BC6D65">
        <w:trPr>
          <w:trHeight w:val="151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其它资金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其它资金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spacing w:line="578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0</w:t>
            </w:r>
          </w:p>
        </w:tc>
      </w:tr>
      <w:tr w:rsidR="00176DE7" w:rsidTr="00BC6D65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年度目标完成情况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预期目标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实际完成目标</w:t>
            </w:r>
          </w:p>
        </w:tc>
      </w:tr>
      <w:tr w:rsidR="00176DE7" w:rsidTr="00BC6D65">
        <w:trPr>
          <w:trHeight w:val="115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176DE7" w:rsidTr="00BC6D65">
        <w:trPr>
          <w:trHeight w:val="1042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绩效指标完成情况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预期指标值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包含数字及文字描述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实际完成指标值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包含数字及文字描述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</w:tr>
      <w:tr w:rsidR="00176DE7" w:rsidTr="00BC6D65">
        <w:trPr>
          <w:trHeight w:val="953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项目完成指标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176DE7" w:rsidTr="00BC6D65">
        <w:trPr>
          <w:trHeight w:val="129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项目完成指标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176DE7" w:rsidTr="00BC6D65">
        <w:trPr>
          <w:trHeight w:val="104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项目完成指标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176DE7" w:rsidTr="00BC6D65">
        <w:trPr>
          <w:trHeight w:val="104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项目完成指标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176DE7" w:rsidTr="00BC6D65">
        <w:trPr>
          <w:trHeight w:val="104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项目完成指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176DE7" w:rsidTr="00BC6D65">
        <w:trPr>
          <w:trHeight w:val="104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……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176DE7" w:rsidTr="00BC6D65">
        <w:trPr>
          <w:trHeight w:val="1042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176DE7" w:rsidTr="00BC6D65">
        <w:trPr>
          <w:trHeight w:val="129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176DE7" w:rsidTr="00BC6D65">
        <w:trPr>
          <w:trHeight w:val="129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176DE7" w:rsidTr="00BC6D65">
        <w:trPr>
          <w:trHeight w:val="1050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DE7" w:rsidRDefault="00176DE7">
            <w:pPr>
              <w:widowControl/>
              <w:spacing w:line="578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D42919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6DE7" w:rsidRDefault="00176DE7">
            <w:pPr>
              <w:widowControl/>
              <w:spacing w:line="578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176DE7" w:rsidRDefault="00D42919">
      <w:pPr>
        <w:spacing w:line="578" w:lineRule="exact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楷体_GB2312"/>
          <w:b/>
          <w:bCs/>
          <w:sz w:val="32"/>
          <w:szCs w:val="32"/>
        </w:rPr>
        <w:br/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部门开展绩效评价结果。</w:t>
      </w:r>
    </w:p>
    <w:p w:rsidR="00176DE7" w:rsidRDefault="00D42919">
      <w:pPr>
        <w:spacing w:line="578" w:lineRule="exact"/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本部门按要求对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 w:rsidR="001459AF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年部门整体支出绩效评价情况开展自评，《大竹县</w:t>
      </w:r>
      <w:r>
        <w:rPr>
          <w:rFonts w:ascii="宋体" w:hAnsi="宋体" w:cs="宋体" w:hint="eastAsia"/>
          <w:color w:val="000000"/>
          <w:sz w:val="30"/>
          <w:szCs w:val="30"/>
        </w:rPr>
        <w:t>高明镇第二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中心小学部门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 w:rsidR="001459AF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年部门整体支出绩效评价报告》见附件</w:t>
      </w:r>
      <w:r w:rsidR="00717446">
        <w:rPr>
          <w:rFonts w:ascii="仿宋_GB2312" w:eastAsia="仿宋_GB2312" w:hAnsi="仿宋_GB2312" w:cs="仿宋_GB2312" w:hint="eastAsia"/>
          <w:sz w:val="32"/>
          <w:szCs w:val="32"/>
        </w:rPr>
        <w:t>。（附件1）</w:t>
      </w:r>
    </w:p>
    <w:p w:rsidR="00176DE7" w:rsidRDefault="00D42919">
      <w:pPr>
        <w:spacing w:line="578" w:lineRule="exact"/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本部门自行组织对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个项目开展了绩效评。</w:t>
      </w:r>
      <w:r w:rsidR="00D26352">
        <w:rPr>
          <w:rFonts w:ascii="仿宋_GB2312" w:eastAsia="仿宋_GB2312" w:hAnsi="仿宋_GB2312" w:cs="仿宋_GB2312" w:hint="eastAsia"/>
          <w:sz w:val="32"/>
          <w:szCs w:val="32"/>
        </w:rPr>
        <w:t>（附件2）</w:t>
      </w:r>
    </w:p>
    <w:p w:rsidR="00176DE7" w:rsidRDefault="00176DE7">
      <w:pPr>
        <w:spacing w:line="578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176DE7" w:rsidRDefault="00176DE7">
      <w:pPr>
        <w:spacing w:line="578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176DE7" w:rsidRDefault="00176DE7">
      <w:pPr>
        <w:spacing w:line="578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176DE7" w:rsidRDefault="00176DE7">
      <w:pPr>
        <w:spacing w:line="578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</w:p>
    <w:p w:rsidR="00937BB7" w:rsidRDefault="00937BB7">
      <w:pPr>
        <w:spacing w:line="578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176DE7" w:rsidRDefault="00176DE7" w:rsidP="002C083E">
      <w:pPr>
        <w:spacing w:line="578" w:lineRule="exact"/>
        <w:rPr>
          <w:rFonts w:ascii="仿宋_GB2312" w:eastAsia="仿宋_GB2312" w:hAnsi="仿宋_GB2312"/>
          <w:sz w:val="32"/>
          <w:szCs w:val="32"/>
        </w:rPr>
      </w:pPr>
    </w:p>
    <w:p w:rsidR="00176DE7" w:rsidRDefault="00D42919">
      <w:pPr>
        <w:numPr>
          <w:ilvl w:val="0"/>
          <w:numId w:val="3"/>
        </w:numPr>
        <w:spacing w:line="600" w:lineRule="exact"/>
        <w:ind w:firstLineChars="150" w:firstLine="663"/>
        <w:jc w:val="center"/>
        <w:outlineLvl w:val="0"/>
        <w:rPr>
          <w:rStyle w:val="1Char"/>
          <w:rFonts w:ascii="黑体" w:eastAsia="黑体" w:hAnsi="黑体"/>
          <w:b w:val="0"/>
        </w:rPr>
      </w:pPr>
      <w:r>
        <w:rPr>
          <w:rFonts w:ascii="黑体" w:eastAsia="黑体" w:hAnsi="黑体" w:hint="eastAsia"/>
          <w:b/>
          <w:color w:val="000000"/>
          <w:sz w:val="44"/>
          <w:szCs w:val="44"/>
        </w:rPr>
        <w:lastRenderedPageBreak/>
        <w:t>名</w:t>
      </w:r>
      <w:r>
        <w:rPr>
          <w:rStyle w:val="1Char"/>
          <w:rFonts w:ascii="黑体" w:eastAsia="黑体" w:hAnsi="黑体" w:hint="eastAsia"/>
          <w:b w:val="0"/>
        </w:rPr>
        <w:t>词解释</w:t>
      </w:r>
      <w:bookmarkEnd w:id="53"/>
      <w:bookmarkEnd w:id="54"/>
    </w:p>
    <w:p w:rsidR="00176DE7" w:rsidRDefault="00176DE7">
      <w:pPr>
        <w:spacing w:line="600" w:lineRule="exact"/>
        <w:jc w:val="left"/>
        <w:rPr>
          <w:rFonts w:ascii="宋体"/>
          <w:b/>
          <w:color w:val="000000"/>
          <w:sz w:val="44"/>
          <w:szCs w:val="44"/>
        </w:rPr>
      </w:pPr>
    </w:p>
    <w:p w:rsidR="00176DE7" w:rsidRDefault="00D42919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58" w:name="_Toc15377226"/>
      <w:r>
        <w:rPr>
          <w:rFonts w:ascii="仿宋_GB2312" w:eastAsia="仿宋_GB2312" w:hint="eastAsia"/>
          <w:sz w:val="32"/>
          <w:szCs w:val="32"/>
        </w:rPr>
        <w:t>1.财政拨款收入：指单位从同级财政部门取得的财政预算资金。</w:t>
      </w:r>
    </w:p>
    <w:p w:rsidR="00176DE7" w:rsidRDefault="00D42919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2.年初结转和结余：指以前年度尚未完成、结转到本年按有关规定继续使用的资金。 </w:t>
      </w:r>
    </w:p>
    <w:p w:rsidR="00176DE7" w:rsidRDefault="00D42919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3、年末结转和结余：指单位按有关规定结转到下年或以后年度继续使用的资金。</w:t>
      </w:r>
    </w:p>
    <w:p w:rsidR="00176DE7" w:rsidRDefault="00D4291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4.教育（205）普通教育（02）小学教育（02）：指教育支出普通教育中的小学教育取得的财政资金。</w:t>
      </w:r>
    </w:p>
    <w:p w:rsidR="00176DE7" w:rsidRDefault="00D4291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 教育（205）普通教育（02）初中教育（03）：指教育支出普通教育中的初中教育取得的财政资金。</w:t>
      </w:r>
    </w:p>
    <w:p w:rsidR="00176DE7" w:rsidRDefault="00D4291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>
        <w:rPr>
          <w:rStyle w:val="a9"/>
          <w:rFonts w:ascii="仿宋_GB2312" w:eastAsia="仿宋_GB2312" w:hAnsi="仿宋" w:hint="eastAsia"/>
          <w:b w:val="0"/>
          <w:color w:val="000000"/>
          <w:sz w:val="32"/>
          <w:szCs w:val="32"/>
        </w:rPr>
        <w:t>社会保障和就业（208）行政事业单位离退休（05）机关事业单位基本养老保险缴费支出（05）</w:t>
      </w:r>
      <w:r>
        <w:rPr>
          <w:rFonts w:ascii="仿宋_GB2312" w:eastAsia="仿宋_GB2312" w:hint="eastAsia"/>
          <w:color w:val="000000"/>
          <w:sz w:val="32"/>
          <w:szCs w:val="32"/>
        </w:rPr>
        <w:t>：指机关事业单位基本养老保险费取得的财政资金。</w:t>
      </w:r>
    </w:p>
    <w:p w:rsidR="00176DE7" w:rsidRDefault="00D4291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</w:t>
      </w:r>
      <w:r>
        <w:rPr>
          <w:rStyle w:val="a9"/>
          <w:rFonts w:ascii="仿宋_GB2312" w:eastAsia="仿宋_GB2312" w:hAnsi="仿宋" w:hint="eastAsia"/>
          <w:b w:val="0"/>
          <w:color w:val="000000"/>
          <w:sz w:val="32"/>
          <w:szCs w:val="32"/>
        </w:rPr>
        <w:t xml:space="preserve"> 住房保障支出（221）住房改革支出（02）住房公积金（01）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2"/>
          <w:szCs w:val="32"/>
        </w:rPr>
        <w:t>指住房公积金取得的财政资金。</w:t>
      </w:r>
    </w:p>
    <w:p w:rsidR="00176DE7" w:rsidRDefault="00D4291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8.基本支出：指为保障机构正常运转、完成日常工作任务而发生的人员支出和公用支出。</w:t>
      </w:r>
    </w:p>
    <w:p w:rsidR="00176DE7" w:rsidRDefault="00D42919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</w:t>
      </w:r>
      <w:r>
        <w:rPr>
          <w:rFonts w:ascii="仿宋_GB2312" w:eastAsia="仿宋_GB2312" w:hint="eastAsia"/>
          <w:sz w:val="32"/>
          <w:szCs w:val="32"/>
        </w:rPr>
        <w:lastRenderedPageBreak/>
        <w:t>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176DE7">
      <w:pPr>
        <w:pStyle w:val="Default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6DE7" w:rsidRDefault="00D42919">
      <w:pPr>
        <w:spacing w:line="600" w:lineRule="exact"/>
        <w:jc w:val="center"/>
        <w:outlineLvl w:val="0"/>
        <w:rPr>
          <w:rStyle w:val="1Char"/>
          <w:rFonts w:ascii="黑体" w:eastAsia="黑体" w:hAnsi="黑体"/>
          <w:b w:val="0"/>
        </w:rPr>
      </w:pPr>
      <w:bookmarkStart w:id="59" w:name="_Toc15396614"/>
      <w:r>
        <w:rPr>
          <w:rFonts w:ascii="黑体" w:eastAsia="黑体" w:hAnsi="黑体" w:hint="eastAsia"/>
          <w:color w:val="000000"/>
          <w:sz w:val="44"/>
          <w:szCs w:val="44"/>
        </w:rPr>
        <w:lastRenderedPageBreak/>
        <w:t>第</w:t>
      </w:r>
      <w:r>
        <w:rPr>
          <w:rStyle w:val="1Char"/>
          <w:rFonts w:ascii="黑体" w:eastAsia="黑体" w:hAnsi="黑体" w:hint="eastAsia"/>
          <w:b w:val="0"/>
        </w:rPr>
        <w:t>四部分 附件</w:t>
      </w:r>
      <w:bookmarkEnd w:id="59"/>
    </w:p>
    <w:p w:rsidR="00176DE7" w:rsidRDefault="00176DE7">
      <w:pPr>
        <w:spacing w:line="600" w:lineRule="exact"/>
        <w:jc w:val="center"/>
        <w:outlineLvl w:val="0"/>
        <w:rPr>
          <w:rStyle w:val="1Char"/>
        </w:rPr>
      </w:pPr>
    </w:p>
    <w:p w:rsidR="00176DE7" w:rsidRDefault="00D42919">
      <w:pPr>
        <w:pStyle w:val="2"/>
        <w:rPr>
          <w:rStyle w:val="1Char"/>
          <w:rFonts w:ascii="仿宋" w:eastAsia="仿宋" w:hAnsi="仿宋"/>
          <w:sz w:val="32"/>
          <w:szCs w:val="32"/>
        </w:rPr>
      </w:pPr>
      <w:bookmarkStart w:id="60" w:name="_Toc15396615"/>
      <w:r>
        <w:rPr>
          <w:rStyle w:val="1Char"/>
          <w:rFonts w:ascii="仿宋" w:eastAsia="仿宋" w:hAnsi="仿宋" w:hint="eastAsia"/>
          <w:sz w:val="32"/>
          <w:szCs w:val="32"/>
        </w:rPr>
        <w:t>附件1</w:t>
      </w:r>
      <w:bookmarkEnd w:id="60"/>
    </w:p>
    <w:p w:rsidR="00176DE7" w:rsidRDefault="00D42919">
      <w:pPr>
        <w:snapToGrid w:val="0"/>
        <w:spacing w:line="578" w:lineRule="exact"/>
        <w:jc w:val="center"/>
        <w:rPr>
          <w:rFonts w:ascii="仿宋_GB2312" w:hAnsi="Calibri"/>
          <w:b/>
          <w:sz w:val="36"/>
          <w:szCs w:val="36"/>
        </w:rPr>
      </w:pPr>
      <w:bookmarkStart w:id="61" w:name="_Toc15396618"/>
      <w:r>
        <w:rPr>
          <w:rFonts w:ascii="仿宋_GB2312" w:hAnsi="Calibri" w:hint="eastAsia"/>
          <w:b/>
          <w:sz w:val="36"/>
          <w:szCs w:val="36"/>
        </w:rPr>
        <w:t>大竹县高明镇第二中心小学</w:t>
      </w:r>
    </w:p>
    <w:p w:rsidR="00176DE7" w:rsidRDefault="00D42919">
      <w:pPr>
        <w:widowControl/>
        <w:spacing w:line="578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20</w:t>
      </w:r>
      <w:r w:rsidR="001459AF"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20</w:t>
      </w:r>
      <w:r>
        <w:rPr>
          <w:rFonts w:ascii="方正小标宋简体" w:eastAsia="方正小标宋简体" w:hAnsi="黑体" w:cs="黑体" w:hint="eastAsia"/>
          <w:bCs/>
          <w:sz w:val="44"/>
          <w:szCs w:val="44"/>
        </w:rPr>
        <w:t>年部门整体支出绩效</w:t>
      </w:r>
      <w:r w:rsidR="00437255">
        <w:rPr>
          <w:rFonts w:ascii="方正小标宋简体" w:eastAsia="方正小标宋简体" w:hAnsi="黑体" w:cs="黑体" w:hint="eastAsia"/>
          <w:bCs/>
          <w:sz w:val="44"/>
          <w:szCs w:val="44"/>
        </w:rPr>
        <w:t>评价</w:t>
      </w:r>
      <w:r>
        <w:rPr>
          <w:rFonts w:ascii="方正小标宋简体" w:eastAsia="方正小标宋简体" w:hAnsi="黑体" w:cs="黑体" w:hint="eastAsia"/>
          <w:bCs/>
          <w:sz w:val="44"/>
          <w:szCs w:val="44"/>
        </w:rPr>
        <w:t>报告</w:t>
      </w:r>
    </w:p>
    <w:p w:rsidR="00176DE7" w:rsidRDefault="00176DE7">
      <w:pPr>
        <w:widowControl/>
        <w:spacing w:line="578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</w:p>
    <w:p w:rsidR="00437255" w:rsidRDefault="00437255" w:rsidP="00437255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黑体" w:eastAsia="黑体" w:hAnsi="宋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</w:rPr>
        <w:t>一、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  <w:lang w:val="zh-CN"/>
        </w:rPr>
        <w:t>部门（单位）概况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b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b/>
          <w:kern w:val="0"/>
          <w:sz w:val="32"/>
          <w:szCs w:val="32"/>
          <w:lang w:val="zh-CN"/>
        </w:rPr>
        <w:t>（一）</w:t>
      </w:r>
      <w:r w:rsidRPr="0043725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val="zh-CN"/>
        </w:rPr>
        <w:t>机构组成</w:t>
      </w:r>
    </w:p>
    <w:p w:rsidR="00176DE7" w:rsidRDefault="00D42919">
      <w:pPr>
        <w:spacing w:line="578" w:lineRule="exact"/>
        <w:ind w:firstLineChars="200" w:firstLine="640"/>
        <w:rPr>
          <w:rFonts w:ascii="仿宋_GB231" w:eastAsia="仿宋_GB231" w:hAnsi="仿宋"/>
          <w:color w:val="333333"/>
          <w:sz w:val="32"/>
          <w:szCs w:val="32"/>
        </w:rPr>
      </w:pPr>
      <w:r>
        <w:rPr>
          <w:rFonts w:ascii="仿宋_GB231" w:eastAsia="仿宋_GB231" w:hAnsi="仿宋" w:hint="eastAsia"/>
          <w:color w:val="333333"/>
          <w:sz w:val="32"/>
          <w:szCs w:val="32"/>
        </w:rPr>
        <w:t>大竹县高明镇第二中心小学是大竹县</w:t>
      </w:r>
      <w:r w:rsidR="00F02E5D">
        <w:rPr>
          <w:rFonts w:ascii="仿宋_GB231" w:eastAsia="仿宋_GB231" w:hAnsi="仿宋" w:hint="eastAsia"/>
          <w:color w:val="333333"/>
          <w:sz w:val="32"/>
          <w:szCs w:val="32"/>
        </w:rPr>
        <w:t>教育和</w:t>
      </w:r>
      <w:r>
        <w:rPr>
          <w:rFonts w:ascii="仿宋_GB231" w:eastAsia="仿宋_GB231" w:hAnsi="仿宋" w:hint="eastAsia"/>
          <w:color w:val="333333"/>
          <w:sz w:val="32"/>
          <w:szCs w:val="32"/>
        </w:rPr>
        <w:t>科</w:t>
      </w:r>
      <w:r w:rsidR="00F02E5D">
        <w:rPr>
          <w:rFonts w:ascii="仿宋_GB231" w:eastAsia="仿宋_GB231" w:hAnsi="仿宋" w:hint="eastAsia"/>
          <w:color w:val="333333"/>
          <w:sz w:val="32"/>
          <w:szCs w:val="32"/>
        </w:rPr>
        <w:t>学技术</w:t>
      </w:r>
      <w:r>
        <w:rPr>
          <w:rFonts w:ascii="仿宋_GB231" w:eastAsia="仿宋_GB231" w:hAnsi="仿宋" w:hint="eastAsia"/>
          <w:color w:val="333333"/>
          <w:sz w:val="32"/>
          <w:szCs w:val="32"/>
        </w:rPr>
        <w:t>局下属的</w:t>
      </w:r>
      <w:r w:rsidR="00F02E5D">
        <w:rPr>
          <w:rFonts w:ascii="仿宋_GB231" w:eastAsia="仿宋_GB231" w:hAnsi="仿宋" w:hint="eastAsia"/>
          <w:color w:val="333333"/>
          <w:sz w:val="32"/>
          <w:szCs w:val="32"/>
        </w:rPr>
        <w:t>完全小</w:t>
      </w:r>
      <w:r>
        <w:rPr>
          <w:rFonts w:ascii="仿宋_GB231" w:eastAsia="仿宋_GB231" w:hAnsi="仿宋" w:hint="eastAsia"/>
          <w:color w:val="333333"/>
          <w:sz w:val="32"/>
          <w:szCs w:val="32"/>
        </w:rPr>
        <w:t>学，属财政全额拨款事业单位。</w:t>
      </w:r>
    </w:p>
    <w:p w:rsidR="00176DE7" w:rsidRPr="00437255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ascii="仿宋_GB231" w:eastAsia="仿宋_GB231" w:hAnsi="仿宋" w:cs="宋体" w:hint="eastAsia"/>
          <w:b/>
          <w:kern w:val="0"/>
          <w:sz w:val="32"/>
          <w:szCs w:val="32"/>
          <w:lang w:val="zh-CN"/>
        </w:rPr>
        <w:t>（二）</w:t>
      </w:r>
      <w:r w:rsidRPr="0043725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val="zh-CN"/>
        </w:rPr>
        <w:t>机构职能</w:t>
      </w:r>
    </w:p>
    <w:p w:rsidR="00176DE7" w:rsidRDefault="00D42919">
      <w:pPr>
        <w:pStyle w:val="a4"/>
        <w:adjustRightInd w:val="0"/>
        <w:snapToGrid w:val="0"/>
        <w:spacing w:before="93" w:line="578" w:lineRule="exact"/>
        <w:ind w:firstLineChars="200" w:firstLine="640"/>
        <w:rPr>
          <w:rFonts w:ascii="仿宋_GB231" w:eastAsia="仿宋_GB231" w:hAnsi="仿宋"/>
          <w:color w:val="333333"/>
          <w:sz w:val="32"/>
          <w:szCs w:val="32"/>
        </w:rPr>
      </w:pPr>
      <w:r w:rsidRPr="00437255">
        <w:rPr>
          <w:rFonts w:hAnsi="宋体" w:cs="宋体" w:hint="eastAsia"/>
          <w:color w:val="000000"/>
          <w:sz w:val="32"/>
          <w:szCs w:val="32"/>
          <w:shd w:val="clear" w:color="auto" w:fill="FFFFFF"/>
          <w:lang w:val="zh-CN"/>
        </w:rPr>
        <w:t>贯彻执行国家教育</w:t>
      </w:r>
      <w:r>
        <w:rPr>
          <w:rFonts w:ascii="仿宋_GB231" w:eastAsia="仿宋_GB231" w:hAnsi="仿宋" w:hint="eastAsia"/>
          <w:color w:val="333333"/>
          <w:sz w:val="32"/>
          <w:szCs w:val="32"/>
        </w:rPr>
        <w:t>方针，承担实施小学义务教育，促进基础教育发展，进行小学、初中学历教育及相关社会服务。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b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b/>
          <w:kern w:val="0"/>
          <w:sz w:val="32"/>
          <w:szCs w:val="32"/>
          <w:lang w:val="zh-CN"/>
        </w:rPr>
        <w:t>（三）</w:t>
      </w:r>
      <w:r w:rsidRPr="0043725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  <w:lang w:val="zh-CN"/>
        </w:rPr>
        <w:t>人员概况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大竹县高明镇第二中心小学编制人数</w:t>
      </w:r>
      <w:r w:rsidR="001459AF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51</w:t>
      </w:r>
      <w:r w:rsidR="002C083E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人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，现有教职工</w:t>
      </w:r>
      <w:r w:rsidR="001459AF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小学47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人，退休教2</w:t>
      </w:r>
      <w:r w:rsidR="001459AF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6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人，遗属</w:t>
      </w:r>
      <w:r w:rsidR="001459AF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5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人。</w:t>
      </w:r>
    </w:p>
    <w:p w:rsidR="00176DE7" w:rsidRPr="00437255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黑体" w:eastAsia="黑体" w:hAnsi="宋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 w:rsidRPr="00437255">
        <w:rPr>
          <w:rFonts w:ascii="黑体" w:eastAsia="黑体" w:hAnsi="宋体" w:cs="宋体" w:hint="eastAsia"/>
          <w:color w:val="000000"/>
          <w:kern w:val="0"/>
          <w:sz w:val="32"/>
          <w:szCs w:val="32"/>
          <w:shd w:val="clear" w:color="auto" w:fill="FFFFFF"/>
          <w:lang w:val="zh-CN"/>
        </w:rPr>
        <w:t>二、部门财政资金收支情况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b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b/>
          <w:kern w:val="0"/>
          <w:sz w:val="32"/>
          <w:szCs w:val="32"/>
          <w:lang w:val="zh-CN"/>
        </w:rPr>
        <w:t>（一）部门财政资金收入情况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我校20</w:t>
      </w:r>
      <w:r w:rsidR="001459AF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20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年度人员经费拨款收入6</w:t>
      </w:r>
      <w:r w:rsidR="00D65573">
        <w:rPr>
          <w:rFonts w:ascii="仿宋_GB231" w:eastAsia="仿宋_GB231" w:hAnsi="仿宋" w:cs="宋体"/>
          <w:kern w:val="0"/>
          <w:sz w:val="32"/>
          <w:szCs w:val="32"/>
          <w:lang w:val="zh-CN"/>
        </w:rPr>
        <w:t>85.2</w:t>
      </w:r>
      <w:r w:rsidR="00650A33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3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万元，公用经费拨款收入</w:t>
      </w:r>
      <w:r w:rsidR="00D65573">
        <w:rPr>
          <w:rFonts w:ascii="仿宋_GB231" w:eastAsia="仿宋_GB231" w:hAnsi="仿宋" w:cs="宋体"/>
          <w:kern w:val="0"/>
          <w:sz w:val="32"/>
          <w:szCs w:val="32"/>
          <w:lang w:val="zh-CN"/>
        </w:rPr>
        <w:t>167.12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万元，项目建设财政拨款收入</w:t>
      </w:r>
      <w:r w:rsidR="00D65573">
        <w:rPr>
          <w:rFonts w:ascii="仿宋_GB231" w:eastAsia="仿宋_GB231" w:hAnsi="仿宋" w:cs="宋体"/>
          <w:kern w:val="0"/>
          <w:sz w:val="32"/>
          <w:szCs w:val="32"/>
          <w:lang w:val="zh-CN"/>
        </w:rPr>
        <w:t>97.48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万元。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b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b/>
          <w:kern w:val="0"/>
          <w:sz w:val="32"/>
          <w:szCs w:val="32"/>
          <w:lang w:val="zh-CN"/>
        </w:rPr>
        <w:t>（二）部门财政资金支出情况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lastRenderedPageBreak/>
        <w:t>我校20</w:t>
      </w:r>
      <w:r w:rsidR="00437255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20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年度人员经费支出</w:t>
      </w:r>
      <w:r w:rsidR="00D65573">
        <w:rPr>
          <w:rFonts w:ascii="仿宋_GB231" w:eastAsia="仿宋_GB231" w:hAnsi="仿宋" w:cs="宋体"/>
          <w:kern w:val="0"/>
          <w:sz w:val="32"/>
          <w:szCs w:val="32"/>
          <w:lang w:val="zh-CN"/>
        </w:rPr>
        <w:t>685.2</w:t>
      </w:r>
      <w:r w:rsidR="00650A33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3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万元，公用经费支出</w:t>
      </w:r>
      <w:r w:rsidR="00D65573">
        <w:rPr>
          <w:rFonts w:ascii="仿宋_GB231" w:eastAsia="仿宋_GB231" w:hAnsi="仿宋" w:cs="宋体"/>
          <w:kern w:val="0"/>
          <w:sz w:val="32"/>
          <w:szCs w:val="32"/>
          <w:lang w:val="zh-CN"/>
        </w:rPr>
        <w:t>167.12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万元，项目经费支出</w:t>
      </w:r>
      <w:r w:rsidR="00D65573">
        <w:rPr>
          <w:rFonts w:ascii="仿宋_GB231" w:eastAsia="仿宋_GB231" w:hAnsi="仿宋" w:cs="宋体"/>
          <w:kern w:val="0"/>
          <w:sz w:val="32"/>
          <w:szCs w:val="32"/>
          <w:lang w:val="zh-CN"/>
        </w:rPr>
        <w:t>97.48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万元。</w:t>
      </w:r>
    </w:p>
    <w:p w:rsidR="00176DE7" w:rsidRDefault="00D42919">
      <w:pPr>
        <w:widowControl/>
        <w:adjustRightInd w:val="0"/>
        <w:snapToGrid w:val="0"/>
        <w:spacing w:line="580" w:lineRule="exact"/>
        <w:ind w:firstLineChars="200" w:firstLine="640"/>
        <w:contextualSpacing/>
        <w:jc w:val="left"/>
        <w:rPr>
          <w:rFonts w:ascii="仿宋_GB231" w:eastAsia="仿宋_GB231" w:hAnsi="仿宋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" w:eastAsia="仿宋_GB231" w:hAnsi="仿宋" w:cs="宋体" w:hint="eastAsia"/>
          <w:kern w:val="0"/>
          <w:sz w:val="32"/>
          <w:szCs w:val="32"/>
        </w:rPr>
        <w:t>三、</w:t>
      </w:r>
      <w:r>
        <w:rPr>
          <w:rFonts w:ascii="仿宋_GB231" w:eastAsia="仿宋_GB231" w:hAnsi="仿宋" w:cs="宋体" w:hint="eastAsia"/>
          <w:color w:val="000000"/>
          <w:kern w:val="0"/>
          <w:sz w:val="32"/>
          <w:szCs w:val="32"/>
          <w:shd w:val="clear" w:color="auto" w:fill="FFFFFF"/>
        </w:rPr>
        <w:t>部门整体预算绩效管理情况</w:t>
      </w:r>
    </w:p>
    <w:p w:rsidR="00176DE7" w:rsidRDefault="00D42919">
      <w:pPr>
        <w:widowControl/>
        <w:adjustRightInd w:val="0"/>
        <w:snapToGrid w:val="0"/>
        <w:spacing w:line="580" w:lineRule="exact"/>
        <w:ind w:firstLineChars="200" w:firstLine="643"/>
        <w:contextualSpacing/>
        <w:jc w:val="left"/>
        <w:rPr>
          <w:rFonts w:ascii="仿宋_GB231" w:eastAsia="仿宋_GB231" w:hAnsi="仿宋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" w:eastAsia="仿宋_GB231" w:hAnsi="仿宋" w:cs="宋体" w:hint="eastAsia"/>
          <w:b/>
          <w:color w:val="000000"/>
          <w:kern w:val="0"/>
          <w:sz w:val="32"/>
          <w:szCs w:val="32"/>
          <w:shd w:val="clear" w:color="auto" w:fill="FFFFFF"/>
        </w:rPr>
        <w:t>（一）部门预算管理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b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b/>
          <w:kern w:val="0"/>
          <w:sz w:val="32"/>
          <w:szCs w:val="32"/>
          <w:lang w:val="zh-CN"/>
        </w:rPr>
        <w:t>1、预算编制情况。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rPr>
          <w:rFonts w:ascii="仿宋_GB231" w:eastAsia="仿宋_GB231" w:hAnsi="仿宋" w:cs="宋体"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严格按照县财政部门下达的预算指标高质量编制</w:t>
      </w:r>
      <w:r w:rsidR="00D65573">
        <w:rPr>
          <w:rFonts w:ascii="仿宋_GB231" w:eastAsia="仿宋_GB231" w:hAnsi="仿宋" w:cs="宋体"/>
          <w:kern w:val="0"/>
          <w:sz w:val="32"/>
          <w:szCs w:val="32"/>
          <w:lang w:val="zh-CN"/>
        </w:rPr>
        <w:t>2020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年度部门预算。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b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b/>
          <w:kern w:val="0"/>
          <w:sz w:val="32"/>
          <w:szCs w:val="32"/>
          <w:lang w:val="zh-CN"/>
        </w:rPr>
        <w:t>2、执行管理情况。</w:t>
      </w:r>
      <w:r>
        <w:rPr>
          <w:rFonts w:ascii="仿宋_GB231" w:eastAsia="仿宋_GB231" w:hAnsi="仿宋" w:cs="宋体" w:hint="eastAsia"/>
          <w:b/>
          <w:kern w:val="0"/>
          <w:sz w:val="32"/>
          <w:szCs w:val="32"/>
          <w:lang w:val="zh-CN"/>
        </w:rPr>
        <w:tab/>
      </w:r>
    </w:p>
    <w:p w:rsidR="00176DE7" w:rsidRDefault="00D42919" w:rsidP="00F02E5D">
      <w:pPr>
        <w:widowControl/>
        <w:adjustRightInd w:val="0"/>
        <w:snapToGrid w:val="0"/>
        <w:spacing w:line="578" w:lineRule="exact"/>
        <w:ind w:firstLine="720"/>
        <w:rPr>
          <w:rFonts w:ascii="仿宋_GB231" w:eastAsia="仿宋_GB231" w:hAnsi="仿宋" w:cs="宋体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根据《大竹县财政局关于批复</w:t>
      </w:r>
      <w:r w:rsidR="00D65573">
        <w:rPr>
          <w:rFonts w:ascii="仿宋_GB231" w:eastAsia="仿宋_GB231" w:hAnsi="仿宋" w:cs="宋体"/>
          <w:kern w:val="0"/>
          <w:sz w:val="32"/>
          <w:szCs w:val="32"/>
          <w:lang w:val="zh-CN"/>
        </w:rPr>
        <w:t>2020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年度部门预算</w:t>
      </w:r>
      <w:r w:rsidR="00F02E5D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的通知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》批复给我校</w:t>
      </w:r>
      <w:r w:rsidR="00D65573">
        <w:rPr>
          <w:rFonts w:ascii="仿宋_GB231" w:eastAsia="仿宋_GB231" w:hAnsi="仿宋" w:cs="宋体"/>
          <w:kern w:val="0"/>
          <w:sz w:val="32"/>
          <w:szCs w:val="32"/>
          <w:lang w:val="zh-CN"/>
        </w:rPr>
        <w:t>2020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年预算为：</w:t>
      </w:r>
      <w:r w:rsidR="002C083E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本年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收</w:t>
      </w:r>
      <w:r w:rsidR="002C083E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入</w:t>
      </w:r>
      <w:r w:rsidR="00C20108">
        <w:rPr>
          <w:rFonts w:ascii="仿宋_GB231" w:eastAsia="仿宋_GB231" w:hAnsi="仿宋" w:cs="宋体"/>
          <w:kern w:val="0"/>
          <w:sz w:val="32"/>
          <w:szCs w:val="32"/>
          <w:lang w:val="zh-CN"/>
        </w:rPr>
        <w:t>6</w:t>
      </w:r>
      <w:r w:rsidR="002C083E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83.74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万元，上年结转4</w:t>
      </w:r>
      <w:r w:rsidR="00C20108">
        <w:rPr>
          <w:rFonts w:ascii="仿宋_GB231" w:eastAsia="仿宋_GB231" w:hAnsi="仿宋" w:cs="宋体"/>
          <w:kern w:val="0"/>
          <w:sz w:val="32"/>
          <w:szCs w:val="32"/>
          <w:lang w:val="zh-CN"/>
        </w:rPr>
        <w:t>95.35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万元，</w:t>
      </w:r>
      <w:r w:rsidR="002C083E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本年支出949.81万元，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年底结余</w:t>
      </w:r>
      <w:r w:rsidR="00C20108">
        <w:rPr>
          <w:rFonts w:ascii="仿宋_GB231" w:eastAsia="仿宋_GB231" w:hAnsi="仿宋" w:cs="宋体"/>
          <w:kern w:val="0"/>
          <w:sz w:val="32"/>
          <w:szCs w:val="32"/>
          <w:lang w:val="zh-CN"/>
        </w:rPr>
        <w:t>229.27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万元。20</w:t>
      </w:r>
      <w:r w:rsidR="00C20108">
        <w:rPr>
          <w:rFonts w:ascii="仿宋_GB231" w:eastAsia="仿宋_GB231" w:hAnsi="仿宋" w:cs="宋体"/>
          <w:kern w:val="0"/>
          <w:sz w:val="32"/>
          <w:szCs w:val="32"/>
          <w:lang w:val="zh-CN"/>
        </w:rPr>
        <w:t>20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年度“三公”经费预算为0.</w:t>
      </w:r>
      <w:r w:rsidR="002C083E"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2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万元，支出为0.</w:t>
      </w:r>
      <w:r w:rsidR="00C20108">
        <w:rPr>
          <w:rFonts w:ascii="仿宋_GB231" w:eastAsia="仿宋_GB231" w:hAnsi="仿宋" w:cs="宋体"/>
          <w:kern w:val="0"/>
          <w:sz w:val="32"/>
          <w:szCs w:val="32"/>
          <w:lang w:val="zh-CN"/>
        </w:rPr>
        <w:t>17</w:t>
      </w:r>
      <w:r>
        <w:rPr>
          <w:rFonts w:ascii="仿宋_GB231" w:eastAsia="仿宋_GB231" w:hAnsi="仿宋" w:cs="宋体" w:hint="eastAsia"/>
          <w:kern w:val="0"/>
          <w:sz w:val="32"/>
          <w:szCs w:val="32"/>
          <w:lang w:val="zh-CN"/>
        </w:rPr>
        <w:t>万元。</w:t>
      </w:r>
    </w:p>
    <w:p w:rsidR="00176DE7" w:rsidRDefault="00D42919">
      <w:pPr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b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b/>
          <w:kern w:val="0"/>
          <w:sz w:val="32"/>
          <w:szCs w:val="32"/>
          <w:lang w:val="zh-CN"/>
        </w:rPr>
        <w:t>3、综合管理情况。</w:t>
      </w:r>
    </w:p>
    <w:p w:rsidR="00176DE7" w:rsidRDefault="00D42919" w:rsidP="00F02E5D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公用经费支出是指部门基本支出中的一般商品和服务支出，20</w:t>
      </w:r>
      <w:r w:rsidR="00C20108">
        <w:rPr>
          <w:rFonts w:ascii="仿宋_GB231" w:eastAsia="仿宋_GB231" w:hAnsi="仿宋" w:cs="宋体"/>
          <w:color w:val="333333"/>
          <w:kern w:val="0"/>
          <w:sz w:val="32"/>
          <w:szCs w:val="32"/>
        </w:rPr>
        <w:t>20</w:t>
      </w: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年公用经费实际支出为</w:t>
      </w:r>
      <w:r w:rsidR="00C20108">
        <w:rPr>
          <w:rFonts w:ascii="仿宋_GB231" w:eastAsia="仿宋_GB231" w:hAnsi="仿宋" w:cs="宋体"/>
          <w:color w:val="333333"/>
          <w:kern w:val="0"/>
          <w:sz w:val="32"/>
          <w:szCs w:val="32"/>
        </w:rPr>
        <w:t>167.12</w:t>
      </w: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万元，年初预算安排公用经费总额为</w:t>
      </w:r>
      <w:r w:rsidR="00C20108">
        <w:rPr>
          <w:rFonts w:ascii="仿宋_GB231" w:eastAsia="仿宋_GB231" w:hAnsi="仿宋" w:cs="宋体"/>
          <w:color w:val="333333"/>
          <w:kern w:val="0"/>
          <w:sz w:val="32"/>
          <w:szCs w:val="32"/>
        </w:rPr>
        <w:t>167.12</w:t>
      </w: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万元，与预算持平。</w:t>
      </w:r>
    </w:p>
    <w:p w:rsidR="00176DE7" w:rsidRDefault="00D42919" w:rsidP="00F02E5D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20</w:t>
      </w:r>
      <w:r w:rsidR="00C20108">
        <w:rPr>
          <w:rFonts w:ascii="仿宋_GB231" w:eastAsia="仿宋_GB231" w:hAnsi="仿宋" w:cs="宋体"/>
          <w:color w:val="333333"/>
          <w:kern w:val="0"/>
          <w:sz w:val="32"/>
          <w:szCs w:val="32"/>
        </w:rPr>
        <w:t>20</w:t>
      </w: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年“三公经费”实际支出数为0.</w:t>
      </w:r>
      <w:r w:rsidR="00C20108">
        <w:rPr>
          <w:rFonts w:ascii="仿宋_GB231" w:eastAsia="仿宋_GB231" w:hAnsi="仿宋" w:cs="宋体"/>
          <w:color w:val="333333"/>
          <w:kern w:val="0"/>
          <w:sz w:val="32"/>
          <w:szCs w:val="32"/>
        </w:rPr>
        <w:t>17</w:t>
      </w: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 xml:space="preserve">万元，“三公经费”预算安排数为0.2万元。　</w:t>
      </w:r>
    </w:p>
    <w:p w:rsidR="00176DE7" w:rsidRDefault="00D42919" w:rsidP="00F02E5D">
      <w:pPr>
        <w:widowControl/>
        <w:shd w:val="clear" w:color="auto" w:fill="FFFFFF"/>
        <w:spacing w:line="578" w:lineRule="exact"/>
        <w:ind w:firstLineChars="200" w:firstLine="640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通过内部控制制度建设，制度管理深入人心，财务管理工作稳步提升，各项规定进一步细化，管理措施落实有效，提高了管理效能，节支效果显著。</w:t>
      </w:r>
    </w:p>
    <w:p w:rsidR="00176DE7" w:rsidRDefault="00D42919" w:rsidP="00F02E5D">
      <w:pPr>
        <w:widowControl/>
        <w:adjustRightInd w:val="0"/>
        <w:snapToGrid w:val="0"/>
        <w:spacing w:line="580" w:lineRule="exact"/>
        <w:ind w:firstLineChars="200" w:firstLine="640"/>
        <w:contextualSpacing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资金使用严格遵守各项财经法规和财务管理制度规定，项目资金严格执照专项资金管理办法进行管理，资金的拨付</w:t>
      </w: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lastRenderedPageBreak/>
        <w:t>执行了完整的审批程序和手续，支出符合部门预算批复的用途，无截留、挤占、挪用、虚列支出等情况。</w:t>
      </w:r>
    </w:p>
    <w:p w:rsidR="00176DE7" w:rsidRDefault="00D42919" w:rsidP="00437255">
      <w:pPr>
        <w:widowControl/>
        <w:adjustRightInd w:val="0"/>
        <w:snapToGrid w:val="0"/>
        <w:spacing w:line="580" w:lineRule="exact"/>
        <w:ind w:firstLineChars="100" w:firstLine="321"/>
        <w:contextualSpacing/>
        <w:jc w:val="left"/>
        <w:rPr>
          <w:rFonts w:ascii="仿宋_GB231" w:eastAsia="仿宋_GB231" w:hAnsi="仿宋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" w:eastAsia="仿宋_GB231" w:hAnsi="仿宋" w:cs="宋体" w:hint="eastAsia"/>
          <w:b/>
          <w:color w:val="000000"/>
          <w:kern w:val="0"/>
          <w:sz w:val="32"/>
          <w:szCs w:val="32"/>
          <w:shd w:val="clear" w:color="auto" w:fill="FFFFFF"/>
        </w:rPr>
        <w:t>（二）专项预算管理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我校20</w:t>
      </w:r>
      <w:r w:rsidR="00C20108">
        <w:rPr>
          <w:rFonts w:ascii="仿宋_GB231" w:eastAsia="仿宋_GB231" w:hAnsi="仿宋" w:cs="宋体"/>
          <w:color w:val="333333"/>
          <w:kern w:val="0"/>
          <w:sz w:val="32"/>
          <w:szCs w:val="32"/>
        </w:rPr>
        <w:t>20</w:t>
      </w: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年无专项资金。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" w:eastAsia="仿宋_GB231" w:hAnsi="仿宋" w:cs="宋体" w:hint="eastAsia"/>
          <w:b/>
          <w:color w:val="000000"/>
          <w:kern w:val="0"/>
          <w:sz w:val="32"/>
          <w:szCs w:val="32"/>
          <w:shd w:val="clear" w:color="auto" w:fill="FFFFFF"/>
        </w:rPr>
        <w:t>（三）结果应用情况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20</w:t>
      </w:r>
      <w:r w:rsidR="00437255"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20</w:t>
      </w: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年我校在县委、县政府的正确领导下，全校职工上下齐心，圆满完成了年初绩效工作目标。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1、未雨绸缪抓管理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强化教师思想政治学习学校的发展师资是关键，学校要发展一要有凝聚力强、服务意识浓的领导班子，二要拥有教育理念超前、业务素质过硬的教师团队。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2、倾心尽力抓教学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教师的成长是学校发展的永恒主题，因为学校的教育思想、教育目标，必须通过每一个教师来实现。教师专业的成长一靠学习二靠研究。为促进教师的成长，学校制定了一系列的保障措施。首先加强教师职业道德建设，加强德育工作，积极引导广大教师确立“敬业博学、律已开拓”的教风。号召全体教师争做“学生爱戴、家长信赖”的教师，增强“校兴我荣、校衰我耻”的忧患意识和“一切为了学生、为了学生一切”的责任意识和质量意识，以高尚的情操引导学生德、智、体、美全面发展。并通过开展“师德标兵”“模范班主任”“学生、家长最喜欢的老师”的评选活动促进教师的发展。给教师规定硬性的学习任务。如每周教师要参加一次教研活动、听一节课，写一篇学习笔记，读一篇教学论文，每</w:t>
      </w: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lastRenderedPageBreak/>
        <w:t>学期需有政治学习笔记、党员学习笔记、学习心得；读一本教育专著，写两篇分别不低于2000字的教育感悟论文等等。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 xml:space="preserve"> 3、 安全工作。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认真做好安全知识教育，提高学生的自救、互救意识和能力。按照 “六个一”的要求，切实做到每月召开一次安全教育师生大会，每班每周召开一次安全教育主题班会，每期举行一次“安全知识”竞赛，每个学生每学期做一篇安全教育方面的作文，开辟一个安全教育专栏，举行一次安全防护技能演练。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4、 强化后勤管理　全面保障教育教学活动。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学校后勤管理工作是学校工作的重要组成部分，后勤工作的好坏，直接影响着学校教育教学工作的顺利进行。学校是培养人、教育人的地方，多出人才，出好人才，是教育改革的根本目的。因此，学校的后勤工作必须围绕这个目的，建设和创造良好的教学环境，改善办学条件，充实教学设备，抓好师生生活，为教育改革服务。为教学服务、为师生生活服务，是学校后勤工作的基本原则。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首先学校要选配好合适的后勤管理人员。他们要有一颗高度的责任心，认真负责，爱校如家，办事热心、细心、耐心。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第二，处理好学校的经费管理。建立健全财务管理制度，经费审批制度，报销验收制度，检查监督和民主理财制度，坚持“校财局管校用”的逐级审批原则；保证专款专用，接受上级有关部门的检查及老师监督。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lastRenderedPageBreak/>
        <w:t>第三，做好校产的管理。学校后勤管理不但要重视开源，而且更应当注意节流，重视节约物力，做好校产的保管．维修工作，大力提高校产的使用率，延长校产的使用年限，加速校产使用的周转率。管好校产必须建立和健全各种财产管理的责任制。所有校产都要建立账卡或登记簿，分门别类登记造册，我们学校每样财产都有财产登记清单，并且设有资产登记卡，标明每样财产的购买时间以及金额，做到手续完备，账目清楚，帐物相符，杜绝流失和浪费现象的发生。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第四，开展好后勤工作的社会化、服务化的改革。我们学校的食堂就是学校后勤工作社会化的成果。学校的食堂交由社会化管理，学校节约了人力物力，减轻了管理负担。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5、严格管理，各项制度日趋完善</w:t>
      </w:r>
    </w:p>
    <w:p w:rsidR="00176DE7" w:rsidRDefault="00D42919">
      <w:pPr>
        <w:widowControl/>
        <w:shd w:val="clear" w:color="auto" w:fill="FFFFFF"/>
        <w:spacing w:line="578" w:lineRule="exact"/>
        <w:ind w:firstLine="482"/>
        <w:rPr>
          <w:rFonts w:ascii="仿宋_GB231" w:eastAsia="仿宋_GB231" w:hAnsi="仿宋" w:cs="宋体"/>
          <w:color w:val="333333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color w:val="333333"/>
          <w:kern w:val="0"/>
          <w:sz w:val="32"/>
          <w:szCs w:val="32"/>
        </w:rPr>
        <w:t>在学校发展规划实施过程中，现代学校制度建设是一项必须要做而且要认真做好的重要工作，因为它是实施依法治校、提高管理绩效的前提。“人叫人动人不动，制度调动积极性”，现代管理的基本原则是靠制度科学管理，制定切实可行的各项规章制度，并严格按制度约束师生的行为是搞好学校工作的最有效途径。而且可以减少领导与教师的矛盾。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rPr>
          <w:rFonts w:ascii="仿宋_GB231" w:eastAsia="仿宋_GB231" w:hAnsi="仿宋" w:cs="宋体"/>
          <w:kern w:val="0"/>
          <w:sz w:val="32"/>
          <w:szCs w:val="32"/>
        </w:rPr>
      </w:pPr>
      <w:r>
        <w:rPr>
          <w:rFonts w:ascii="仿宋_GB231" w:eastAsia="仿宋_GB231" w:hAnsi="仿宋" w:cs="宋体" w:hint="eastAsia"/>
          <w:kern w:val="0"/>
          <w:sz w:val="32"/>
          <w:szCs w:val="32"/>
        </w:rPr>
        <w:t>四、评价结论及建议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b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b/>
          <w:kern w:val="0"/>
          <w:sz w:val="32"/>
          <w:szCs w:val="32"/>
          <w:lang w:val="zh-CN"/>
        </w:rPr>
        <w:t>（一）评价结论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b/>
          <w:kern w:val="0"/>
          <w:sz w:val="32"/>
          <w:szCs w:val="32"/>
          <w:lang w:val="zh-CN"/>
        </w:rPr>
      </w:pPr>
      <w:r>
        <w:rPr>
          <w:rFonts w:ascii="仿宋_GB231" w:eastAsia="仿宋_GB231" w:hAnsi="仿宋" w:hint="eastAsia"/>
          <w:color w:val="000000"/>
          <w:sz w:val="32"/>
          <w:szCs w:val="32"/>
        </w:rPr>
        <w:t>20</w:t>
      </w:r>
      <w:r w:rsidR="00437255">
        <w:rPr>
          <w:rFonts w:ascii="仿宋_GB231" w:eastAsia="仿宋_GB231" w:hAnsi="仿宋" w:hint="eastAsia"/>
          <w:color w:val="000000"/>
          <w:sz w:val="32"/>
          <w:szCs w:val="32"/>
        </w:rPr>
        <w:t>20</w:t>
      </w:r>
      <w:r>
        <w:rPr>
          <w:rFonts w:ascii="仿宋_GB231" w:eastAsia="仿宋_GB231" w:hAnsi="仿宋" w:hint="eastAsia"/>
          <w:color w:val="000000"/>
          <w:sz w:val="32"/>
          <w:szCs w:val="32"/>
        </w:rPr>
        <w:t>年，是稳中求进的一年，我校的教育教学工作取得了显著的成绩，学校务实的校风，严谨的学风，科学规范的管理，良好的教育教学环境，浓厚的校园文化氛围受到上级领导的好评。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b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b/>
          <w:kern w:val="0"/>
          <w:sz w:val="32"/>
          <w:szCs w:val="32"/>
          <w:lang w:val="zh-CN"/>
        </w:rPr>
        <w:lastRenderedPageBreak/>
        <w:t>（二）存在问题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b/>
          <w:kern w:val="0"/>
          <w:sz w:val="32"/>
          <w:szCs w:val="32"/>
          <w:lang w:val="zh-CN"/>
        </w:rPr>
      </w:pPr>
      <w:r>
        <w:rPr>
          <w:rFonts w:ascii="仿宋_GB231" w:eastAsia="仿宋_GB231" w:hAnsi="仿宋" w:hint="eastAsia"/>
          <w:color w:val="000000"/>
          <w:sz w:val="32"/>
          <w:szCs w:val="32"/>
        </w:rPr>
        <w:t>预算控制比较薄弱。部门整体支出的预算资金安排和使用上仍有不可预见性，年中需要追加部分经费，导致预算控制率低。</w:t>
      </w:r>
    </w:p>
    <w:p w:rsidR="00176DE7" w:rsidRDefault="00D42919">
      <w:pPr>
        <w:widowControl/>
        <w:adjustRightInd w:val="0"/>
        <w:snapToGrid w:val="0"/>
        <w:spacing w:line="578" w:lineRule="exact"/>
        <w:ind w:firstLine="720"/>
        <w:jc w:val="left"/>
        <w:outlineLvl w:val="0"/>
        <w:rPr>
          <w:rFonts w:ascii="仿宋_GB231" w:eastAsia="仿宋_GB231" w:hAnsi="仿宋" w:cs="宋体"/>
          <w:b/>
          <w:kern w:val="0"/>
          <w:sz w:val="32"/>
          <w:szCs w:val="32"/>
          <w:lang w:val="zh-CN"/>
        </w:rPr>
      </w:pPr>
      <w:r>
        <w:rPr>
          <w:rFonts w:ascii="仿宋_GB231" w:eastAsia="仿宋_GB231" w:hAnsi="仿宋" w:cs="宋体" w:hint="eastAsia"/>
          <w:b/>
          <w:kern w:val="0"/>
          <w:sz w:val="32"/>
          <w:szCs w:val="32"/>
          <w:lang w:val="zh-CN"/>
        </w:rPr>
        <w:t>（三）改进建议</w:t>
      </w:r>
    </w:p>
    <w:p w:rsidR="00176DE7" w:rsidRDefault="00D42919">
      <w:pPr>
        <w:pStyle w:val="a8"/>
        <w:shd w:val="clear" w:color="auto" w:fill="FFFFFF"/>
        <w:spacing w:before="0" w:beforeAutospacing="0" w:after="0" w:afterAutospacing="0" w:line="578" w:lineRule="exact"/>
        <w:ind w:firstLine="795"/>
        <w:rPr>
          <w:color w:val="000000"/>
          <w:sz w:val="21"/>
          <w:szCs w:val="21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1、加强预算管理，严格预算执行，科学编制预算。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合理使用好每一笔经费开支，做到专款专用。</w:t>
      </w:r>
    </w:p>
    <w:p w:rsidR="00176DE7" w:rsidRDefault="00D42919">
      <w:pPr>
        <w:pStyle w:val="a8"/>
        <w:spacing w:before="0" w:beforeAutospacing="0" w:after="0" w:afterAutospacing="0" w:line="578" w:lineRule="exact"/>
        <w:ind w:firstLine="645"/>
      </w:pPr>
      <w:r>
        <w:rPr>
          <w:rFonts w:ascii="仿宋_GB2312" w:eastAsia="仿宋_GB2312" w:hint="eastAsia"/>
          <w:color w:val="000000"/>
          <w:sz w:val="32"/>
          <w:szCs w:val="32"/>
        </w:rPr>
        <w:t>2、加强队伍建设，抓好绩效评价管理部门的队伍建设和业务指导，培养项目和部门的绩效管理队伍，建立绩效评价的长期机制。</w:t>
      </w:r>
    </w:p>
    <w:p w:rsidR="00176DE7" w:rsidRDefault="00176DE7">
      <w:pPr>
        <w:spacing w:line="600" w:lineRule="exact"/>
        <w:jc w:val="center"/>
        <w:outlineLvl w:val="0"/>
        <w:rPr>
          <w:rFonts w:ascii="黑体" w:eastAsia="黑体" w:hAnsi="黑体"/>
          <w:color w:val="000000"/>
          <w:sz w:val="44"/>
          <w:szCs w:val="44"/>
        </w:rPr>
      </w:pPr>
    </w:p>
    <w:p w:rsidR="00176DE7" w:rsidRDefault="00176DE7">
      <w:pPr>
        <w:spacing w:line="600" w:lineRule="exact"/>
        <w:jc w:val="center"/>
        <w:outlineLvl w:val="0"/>
        <w:rPr>
          <w:rFonts w:ascii="黑体" w:eastAsia="黑体" w:hAnsi="黑体"/>
          <w:color w:val="000000"/>
          <w:sz w:val="44"/>
          <w:szCs w:val="44"/>
        </w:rPr>
      </w:pPr>
    </w:p>
    <w:p w:rsidR="00176DE7" w:rsidRDefault="00176DE7">
      <w:pPr>
        <w:spacing w:line="600" w:lineRule="exact"/>
        <w:jc w:val="center"/>
        <w:outlineLvl w:val="0"/>
        <w:rPr>
          <w:rFonts w:ascii="黑体" w:eastAsia="黑体" w:hAnsi="黑体"/>
          <w:color w:val="000000"/>
          <w:sz w:val="44"/>
          <w:szCs w:val="44"/>
        </w:rPr>
      </w:pPr>
    </w:p>
    <w:p w:rsidR="00176DE7" w:rsidRDefault="00176DE7">
      <w:pPr>
        <w:spacing w:line="600" w:lineRule="exact"/>
        <w:jc w:val="center"/>
        <w:outlineLvl w:val="0"/>
        <w:rPr>
          <w:rFonts w:ascii="黑体" w:eastAsia="黑体" w:hAnsi="黑体"/>
          <w:color w:val="000000"/>
          <w:sz w:val="44"/>
          <w:szCs w:val="44"/>
        </w:rPr>
      </w:pPr>
    </w:p>
    <w:p w:rsidR="00176DE7" w:rsidRDefault="00176DE7">
      <w:pPr>
        <w:spacing w:line="600" w:lineRule="exact"/>
        <w:jc w:val="center"/>
        <w:outlineLvl w:val="0"/>
        <w:rPr>
          <w:rFonts w:ascii="黑体" w:eastAsia="黑体" w:hAnsi="黑体"/>
          <w:color w:val="000000"/>
          <w:sz w:val="44"/>
          <w:szCs w:val="44"/>
        </w:rPr>
      </w:pPr>
    </w:p>
    <w:p w:rsidR="00176DE7" w:rsidRDefault="00176DE7">
      <w:pPr>
        <w:spacing w:line="600" w:lineRule="exact"/>
        <w:jc w:val="center"/>
        <w:outlineLvl w:val="0"/>
        <w:rPr>
          <w:rFonts w:ascii="黑体" w:eastAsia="黑体" w:hAnsi="黑体"/>
          <w:color w:val="000000"/>
          <w:sz w:val="44"/>
          <w:szCs w:val="44"/>
        </w:rPr>
      </w:pPr>
    </w:p>
    <w:p w:rsidR="00176DE7" w:rsidRDefault="00176DE7">
      <w:pPr>
        <w:spacing w:line="600" w:lineRule="exact"/>
        <w:jc w:val="center"/>
        <w:outlineLvl w:val="0"/>
        <w:rPr>
          <w:rFonts w:ascii="黑体" w:eastAsia="黑体" w:hAnsi="黑体"/>
          <w:color w:val="000000"/>
          <w:sz w:val="44"/>
          <w:szCs w:val="44"/>
        </w:rPr>
      </w:pPr>
    </w:p>
    <w:p w:rsidR="00176DE7" w:rsidRDefault="00176DE7">
      <w:pPr>
        <w:spacing w:line="600" w:lineRule="exact"/>
        <w:jc w:val="center"/>
        <w:outlineLvl w:val="0"/>
        <w:rPr>
          <w:rFonts w:ascii="黑体" w:eastAsia="黑体" w:hAnsi="黑体"/>
          <w:color w:val="000000"/>
          <w:sz w:val="44"/>
          <w:szCs w:val="44"/>
        </w:rPr>
      </w:pPr>
    </w:p>
    <w:p w:rsidR="00176DE7" w:rsidRDefault="00176DE7">
      <w:pPr>
        <w:spacing w:line="600" w:lineRule="exact"/>
        <w:jc w:val="center"/>
        <w:outlineLvl w:val="0"/>
        <w:rPr>
          <w:rFonts w:ascii="黑体" w:eastAsia="黑体" w:hAnsi="黑体"/>
          <w:color w:val="000000"/>
          <w:sz w:val="44"/>
          <w:szCs w:val="44"/>
        </w:rPr>
      </w:pPr>
    </w:p>
    <w:p w:rsidR="00176DE7" w:rsidRDefault="00176DE7">
      <w:pPr>
        <w:spacing w:line="600" w:lineRule="exact"/>
        <w:jc w:val="center"/>
        <w:outlineLvl w:val="0"/>
        <w:rPr>
          <w:rFonts w:ascii="黑体" w:eastAsia="黑体" w:hAnsi="黑体"/>
          <w:color w:val="000000"/>
          <w:sz w:val="44"/>
          <w:szCs w:val="44"/>
        </w:rPr>
      </w:pPr>
    </w:p>
    <w:p w:rsidR="00176DE7" w:rsidRDefault="00176DE7">
      <w:pPr>
        <w:spacing w:line="600" w:lineRule="exact"/>
        <w:jc w:val="center"/>
        <w:outlineLvl w:val="0"/>
        <w:rPr>
          <w:rFonts w:ascii="黑体" w:eastAsia="黑体" w:hAnsi="黑体"/>
          <w:color w:val="000000"/>
          <w:sz w:val="44"/>
          <w:szCs w:val="44"/>
        </w:rPr>
      </w:pPr>
    </w:p>
    <w:p w:rsidR="00176DE7" w:rsidRDefault="00176DE7">
      <w:pPr>
        <w:spacing w:line="600" w:lineRule="exact"/>
        <w:jc w:val="center"/>
        <w:outlineLvl w:val="0"/>
        <w:rPr>
          <w:rFonts w:ascii="黑体" w:eastAsia="黑体" w:hAnsi="黑体"/>
          <w:color w:val="000000"/>
          <w:sz w:val="44"/>
          <w:szCs w:val="44"/>
        </w:rPr>
      </w:pPr>
    </w:p>
    <w:p w:rsidR="00676A94" w:rsidRDefault="00676A94" w:rsidP="00676A94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676A94" w:rsidRDefault="00676A94" w:rsidP="00676A9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676A94" w:rsidRDefault="00676A94" w:rsidP="00676A9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76A94" w:rsidRDefault="005A10C2" w:rsidP="00676A94">
      <w:pPr>
        <w:spacing w:line="600" w:lineRule="exac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宋体"/>
          <w:color w:val="000000"/>
          <w:kern w:val="0"/>
          <w:sz w:val="44"/>
          <w:szCs w:val="44"/>
        </w:rPr>
        <w:t>2020</w:t>
      </w:r>
      <w:r>
        <w:rPr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t>年</w:t>
      </w:r>
      <w:r w:rsidR="00676A94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项目绩效评价报告</w:t>
      </w:r>
    </w:p>
    <w:p w:rsidR="00676A94" w:rsidRDefault="00676A94" w:rsidP="00676A94">
      <w:pPr>
        <w:spacing w:line="600" w:lineRule="exact"/>
        <w:rPr>
          <w:rFonts w:ascii="宋体"/>
          <w:sz w:val="32"/>
          <w:szCs w:val="32"/>
          <w:lang w:val="zh-CN"/>
        </w:rPr>
      </w:pPr>
    </w:p>
    <w:p w:rsidR="00676A94" w:rsidRDefault="00676A94" w:rsidP="00676A94">
      <w:pPr>
        <w:adjustRightInd w:val="0"/>
        <w:snapToGrid w:val="0"/>
        <w:spacing w:line="600" w:lineRule="exact"/>
        <w:ind w:firstLine="720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一、</w:t>
      </w:r>
      <w:r>
        <w:rPr>
          <w:rFonts w:ascii="黑体" w:eastAsia="黑体" w:hAnsi="宋体" w:hint="eastAsia"/>
          <w:sz w:val="32"/>
          <w:szCs w:val="32"/>
          <w:lang w:val="zh-CN"/>
        </w:rPr>
        <w:t>项目概况</w:t>
      </w:r>
    </w:p>
    <w:p w:rsidR="005A10C2" w:rsidRPr="005A10C2" w:rsidRDefault="005A10C2" w:rsidP="005A10C2">
      <w:pPr>
        <w:adjustRightInd w:val="0"/>
        <w:snapToGrid w:val="0"/>
        <w:spacing w:line="600" w:lineRule="exact"/>
        <w:ind w:firstLineChars="500" w:firstLine="1600"/>
        <w:rPr>
          <w:rFonts w:ascii="仿宋_GB2312" w:eastAsia="仿宋_GB2312" w:hAnsi="宋体"/>
          <w:sz w:val="32"/>
          <w:szCs w:val="32"/>
          <w:lang w:val="zh-CN"/>
        </w:rPr>
      </w:pPr>
      <w:r w:rsidRPr="005A10C2">
        <w:rPr>
          <w:rFonts w:ascii="仿宋_GB2312" w:eastAsia="仿宋_GB2312" w:hAnsi="宋体" w:hint="eastAsia"/>
          <w:sz w:val="32"/>
          <w:szCs w:val="32"/>
          <w:lang w:val="zh-CN"/>
        </w:rPr>
        <w:t>无</w:t>
      </w:r>
    </w:p>
    <w:p w:rsidR="005A10C2" w:rsidRDefault="00676A94" w:rsidP="005A10C2">
      <w:pPr>
        <w:adjustRightInd w:val="0"/>
        <w:snapToGrid w:val="0"/>
        <w:spacing w:line="600" w:lineRule="exact"/>
        <w:ind w:firstLine="72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二、项目资金申报及使用情况</w:t>
      </w:r>
    </w:p>
    <w:p w:rsidR="005A10C2" w:rsidRPr="005A10C2" w:rsidRDefault="005A10C2" w:rsidP="005A10C2">
      <w:pPr>
        <w:adjustRightInd w:val="0"/>
        <w:snapToGrid w:val="0"/>
        <w:spacing w:line="600" w:lineRule="exact"/>
        <w:ind w:firstLineChars="400" w:firstLine="1280"/>
        <w:rPr>
          <w:rFonts w:ascii="黑体" w:eastAsia="黑体" w:hAnsi="宋体"/>
          <w:sz w:val="32"/>
          <w:szCs w:val="32"/>
        </w:rPr>
      </w:pPr>
      <w:r w:rsidRPr="005A10C2">
        <w:rPr>
          <w:rFonts w:ascii="仿宋_GB2312" w:eastAsia="仿宋_GB2312" w:hAnsi="宋体" w:hint="eastAsia"/>
          <w:sz w:val="32"/>
          <w:szCs w:val="32"/>
          <w:lang w:val="zh-CN"/>
        </w:rPr>
        <w:t>无</w:t>
      </w:r>
    </w:p>
    <w:p w:rsidR="00676A94" w:rsidRPr="005A10C2" w:rsidRDefault="00676A94" w:rsidP="005A10C2">
      <w:pPr>
        <w:pStyle w:val="ab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宋体"/>
          <w:sz w:val="32"/>
          <w:szCs w:val="32"/>
        </w:rPr>
      </w:pPr>
      <w:r w:rsidRPr="005A10C2">
        <w:rPr>
          <w:rFonts w:ascii="黑体" w:eastAsia="黑体" w:hAnsi="宋体" w:hint="eastAsia"/>
          <w:sz w:val="32"/>
          <w:szCs w:val="32"/>
        </w:rPr>
        <w:t>项目实施及管理情况</w:t>
      </w:r>
    </w:p>
    <w:p w:rsidR="005A10C2" w:rsidRPr="005A10C2" w:rsidRDefault="005A10C2" w:rsidP="005A10C2">
      <w:pPr>
        <w:adjustRightInd w:val="0"/>
        <w:snapToGrid w:val="0"/>
        <w:spacing w:line="600" w:lineRule="exact"/>
        <w:ind w:firstLineChars="500" w:firstLine="1600"/>
        <w:rPr>
          <w:rFonts w:ascii="仿宋_GB2312" w:eastAsia="仿宋_GB2312" w:hAnsi="宋体"/>
          <w:sz w:val="32"/>
          <w:szCs w:val="32"/>
          <w:lang w:val="zh-CN"/>
        </w:rPr>
      </w:pPr>
      <w:r w:rsidRPr="005A10C2">
        <w:rPr>
          <w:rFonts w:ascii="仿宋_GB2312" w:eastAsia="仿宋_GB2312" w:hAnsi="宋体" w:hint="eastAsia"/>
          <w:sz w:val="32"/>
          <w:szCs w:val="32"/>
          <w:lang w:val="zh-CN"/>
        </w:rPr>
        <w:t>无</w:t>
      </w:r>
    </w:p>
    <w:p w:rsidR="005A10C2" w:rsidRDefault="00676A94" w:rsidP="005A10C2">
      <w:pPr>
        <w:pStyle w:val="ab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 w:hAnsi="宋体"/>
          <w:sz w:val="32"/>
          <w:szCs w:val="32"/>
          <w:lang w:val="zh-CN"/>
        </w:rPr>
      </w:pPr>
      <w:r w:rsidRPr="005A10C2">
        <w:rPr>
          <w:rFonts w:ascii="黑体" w:eastAsia="黑体" w:hAnsi="宋体" w:hint="eastAsia"/>
          <w:sz w:val="32"/>
          <w:szCs w:val="32"/>
        </w:rPr>
        <w:t>项目绩效情况</w:t>
      </w:r>
      <w:r w:rsidRPr="005A10C2">
        <w:rPr>
          <w:rFonts w:ascii="仿宋_GB2312" w:eastAsia="仿宋_GB2312" w:hAnsi="宋体"/>
          <w:sz w:val="32"/>
          <w:szCs w:val="32"/>
          <w:lang w:val="zh-CN"/>
        </w:rPr>
        <w:tab/>
      </w:r>
    </w:p>
    <w:p w:rsidR="005A10C2" w:rsidRPr="005A10C2" w:rsidRDefault="005A10C2" w:rsidP="005A10C2">
      <w:pPr>
        <w:adjustRightInd w:val="0"/>
        <w:snapToGrid w:val="0"/>
        <w:spacing w:line="600" w:lineRule="exact"/>
        <w:ind w:firstLineChars="500" w:firstLine="1600"/>
        <w:rPr>
          <w:rFonts w:ascii="仿宋_GB2312" w:eastAsia="仿宋_GB2312" w:hAnsi="宋体"/>
          <w:sz w:val="32"/>
          <w:szCs w:val="32"/>
          <w:lang w:val="zh-CN"/>
        </w:rPr>
      </w:pPr>
      <w:r>
        <w:rPr>
          <w:rFonts w:ascii="仿宋_GB2312" w:eastAsia="仿宋_GB2312" w:hAnsi="宋体" w:hint="eastAsia"/>
          <w:sz w:val="32"/>
          <w:szCs w:val="32"/>
          <w:lang w:val="zh-CN"/>
        </w:rPr>
        <w:t>无</w:t>
      </w:r>
    </w:p>
    <w:p w:rsidR="005A10C2" w:rsidRDefault="00676A94" w:rsidP="005A10C2">
      <w:pPr>
        <w:pStyle w:val="ab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宋体"/>
          <w:sz w:val="32"/>
          <w:szCs w:val="32"/>
        </w:rPr>
      </w:pPr>
      <w:r w:rsidRPr="005A10C2">
        <w:rPr>
          <w:rFonts w:ascii="黑体" w:eastAsia="黑体" w:hAnsi="宋体" w:hint="eastAsia"/>
          <w:sz w:val="32"/>
          <w:szCs w:val="32"/>
        </w:rPr>
        <w:t>评价结论及建议</w:t>
      </w:r>
    </w:p>
    <w:p w:rsidR="005A10C2" w:rsidRDefault="005A10C2" w:rsidP="005A10C2">
      <w:pPr>
        <w:pStyle w:val="ab"/>
        <w:adjustRightInd w:val="0"/>
        <w:snapToGrid w:val="0"/>
        <w:spacing w:line="600" w:lineRule="exact"/>
        <w:ind w:left="1429" w:firstLineChars="0" w:firstLine="0"/>
        <w:rPr>
          <w:rFonts w:ascii="仿宋_GB2312" w:eastAsia="仿宋_GB2312" w:hAnsi="宋体"/>
          <w:sz w:val="32"/>
          <w:szCs w:val="32"/>
          <w:lang w:val="zh-CN"/>
        </w:rPr>
      </w:pPr>
      <w:r w:rsidRPr="005A10C2">
        <w:rPr>
          <w:rFonts w:ascii="仿宋_GB2312" w:eastAsia="仿宋_GB2312" w:hAnsi="宋体" w:hint="eastAsia"/>
          <w:sz w:val="32"/>
          <w:szCs w:val="32"/>
          <w:lang w:val="zh-CN"/>
        </w:rPr>
        <w:t>无</w:t>
      </w:r>
    </w:p>
    <w:p w:rsidR="00687EBC" w:rsidRDefault="00687EBC" w:rsidP="005A10C2">
      <w:pPr>
        <w:pStyle w:val="ab"/>
        <w:adjustRightInd w:val="0"/>
        <w:snapToGrid w:val="0"/>
        <w:spacing w:line="600" w:lineRule="exact"/>
        <w:ind w:left="1429" w:firstLineChars="0" w:firstLine="0"/>
        <w:rPr>
          <w:rFonts w:ascii="仿宋_GB2312" w:eastAsia="仿宋_GB2312" w:hAnsi="宋体"/>
          <w:sz w:val="32"/>
          <w:szCs w:val="32"/>
          <w:lang w:val="zh-CN"/>
        </w:rPr>
      </w:pPr>
    </w:p>
    <w:p w:rsidR="00687EBC" w:rsidRDefault="00687EBC" w:rsidP="005A10C2">
      <w:pPr>
        <w:pStyle w:val="ab"/>
        <w:adjustRightInd w:val="0"/>
        <w:snapToGrid w:val="0"/>
        <w:spacing w:line="600" w:lineRule="exact"/>
        <w:ind w:left="1429" w:firstLineChars="0" w:firstLine="0"/>
        <w:rPr>
          <w:rFonts w:ascii="仿宋_GB2312" w:eastAsia="仿宋_GB2312" w:hAnsi="宋体"/>
          <w:sz w:val="32"/>
          <w:szCs w:val="32"/>
          <w:lang w:val="zh-CN"/>
        </w:rPr>
      </w:pPr>
    </w:p>
    <w:p w:rsidR="00687EBC" w:rsidRDefault="00687EBC" w:rsidP="005A10C2">
      <w:pPr>
        <w:pStyle w:val="ab"/>
        <w:adjustRightInd w:val="0"/>
        <w:snapToGrid w:val="0"/>
        <w:spacing w:line="600" w:lineRule="exact"/>
        <w:ind w:left="1429" w:firstLineChars="0" w:firstLine="0"/>
        <w:rPr>
          <w:rFonts w:ascii="仿宋_GB2312" w:eastAsia="仿宋_GB2312" w:hAnsi="宋体"/>
          <w:sz w:val="32"/>
          <w:szCs w:val="32"/>
          <w:lang w:val="zh-CN"/>
        </w:rPr>
      </w:pPr>
    </w:p>
    <w:p w:rsidR="00687EBC" w:rsidRDefault="00687EBC" w:rsidP="005A10C2">
      <w:pPr>
        <w:pStyle w:val="ab"/>
        <w:adjustRightInd w:val="0"/>
        <w:snapToGrid w:val="0"/>
        <w:spacing w:line="600" w:lineRule="exact"/>
        <w:ind w:left="1429" w:firstLineChars="0" w:firstLine="0"/>
        <w:rPr>
          <w:rFonts w:ascii="仿宋_GB2312" w:eastAsia="仿宋_GB2312" w:hAnsi="宋体"/>
          <w:sz w:val="32"/>
          <w:szCs w:val="32"/>
          <w:lang w:val="zh-CN"/>
        </w:rPr>
      </w:pPr>
    </w:p>
    <w:p w:rsidR="00687EBC" w:rsidRDefault="00687EBC" w:rsidP="005A10C2">
      <w:pPr>
        <w:pStyle w:val="ab"/>
        <w:adjustRightInd w:val="0"/>
        <w:snapToGrid w:val="0"/>
        <w:spacing w:line="600" w:lineRule="exact"/>
        <w:ind w:left="1429" w:firstLineChars="0" w:firstLine="0"/>
        <w:rPr>
          <w:rFonts w:ascii="仿宋_GB2312" w:eastAsia="仿宋_GB2312" w:hAnsi="宋体"/>
          <w:sz w:val="32"/>
          <w:szCs w:val="32"/>
          <w:lang w:val="zh-CN"/>
        </w:rPr>
      </w:pPr>
    </w:p>
    <w:p w:rsidR="00687EBC" w:rsidRDefault="00687EBC" w:rsidP="005A10C2">
      <w:pPr>
        <w:pStyle w:val="ab"/>
        <w:adjustRightInd w:val="0"/>
        <w:snapToGrid w:val="0"/>
        <w:spacing w:line="600" w:lineRule="exact"/>
        <w:ind w:left="1429" w:firstLineChars="0" w:firstLine="0"/>
        <w:rPr>
          <w:rFonts w:ascii="仿宋_GB2312" w:eastAsia="仿宋_GB2312" w:hAnsi="宋体"/>
          <w:sz w:val="32"/>
          <w:szCs w:val="32"/>
          <w:lang w:val="zh-CN"/>
        </w:rPr>
      </w:pPr>
    </w:p>
    <w:p w:rsidR="00687EBC" w:rsidRDefault="00687EBC" w:rsidP="005A10C2">
      <w:pPr>
        <w:pStyle w:val="ab"/>
        <w:adjustRightInd w:val="0"/>
        <w:snapToGrid w:val="0"/>
        <w:spacing w:line="600" w:lineRule="exact"/>
        <w:ind w:left="1429" w:firstLineChars="0" w:firstLine="0"/>
        <w:rPr>
          <w:rFonts w:ascii="仿宋_GB2312" w:eastAsia="仿宋_GB2312" w:hAnsi="宋体"/>
          <w:sz w:val="32"/>
          <w:szCs w:val="32"/>
          <w:lang w:val="zh-CN"/>
        </w:rPr>
      </w:pPr>
    </w:p>
    <w:p w:rsidR="00687EBC" w:rsidRDefault="00687EBC" w:rsidP="005A10C2">
      <w:pPr>
        <w:pStyle w:val="ab"/>
        <w:adjustRightInd w:val="0"/>
        <w:snapToGrid w:val="0"/>
        <w:spacing w:line="600" w:lineRule="exact"/>
        <w:ind w:left="1429" w:firstLineChars="0" w:firstLine="0"/>
        <w:rPr>
          <w:rFonts w:ascii="仿宋_GB2312" w:eastAsia="仿宋_GB2312" w:hAnsi="宋体"/>
          <w:sz w:val="32"/>
          <w:szCs w:val="32"/>
          <w:lang w:val="zh-CN"/>
        </w:rPr>
      </w:pPr>
    </w:p>
    <w:p w:rsidR="00687EBC" w:rsidRPr="005A10C2" w:rsidRDefault="00687EBC" w:rsidP="005A10C2">
      <w:pPr>
        <w:pStyle w:val="ab"/>
        <w:adjustRightInd w:val="0"/>
        <w:snapToGrid w:val="0"/>
        <w:spacing w:line="600" w:lineRule="exact"/>
        <w:ind w:left="1429" w:firstLineChars="0" w:firstLine="0"/>
        <w:rPr>
          <w:rFonts w:ascii="黑体" w:eastAsia="黑体" w:hAnsi="宋体"/>
          <w:sz w:val="32"/>
          <w:szCs w:val="32"/>
        </w:rPr>
      </w:pPr>
    </w:p>
    <w:bookmarkEnd w:id="58"/>
    <w:bookmarkEnd w:id="61"/>
    <w:p w:rsidR="00676A94" w:rsidRDefault="00676A94" w:rsidP="00676A94">
      <w:pPr>
        <w:spacing w:line="600" w:lineRule="exact"/>
        <w:jc w:val="center"/>
        <w:outlineLvl w:val="0"/>
        <w:rPr>
          <w:rStyle w:val="1Char"/>
          <w:rFonts w:ascii="黑体" w:eastAsia="黑体" w:hAnsi="黑体"/>
          <w:b w:val="0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lastRenderedPageBreak/>
        <w:t>第</w:t>
      </w:r>
      <w:r>
        <w:rPr>
          <w:rStyle w:val="1Char"/>
          <w:rFonts w:ascii="黑体" w:eastAsia="黑体" w:hAnsi="黑体" w:hint="eastAsia"/>
          <w:b w:val="0"/>
        </w:rPr>
        <w:t>五部分附表</w:t>
      </w:r>
    </w:p>
    <w:p w:rsidR="00676A94" w:rsidRDefault="00676A94" w:rsidP="00676A94">
      <w:pPr>
        <w:spacing w:line="600" w:lineRule="exact"/>
        <w:jc w:val="center"/>
        <w:outlineLvl w:val="0"/>
        <w:rPr>
          <w:rFonts w:ascii="仿宋" w:eastAsia="仿宋" w:hAnsi="仿宋"/>
          <w:b/>
          <w:color w:val="000000"/>
          <w:sz w:val="44"/>
          <w:szCs w:val="44"/>
        </w:rPr>
      </w:pPr>
    </w:p>
    <w:p w:rsidR="00687EBC" w:rsidRDefault="00687EBC" w:rsidP="00676A94">
      <w:pPr>
        <w:spacing w:line="600" w:lineRule="exact"/>
        <w:jc w:val="center"/>
        <w:outlineLvl w:val="0"/>
        <w:rPr>
          <w:rFonts w:ascii="仿宋" w:eastAsia="仿宋" w:hAnsi="仿宋"/>
          <w:b/>
          <w:color w:val="000000"/>
          <w:sz w:val="44"/>
          <w:szCs w:val="44"/>
        </w:rPr>
      </w:pPr>
    </w:p>
    <w:p w:rsidR="00676A94" w:rsidRDefault="00676A94" w:rsidP="00676A94">
      <w:pPr>
        <w:pStyle w:val="2"/>
        <w:spacing w:line="300" w:lineRule="exact"/>
        <w:rPr>
          <w:rFonts w:ascii="仿宋" w:eastAsia="仿宋" w:hAnsi="仿宋"/>
          <w:color w:val="000000"/>
        </w:rPr>
      </w:pPr>
      <w:bookmarkStart w:id="62" w:name="_Toc15396619"/>
      <w:r>
        <w:rPr>
          <w:rFonts w:ascii="仿宋" w:eastAsia="仿宋" w:hAnsi="仿宋" w:hint="eastAsia"/>
          <w:b w:val="0"/>
          <w:color w:val="000000"/>
        </w:rPr>
        <w:t>一、收</w:t>
      </w:r>
      <w:r>
        <w:rPr>
          <w:rStyle w:val="2Char"/>
          <w:rFonts w:ascii="仿宋" w:eastAsia="仿宋" w:hAnsi="仿宋" w:hint="eastAsia"/>
        </w:rPr>
        <w:t>入支出决算总表</w:t>
      </w:r>
      <w:bookmarkEnd w:id="62"/>
    </w:p>
    <w:p w:rsidR="00676A94" w:rsidRDefault="00676A94" w:rsidP="00676A94">
      <w:pPr>
        <w:pStyle w:val="2"/>
        <w:spacing w:line="300" w:lineRule="exact"/>
        <w:rPr>
          <w:rFonts w:ascii="仿宋" w:eastAsia="仿宋" w:hAnsi="仿宋"/>
          <w:color w:val="000000"/>
        </w:rPr>
      </w:pPr>
      <w:bookmarkStart w:id="63" w:name="_Toc15396620"/>
      <w:r>
        <w:rPr>
          <w:rFonts w:ascii="仿宋" w:eastAsia="仿宋" w:hAnsi="仿宋" w:hint="eastAsia"/>
          <w:b w:val="0"/>
          <w:color w:val="000000"/>
        </w:rPr>
        <w:t>二、收</w:t>
      </w:r>
      <w:r>
        <w:rPr>
          <w:rStyle w:val="2Char"/>
          <w:rFonts w:ascii="仿宋" w:eastAsia="仿宋" w:hAnsi="仿宋" w:hint="eastAsia"/>
        </w:rPr>
        <w:t>入决算表</w:t>
      </w:r>
      <w:bookmarkEnd w:id="63"/>
    </w:p>
    <w:p w:rsidR="00676A94" w:rsidRDefault="00676A94" w:rsidP="00676A94">
      <w:pPr>
        <w:pStyle w:val="2"/>
        <w:spacing w:line="300" w:lineRule="exact"/>
        <w:rPr>
          <w:rFonts w:ascii="仿宋" w:eastAsia="仿宋" w:hAnsi="仿宋"/>
          <w:color w:val="000000"/>
        </w:rPr>
      </w:pPr>
      <w:bookmarkStart w:id="64" w:name="_Toc15396621"/>
      <w:r>
        <w:rPr>
          <w:rStyle w:val="2Char"/>
          <w:rFonts w:ascii="仿宋" w:eastAsia="仿宋" w:hAnsi="仿宋" w:hint="eastAsia"/>
        </w:rPr>
        <w:t>三、</w:t>
      </w:r>
      <w:r>
        <w:rPr>
          <w:rFonts w:ascii="仿宋" w:eastAsia="仿宋" w:hAnsi="仿宋" w:hint="eastAsia"/>
          <w:b w:val="0"/>
          <w:color w:val="000000"/>
        </w:rPr>
        <w:t>支</w:t>
      </w:r>
      <w:r>
        <w:rPr>
          <w:rStyle w:val="2Char"/>
          <w:rFonts w:ascii="仿宋" w:eastAsia="仿宋" w:hAnsi="仿宋" w:hint="eastAsia"/>
        </w:rPr>
        <w:t>出决算表</w:t>
      </w:r>
      <w:bookmarkEnd w:id="64"/>
    </w:p>
    <w:p w:rsidR="00676A94" w:rsidRDefault="00676A94" w:rsidP="00676A94">
      <w:pPr>
        <w:pStyle w:val="2"/>
        <w:spacing w:line="300" w:lineRule="exact"/>
        <w:rPr>
          <w:rFonts w:ascii="仿宋" w:eastAsia="仿宋" w:hAnsi="仿宋"/>
          <w:b w:val="0"/>
          <w:color w:val="000000"/>
        </w:rPr>
      </w:pPr>
      <w:bookmarkStart w:id="65" w:name="_Toc15396622"/>
      <w:r>
        <w:rPr>
          <w:rStyle w:val="2Char"/>
          <w:rFonts w:ascii="仿宋" w:eastAsia="仿宋" w:hAnsi="仿宋" w:hint="eastAsia"/>
        </w:rPr>
        <w:t>四、</w:t>
      </w:r>
      <w:r>
        <w:rPr>
          <w:rFonts w:ascii="仿宋" w:eastAsia="仿宋" w:hAnsi="仿宋" w:hint="eastAsia"/>
          <w:b w:val="0"/>
          <w:color w:val="000000"/>
        </w:rPr>
        <w:t>财</w:t>
      </w:r>
      <w:r>
        <w:rPr>
          <w:rStyle w:val="2Char"/>
          <w:rFonts w:ascii="仿宋" w:eastAsia="仿宋" w:hAnsi="仿宋" w:hint="eastAsia"/>
        </w:rPr>
        <w:t>政拨款收入支出决算总表</w:t>
      </w:r>
      <w:bookmarkEnd w:id="65"/>
    </w:p>
    <w:p w:rsidR="00676A94" w:rsidRDefault="00676A94" w:rsidP="00676A94">
      <w:pPr>
        <w:pStyle w:val="2"/>
        <w:spacing w:line="300" w:lineRule="exact"/>
        <w:rPr>
          <w:rStyle w:val="2Char"/>
          <w:rFonts w:ascii="仿宋" w:eastAsia="仿宋" w:hAnsi="仿宋"/>
        </w:rPr>
      </w:pPr>
      <w:bookmarkStart w:id="66" w:name="_Toc15396623"/>
      <w:r>
        <w:rPr>
          <w:rStyle w:val="2Char"/>
          <w:rFonts w:ascii="仿宋" w:eastAsia="仿宋" w:hAnsi="仿宋" w:hint="eastAsia"/>
        </w:rPr>
        <w:t>五、</w:t>
      </w:r>
      <w:r>
        <w:rPr>
          <w:rFonts w:ascii="仿宋" w:eastAsia="仿宋" w:hAnsi="仿宋" w:hint="eastAsia"/>
          <w:b w:val="0"/>
          <w:color w:val="000000"/>
        </w:rPr>
        <w:t>财</w:t>
      </w:r>
      <w:r>
        <w:rPr>
          <w:rStyle w:val="2Char"/>
          <w:rFonts w:ascii="仿宋" w:eastAsia="仿宋" w:hAnsi="仿宋" w:hint="eastAsia"/>
        </w:rPr>
        <w:t>政拨款支出决算明细表</w:t>
      </w:r>
      <w:bookmarkStart w:id="67" w:name="_Toc15396624"/>
      <w:bookmarkEnd w:id="66"/>
    </w:p>
    <w:p w:rsidR="00676A94" w:rsidRDefault="00676A94" w:rsidP="00676A94">
      <w:pPr>
        <w:pStyle w:val="2"/>
        <w:spacing w:line="300" w:lineRule="exact"/>
        <w:rPr>
          <w:rFonts w:ascii="仿宋" w:eastAsia="仿宋" w:hAnsi="仿宋"/>
          <w:color w:val="000000"/>
        </w:rPr>
      </w:pPr>
      <w:r>
        <w:rPr>
          <w:rStyle w:val="2Char"/>
          <w:rFonts w:ascii="仿宋" w:eastAsia="仿宋" w:hAnsi="仿宋" w:hint="eastAsia"/>
        </w:rPr>
        <w:t>六、</w:t>
      </w:r>
      <w:r>
        <w:rPr>
          <w:rFonts w:ascii="仿宋" w:eastAsia="仿宋" w:hAnsi="仿宋" w:hint="eastAsia"/>
          <w:b w:val="0"/>
          <w:color w:val="000000"/>
        </w:rPr>
        <w:t>一</w:t>
      </w:r>
      <w:r>
        <w:rPr>
          <w:rStyle w:val="2Char"/>
          <w:rFonts w:ascii="仿宋" w:eastAsia="仿宋" w:hAnsi="仿宋" w:hint="eastAsia"/>
        </w:rPr>
        <w:t>般公共预算财政拨款支出决算表</w:t>
      </w:r>
      <w:bookmarkEnd w:id="67"/>
    </w:p>
    <w:p w:rsidR="00676A94" w:rsidRDefault="00676A94" w:rsidP="00676A94">
      <w:pPr>
        <w:pStyle w:val="2"/>
        <w:spacing w:line="300" w:lineRule="exact"/>
        <w:rPr>
          <w:rFonts w:ascii="仿宋" w:eastAsia="仿宋" w:hAnsi="仿宋"/>
          <w:color w:val="000000"/>
        </w:rPr>
      </w:pPr>
      <w:bookmarkStart w:id="68" w:name="_Toc15396625"/>
      <w:r>
        <w:rPr>
          <w:rStyle w:val="2Char"/>
          <w:rFonts w:ascii="仿宋" w:eastAsia="仿宋" w:hAnsi="仿宋" w:hint="eastAsia"/>
        </w:rPr>
        <w:t>七、</w:t>
      </w:r>
      <w:r>
        <w:rPr>
          <w:rFonts w:ascii="仿宋" w:eastAsia="仿宋" w:hAnsi="仿宋" w:hint="eastAsia"/>
          <w:b w:val="0"/>
          <w:color w:val="000000"/>
        </w:rPr>
        <w:t>一</w:t>
      </w:r>
      <w:r>
        <w:rPr>
          <w:rStyle w:val="2Char"/>
          <w:rFonts w:ascii="仿宋" w:eastAsia="仿宋" w:hAnsi="仿宋" w:hint="eastAsia"/>
        </w:rPr>
        <w:t>般公共预算财政拨款支出决算明细表</w:t>
      </w:r>
      <w:bookmarkEnd w:id="68"/>
    </w:p>
    <w:p w:rsidR="00676A94" w:rsidRDefault="00676A94" w:rsidP="00676A94">
      <w:pPr>
        <w:pStyle w:val="2"/>
        <w:spacing w:line="300" w:lineRule="exact"/>
        <w:rPr>
          <w:rFonts w:ascii="仿宋" w:eastAsia="仿宋" w:hAnsi="仿宋"/>
          <w:color w:val="000000"/>
        </w:rPr>
      </w:pPr>
      <w:bookmarkStart w:id="69" w:name="_Toc15396626"/>
      <w:r>
        <w:rPr>
          <w:rStyle w:val="2Char"/>
          <w:rFonts w:ascii="仿宋" w:eastAsia="仿宋" w:hAnsi="仿宋" w:hint="eastAsia"/>
        </w:rPr>
        <w:t>八、</w:t>
      </w:r>
      <w:r>
        <w:rPr>
          <w:rFonts w:ascii="仿宋" w:eastAsia="仿宋" w:hAnsi="仿宋" w:hint="eastAsia"/>
          <w:b w:val="0"/>
          <w:color w:val="000000"/>
        </w:rPr>
        <w:t>一</w:t>
      </w:r>
      <w:r>
        <w:rPr>
          <w:rStyle w:val="2Char"/>
          <w:rFonts w:ascii="仿宋" w:eastAsia="仿宋" w:hAnsi="仿宋" w:hint="eastAsia"/>
        </w:rPr>
        <w:t>般公共预算财政拨款基本支出决算表</w:t>
      </w:r>
      <w:bookmarkEnd w:id="69"/>
    </w:p>
    <w:p w:rsidR="00676A94" w:rsidRDefault="00676A94" w:rsidP="00676A94">
      <w:pPr>
        <w:pStyle w:val="2"/>
        <w:spacing w:line="300" w:lineRule="exact"/>
        <w:rPr>
          <w:rFonts w:ascii="仿宋" w:eastAsia="仿宋" w:hAnsi="仿宋"/>
          <w:color w:val="000000"/>
        </w:rPr>
      </w:pPr>
      <w:bookmarkStart w:id="70" w:name="_Toc15396627"/>
      <w:r>
        <w:rPr>
          <w:rStyle w:val="2Char"/>
          <w:rFonts w:ascii="仿宋" w:eastAsia="仿宋" w:hAnsi="仿宋" w:hint="eastAsia"/>
        </w:rPr>
        <w:t>九、</w:t>
      </w:r>
      <w:r>
        <w:rPr>
          <w:rFonts w:ascii="仿宋" w:eastAsia="仿宋" w:hAnsi="仿宋" w:hint="eastAsia"/>
          <w:b w:val="0"/>
          <w:color w:val="000000"/>
        </w:rPr>
        <w:t>一</w:t>
      </w:r>
      <w:r>
        <w:rPr>
          <w:rStyle w:val="2Char"/>
          <w:rFonts w:ascii="仿宋" w:eastAsia="仿宋" w:hAnsi="仿宋" w:hint="eastAsia"/>
        </w:rPr>
        <w:t>般公共预算财政拨款项目支出决算表</w:t>
      </w:r>
      <w:bookmarkEnd w:id="70"/>
    </w:p>
    <w:p w:rsidR="00676A94" w:rsidRDefault="00676A94" w:rsidP="00676A94">
      <w:pPr>
        <w:pStyle w:val="2"/>
        <w:spacing w:line="300" w:lineRule="exact"/>
        <w:rPr>
          <w:rFonts w:ascii="仿宋" w:eastAsia="仿宋" w:hAnsi="仿宋"/>
          <w:color w:val="000000"/>
        </w:rPr>
      </w:pPr>
      <w:bookmarkStart w:id="71" w:name="_Toc15396628"/>
      <w:r>
        <w:rPr>
          <w:rStyle w:val="2Char"/>
          <w:rFonts w:ascii="仿宋" w:eastAsia="仿宋" w:hAnsi="仿宋" w:hint="eastAsia"/>
        </w:rPr>
        <w:t>十、</w:t>
      </w:r>
      <w:r>
        <w:rPr>
          <w:rFonts w:ascii="仿宋" w:eastAsia="仿宋" w:hAnsi="仿宋" w:hint="eastAsia"/>
          <w:b w:val="0"/>
          <w:color w:val="000000"/>
        </w:rPr>
        <w:t>一</w:t>
      </w:r>
      <w:r>
        <w:rPr>
          <w:rStyle w:val="2Char"/>
          <w:rFonts w:ascii="仿宋" w:eastAsia="仿宋" w:hAnsi="仿宋" w:hint="eastAsia"/>
        </w:rPr>
        <w:t>般公共预算财政拨款“三公”经费支出决算表</w:t>
      </w:r>
      <w:bookmarkEnd w:id="71"/>
    </w:p>
    <w:p w:rsidR="00676A94" w:rsidRDefault="00676A94" w:rsidP="00676A94">
      <w:pPr>
        <w:pStyle w:val="2"/>
        <w:spacing w:line="300" w:lineRule="exact"/>
        <w:rPr>
          <w:rFonts w:ascii="仿宋" w:eastAsia="仿宋" w:hAnsi="仿宋"/>
          <w:color w:val="000000"/>
        </w:rPr>
      </w:pPr>
      <w:bookmarkStart w:id="72" w:name="_Toc15396629"/>
      <w:r>
        <w:rPr>
          <w:rStyle w:val="2Char"/>
          <w:rFonts w:ascii="仿宋" w:eastAsia="仿宋" w:hAnsi="仿宋" w:hint="eastAsia"/>
        </w:rPr>
        <w:t>十一、</w:t>
      </w:r>
      <w:r>
        <w:rPr>
          <w:rFonts w:ascii="仿宋" w:eastAsia="仿宋" w:hAnsi="仿宋" w:hint="eastAsia"/>
          <w:b w:val="0"/>
          <w:color w:val="000000"/>
        </w:rPr>
        <w:t>政</w:t>
      </w:r>
      <w:r>
        <w:rPr>
          <w:rStyle w:val="2Char"/>
          <w:rFonts w:ascii="仿宋" w:eastAsia="仿宋" w:hAnsi="仿宋" w:hint="eastAsia"/>
        </w:rPr>
        <w:t>府性基金预算财政拨款收入支出决算表</w:t>
      </w:r>
      <w:bookmarkEnd w:id="72"/>
    </w:p>
    <w:p w:rsidR="00676A94" w:rsidRDefault="00676A94" w:rsidP="00676A94">
      <w:pPr>
        <w:pStyle w:val="2"/>
        <w:spacing w:line="300" w:lineRule="exact"/>
        <w:rPr>
          <w:rFonts w:ascii="仿宋" w:eastAsia="仿宋" w:hAnsi="仿宋"/>
          <w:color w:val="000000"/>
        </w:rPr>
      </w:pPr>
      <w:bookmarkStart w:id="73" w:name="_Toc15396630"/>
      <w:r>
        <w:rPr>
          <w:rStyle w:val="2Char"/>
          <w:rFonts w:ascii="仿宋" w:eastAsia="仿宋" w:hAnsi="仿宋" w:hint="eastAsia"/>
        </w:rPr>
        <w:t>十二、</w:t>
      </w:r>
      <w:r>
        <w:rPr>
          <w:rFonts w:ascii="仿宋" w:eastAsia="仿宋" w:hAnsi="仿宋" w:hint="eastAsia"/>
          <w:b w:val="0"/>
          <w:color w:val="000000"/>
        </w:rPr>
        <w:t>政</w:t>
      </w:r>
      <w:r>
        <w:rPr>
          <w:rStyle w:val="2Char"/>
          <w:rFonts w:ascii="仿宋" w:eastAsia="仿宋" w:hAnsi="仿宋" w:hint="eastAsia"/>
        </w:rPr>
        <w:t>府性基金预算财政拨款“三公”经费支出决算表</w:t>
      </w:r>
      <w:bookmarkEnd w:id="73"/>
    </w:p>
    <w:p w:rsidR="00676A94" w:rsidRDefault="00676A94" w:rsidP="00676A94">
      <w:pPr>
        <w:pStyle w:val="2"/>
        <w:spacing w:line="300" w:lineRule="exact"/>
        <w:rPr>
          <w:rStyle w:val="2Char"/>
          <w:rFonts w:ascii="仿宋" w:eastAsia="仿宋" w:hAnsi="仿宋"/>
        </w:rPr>
      </w:pPr>
      <w:bookmarkStart w:id="74" w:name="_Toc15396631"/>
      <w:r>
        <w:rPr>
          <w:rStyle w:val="2Char"/>
          <w:rFonts w:ascii="仿宋" w:eastAsia="仿宋" w:hAnsi="仿宋" w:hint="eastAsia"/>
        </w:rPr>
        <w:t>十三、</w:t>
      </w:r>
      <w:r>
        <w:rPr>
          <w:rFonts w:ascii="仿宋" w:eastAsia="仿宋" w:hAnsi="仿宋" w:hint="eastAsia"/>
          <w:b w:val="0"/>
          <w:color w:val="000000"/>
        </w:rPr>
        <w:t>国</w:t>
      </w:r>
      <w:r>
        <w:rPr>
          <w:rStyle w:val="2Char"/>
          <w:rFonts w:ascii="仿宋" w:eastAsia="仿宋" w:hAnsi="仿宋" w:hint="eastAsia"/>
        </w:rPr>
        <w:t>有资本经营预算财政拨款收入支出决算表</w:t>
      </w:r>
      <w:bookmarkEnd w:id="74"/>
    </w:p>
    <w:p w:rsidR="00676A94" w:rsidRDefault="00676A94" w:rsidP="00676A94">
      <w:pPr>
        <w:pStyle w:val="2"/>
        <w:spacing w:line="300" w:lineRule="exact"/>
        <w:rPr>
          <w:rStyle w:val="2Char"/>
          <w:rFonts w:ascii="仿宋" w:eastAsia="仿宋" w:hAnsi="仿宋"/>
        </w:rPr>
      </w:pPr>
      <w:r>
        <w:rPr>
          <w:rStyle w:val="2Char"/>
          <w:rFonts w:ascii="仿宋" w:eastAsia="仿宋" w:hAnsi="仿宋" w:hint="eastAsia"/>
        </w:rPr>
        <w:t>十四、</w:t>
      </w:r>
      <w:r>
        <w:rPr>
          <w:rFonts w:ascii="仿宋" w:eastAsia="仿宋" w:hAnsi="仿宋" w:hint="eastAsia"/>
          <w:b w:val="0"/>
          <w:color w:val="000000"/>
        </w:rPr>
        <w:t>国</w:t>
      </w:r>
      <w:r>
        <w:rPr>
          <w:rStyle w:val="2Char"/>
          <w:rFonts w:ascii="仿宋" w:eastAsia="仿宋" w:hAnsi="仿宋" w:hint="eastAsia"/>
        </w:rPr>
        <w:t>有资本经营预算财政拨款支出决算表</w:t>
      </w:r>
    </w:p>
    <w:p w:rsidR="00676A94" w:rsidRDefault="00676A94" w:rsidP="00676A94">
      <w:pPr>
        <w:pStyle w:val="2"/>
        <w:spacing w:line="300" w:lineRule="exact"/>
        <w:rPr>
          <w:rStyle w:val="2Char"/>
          <w:rFonts w:ascii="仿宋" w:eastAsia="仿宋" w:hAnsi="仿宋"/>
        </w:rPr>
      </w:pPr>
    </w:p>
    <w:p w:rsidR="00176DE7" w:rsidRPr="00676A94" w:rsidRDefault="00176DE7">
      <w:pPr>
        <w:pStyle w:val="2"/>
        <w:rPr>
          <w:rFonts w:ascii="仿宋" w:eastAsia="仿宋" w:hAnsi="仿宋"/>
          <w:color w:val="000000" w:themeColor="text1"/>
        </w:rPr>
      </w:pPr>
    </w:p>
    <w:sectPr w:rsidR="00176DE7" w:rsidRPr="00676A94" w:rsidSect="00B1788C">
      <w:headerReference w:type="default" r:id="rId19"/>
      <w:footerReference w:type="default" r:id="rId2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0D1" w:rsidRDefault="009440D1">
      <w:r>
        <w:separator/>
      </w:r>
    </w:p>
  </w:endnote>
  <w:endnote w:type="continuationSeparator" w:id="1">
    <w:p w:rsidR="009440D1" w:rsidRDefault="00944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">
    <w:altName w:val="宋体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4781956"/>
    </w:sdtPr>
    <w:sdtContent>
      <w:p w:rsidR="00176DE7" w:rsidRDefault="00B1788C">
        <w:pPr>
          <w:pStyle w:val="a6"/>
          <w:jc w:val="center"/>
        </w:pPr>
        <w:r w:rsidRPr="00B1788C">
          <w:fldChar w:fldCharType="begin"/>
        </w:r>
        <w:r w:rsidR="00D42919">
          <w:instrText>PAGE   \* MERGEFORMAT</w:instrText>
        </w:r>
        <w:r w:rsidRPr="00B1788C">
          <w:fldChar w:fldCharType="separate"/>
        </w:r>
        <w:r w:rsidR="00937BB7" w:rsidRPr="00937BB7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176DE7" w:rsidRDefault="00176D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0D1" w:rsidRDefault="009440D1">
      <w:r>
        <w:separator/>
      </w:r>
    </w:p>
  </w:footnote>
  <w:footnote w:type="continuationSeparator" w:id="1">
    <w:p w:rsidR="009440D1" w:rsidRDefault="00944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DE7" w:rsidRDefault="00176DE7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915BDF"/>
    <w:multiLevelType w:val="singleLevel"/>
    <w:tmpl w:val="A6915BD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2FA047D"/>
    <w:multiLevelType w:val="singleLevel"/>
    <w:tmpl w:val="E2FA047D"/>
    <w:lvl w:ilvl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272550B"/>
    <w:multiLevelType w:val="multilevel"/>
    <w:tmpl w:val="79542792"/>
    <w:lvl w:ilvl="0">
      <w:start w:val="1"/>
      <w:numFmt w:val="japaneseCounting"/>
      <w:lvlText w:val="%1、"/>
      <w:lvlJc w:val="left"/>
      <w:pPr>
        <w:ind w:left="1429" w:hanging="72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61C"/>
    <w:rsid w:val="000222C6"/>
    <w:rsid w:val="0002549F"/>
    <w:rsid w:val="000326FB"/>
    <w:rsid w:val="00034C2C"/>
    <w:rsid w:val="00034EA3"/>
    <w:rsid w:val="00041699"/>
    <w:rsid w:val="0006487A"/>
    <w:rsid w:val="00065F8F"/>
    <w:rsid w:val="00067225"/>
    <w:rsid w:val="000768F2"/>
    <w:rsid w:val="000818F7"/>
    <w:rsid w:val="000826D1"/>
    <w:rsid w:val="0009184B"/>
    <w:rsid w:val="0009593C"/>
    <w:rsid w:val="000B047F"/>
    <w:rsid w:val="000B5923"/>
    <w:rsid w:val="000B5A48"/>
    <w:rsid w:val="000B6FF3"/>
    <w:rsid w:val="000C1517"/>
    <w:rsid w:val="000C3467"/>
    <w:rsid w:val="000C3CA6"/>
    <w:rsid w:val="000D1267"/>
    <w:rsid w:val="000D1D50"/>
    <w:rsid w:val="000D5782"/>
    <w:rsid w:val="000E6613"/>
    <w:rsid w:val="000E7119"/>
    <w:rsid w:val="000F25A6"/>
    <w:rsid w:val="0010595E"/>
    <w:rsid w:val="00114E9B"/>
    <w:rsid w:val="0012539C"/>
    <w:rsid w:val="00143FD9"/>
    <w:rsid w:val="00144984"/>
    <w:rsid w:val="001459AF"/>
    <w:rsid w:val="0014729F"/>
    <w:rsid w:val="00157BAB"/>
    <w:rsid w:val="00157E4E"/>
    <w:rsid w:val="001654D1"/>
    <w:rsid w:val="00172C7C"/>
    <w:rsid w:val="00176DE7"/>
    <w:rsid w:val="0018106D"/>
    <w:rsid w:val="001822EF"/>
    <w:rsid w:val="001877A7"/>
    <w:rsid w:val="00191536"/>
    <w:rsid w:val="00196687"/>
    <w:rsid w:val="001A6927"/>
    <w:rsid w:val="001C0962"/>
    <w:rsid w:val="001C7AEB"/>
    <w:rsid w:val="001D7531"/>
    <w:rsid w:val="001E69F3"/>
    <w:rsid w:val="001E737D"/>
    <w:rsid w:val="001F0592"/>
    <w:rsid w:val="001F7506"/>
    <w:rsid w:val="002005DC"/>
    <w:rsid w:val="002006CD"/>
    <w:rsid w:val="002026B6"/>
    <w:rsid w:val="00202B36"/>
    <w:rsid w:val="00204B7A"/>
    <w:rsid w:val="00210FDD"/>
    <w:rsid w:val="0021101A"/>
    <w:rsid w:val="002177EC"/>
    <w:rsid w:val="00220536"/>
    <w:rsid w:val="00235629"/>
    <w:rsid w:val="0024541B"/>
    <w:rsid w:val="00250086"/>
    <w:rsid w:val="00260C38"/>
    <w:rsid w:val="002616C0"/>
    <w:rsid w:val="002662AA"/>
    <w:rsid w:val="00280496"/>
    <w:rsid w:val="0028737E"/>
    <w:rsid w:val="00295495"/>
    <w:rsid w:val="002B2613"/>
    <w:rsid w:val="002B4938"/>
    <w:rsid w:val="002C083E"/>
    <w:rsid w:val="002C1F4E"/>
    <w:rsid w:val="002D63DF"/>
    <w:rsid w:val="002D7BCB"/>
    <w:rsid w:val="002F1818"/>
    <w:rsid w:val="002F567B"/>
    <w:rsid w:val="00300749"/>
    <w:rsid w:val="00304907"/>
    <w:rsid w:val="003216A9"/>
    <w:rsid w:val="00331801"/>
    <w:rsid w:val="00337794"/>
    <w:rsid w:val="00364C09"/>
    <w:rsid w:val="0037013F"/>
    <w:rsid w:val="00380C92"/>
    <w:rsid w:val="00386385"/>
    <w:rsid w:val="00387621"/>
    <w:rsid w:val="003A2D59"/>
    <w:rsid w:val="003A484F"/>
    <w:rsid w:val="003B0BE0"/>
    <w:rsid w:val="003B0C1B"/>
    <w:rsid w:val="003B688C"/>
    <w:rsid w:val="003C0291"/>
    <w:rsid w:val="003C39AE"/>
    <w:rsid w:val="003C7B60"/>
    <w:rsid w:val="003D1FB2"/>
    <w:rsid w:val="003D66DA"/>
    <w:rsid w:val="003E1310"/>
    <w:rsid w:val="003E6F55"/>
    <w:rsid w:val="00406254"/>
    <w:rsid w:val="00414BF9"/>
    <w:rsid w:val="004223DE"/>
    <w:rsid w:val="00427C13"/>
    <w:rsid w:val="00434489"/>
    <w:rsid w:val="00437085"/>
    <w:rsid w:val="00437255"/>
    <w:rsid w:val="00443880"/>
    <w:rsid w:val="004464F4"/>
    <w:rsid w:val="00455B06"/>
    <w:rsid w:val="00471401"/>
    <w:rsid w:val="00473F31"/>
    <w:rsid w:val="0048263A"/>
    <w:rsid w:val="00484199"/>
    <w:rsid w:val="00487E5D"/>
    <w:rsid w:val="004A5C9F"/>
    <w:rsid w:val="004A711F"/>
    <w:rsid w:val="004B199D"/>
    <w:rsid w:val="004B4690"/>
    <w:rsid w:val="004C1638"/>
    <w:rsid w:val="004E0A2D"/>
    <w:rsid w:val="004E206B"/>
    <w:rsid w:val="004E6120"/>
    <w:rsid w:val="004E6DF7"/>
    <w:rsid w:val="004F0FBD"/>
    <w:rsid w:val="00505A47"/>
    <w:rsid w:val="00512FDA"/>
    <w:rsid w:val="00516E77"/>
    <w:rsid w:val="005174DD"/>
    <w:rsid w:val="00520DA0"/>
    <w:rsid w:val="005327BB"/>
    <w:rsid w:val="005664BB"/>
    <w:rsid w:val="00571926"/>
    <w:rsid w:val="0057481D"/>
    <w:rsid w:val="0058486E"/>
    <w:rsid w:val="005875E0"/>
    <w:rsid w:val="005A10C2"/>
    <w:rsid w:val="005B69E2"/>
    <w:rsid w:val="005D1C8B"/>
    <w:rsid w:val="005D5CED"/>
    <w:rsid w:val="005F0C82"/>
    <w:rsid w:val="005F1A4C"/>
    <w:rsid w:val="005F351D"/>
    <w:rsid w:val="00603583"/>
    <w:rsid w:val="00603A55"/>
    <w:rsid w:val="00605688"/>
    <w:rsid w:val="006070AF"/>
    <w:rsid w:val="00607E6C"/>
    <w:rsid w:val="006101B1"/>
    <w:rsid w:val="00614E44"/>
    <w:rsid w:val="00622830"/>
    <w:rsid w:val="00624939"/>
    <w:rsid w:val="00630AEF"/>
    <w:rsid w:val="006325F8"/>
    <w:rsid w:val="00634BBB"/>
    <w:rsid w:val="00634C9A"/>
    <w:rsid w:val="00635883"/>
    <w:rsid w:val="006440E4"/>
    <w:rsid w:val="00650A33"/>
    <w:rsid w:val="00653D56"/>
    <w:rsid w:val="0066343B"/>
    <w:rsid w:val="00664777"/>
    <w:rsid w:val="006656D8"/>
    <w:rsid w:val="00672E8D"/>
    <w:rsid w:val="006748A4"/>
    <w:rsid w:val="00676A94"/>
    <w:rsid w:val="00683E73"/>
    <w:rsid w:val="00686201"/>
    <w:rsid w:val="00687EBC"/>
    <w:rsid w:val="00693BC0"/>
    <w:rsid w:val="006A3141"/>
    <w:rsid w:val="006A5E34"/>
    <w:rsid w:val="006B2422"/>
    <w:rsid w:val="006B2B9A"/>
    <w:rsid w:val="006C1937"/>
    <w:rsid w:val="006E1C68"/>
    <w:rsid w:val="006F020C"/>
    <w:rsid w:val="007127B7"/>
    <w:rsid w:val="00717446"/>
    <w:rsid w:val="007416B6"/>
    <w:rsid w:val="00745A0B"/>
    <w:rsid w:val="00746F48"/>
    <w:rsid w:val="0075404D"/>
    <w:rsid w:val="0076182A"/>
    <w:rsid w:val="00767B7E"/>
    <w:rsid w:val="00770A75"/>
    <w:rsid w:val="007770C3"/>
    <w:rsid w:val="00784D24"/>
    <w:rsid w:val="00785FBA"/>
    <w:rsid w:val="00786E4A"/>
    <w:rsid w:val="007875EB"/>
    <w:rsid w:val="0079426B"/>
    <w:rsid w:val="007D21D1"/>
    <w:rsid w:val="007D312A"/>
    <w:rsid w:val="007D3F19"/>
    <w:rsid w:val="007E23B0"/>
    <w:rsid w:val="007F1991"/>
    <w:rsid w:val="007F2C2F"/>
    <w:rsid w:val="007F55FC"/>
    <w:rsid w:val="007F5665"/>
    <w:rsid w:val="00800112"/>
    <w:rsid w:val="00811A77"/>
    <w:rsid w:val="00813244"/>
    <w:rsid w:val="008253BB"/>
    <w:rsid w:val="008339B5"/>
    <w:rsid w:val="0083706E"/>
    <w:rsid w:val="008423A5"/>
    <w:rsid w:val="00850625"/>
    <w:rsid w:val="0085129C"/>
    <w:rsid w:val="00853718"/>
    <w:rsid w:val="00855221"/>
    <w:rsid w:val="00860645"/>
    <w:rsid w:val="00867B1F"/>
    <w:rsid w:val="00871F71"/>
    <w:rsid w:val="00882380"/>
    <w:rsid w:val="00885AF4"/>
    <w:rsid w:val="008939CD"/>
    <w:rsid w:val="008B768C"/>
    <w:rsid w:val="008C02CD"/>
    <w:rsid w:val="008C3FDB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03059"/>
    <w:rsid w:val="00923564"/>
    <w:rsid w:val="0092392E"/>
    <w:rsid w:val="009260B7"/>
    <w:rsid w:val="00926497"/>
    <w:rsid w:val="009265A3"/>
    <w:rsid w:val="009315F9"/>
    <w:rsid w:val="00937BB7"/>
    <w:rsid w:val="009440D1"/>
    <w:rsid w:val="00946945"/>
    <w:rsid w:val="00951248"/>
    <w:rsid w:val="0095152F"/>
    <w:rsid w:val="00951D9F"/>
    <w:rsid w:val="00954C49"/>
    <w:rsid w:val="0097099F"/>
    <w:rsid w:val="00971997"/>
    <w:rsid w:val="00971FFC"/>
    <w:rsid w:val="0098660A"/>
    <w:rsid w:val="009931C3"/>
    <w:rsid w:val="009A6069"/>
    <w:rsid w:val="009B1255"/>
    <w:rsid w:val="009B2C43"/>
    <w:rsid w:val="009B4EAE"/>
    <w:rsid w:val="009B7573"/>
    <w:rsid w:val="009B7AA4"/>
    <w:rsid w:val="009C22F4"/>
    <w:rsid w:val="009C2E98"/>
    <w:rsid w:val="009C3F34"/>
    <w:rsid w:val="009D3447"/>
    <w:rsid w:val="009D4711"/>
    <w:rsid w:val="009E094C"/>
    <w:rsid w:val="009F1185"/>
    <w:rsid w:val="009F18CD"/>
    <w:rsid w:val="009F2A13"/>
    <w:rsid w:val="00A00453"/>
    <w:rsid w:val="00A033BB"/>
    <w:rsid w:val="00A04EB0"/>
    <w:rsid w:val="00A13CC1"/>
    <w:rsid w:val="00A16847"/>
    <w:rsid w:val="00A237D8"/>
    <w:rsid w:val="00A258F5"/>
    <w:rsid w:val="00A268C4"/>
    <w:rsid w:val="00A307CD"/>
    <w:rsid w:val="00A40A00"/>
    <w:rsid w:val="00A4142F"/>
    <w:rsid w:val="00A56DF2"/>
    <w:rsid w:val="00A65823"/>
    <w:rsid w:val="00A6654C"/>
    <w:rsid w:val="00A67AB5"/>
    <w:rsid w:val="00A87071"/>
    <w:rsid w:val="00A91760"/>
    <w:rsid w:val="00A93B00"/>
    <w:rsid w:val="00A93C21"/>
    <w:rsid w:val="00AB0B33"/>
    <w:rsid w:val="00AC3C6A"/>
    <w:rsid w:val="00AD5620"/>
    <w:rsid w:val="00AD7C1B"/>
    <w:rsid w:val="00AE16BA"/>
    <w:rsid w:val="00AE1EBE"/>
    <w:rsid w:val="00AE2B5F"/>
    <w:rsid w:val="00AE4C8B"/>
    <w:rsid w:val="00AF5D0B"/>
    <w:rsid w:val="00B012C6"/>
    <w:rsid w:val="00B03C9D"/>
    <w:rsid w:val="00B060AE"/>
    <w:rsid w:val="00B10517"/>
    <w:rsid w:val="00B14E76"/>
    <w:rsid w:val="00B161B8"/>
    <w:rsid w:val="00B1788C"/>
    <w:rsid w:val="00B2048C"/>
    <w:rsid w:val="00B214F9"/>
    <w:rsid w:val="00B310B9"/>
    <w:rsid w:val="00B35F3F"/>
    <w:rsid w:val="00B36CBB"/>
    <w:rsid w:val="00B425E0"/>
    <w:rsid w:val="00B440AA"/>
    <w:rsid w:val="00B44B70"/>
    <w:rsid w:val="00B453EE"/>
    <w:rsid w:val="00B47983"/>
    <w:rsid w:val="00B53C56"/>
    <w:rsid w:val="00B752E6"/>
    <w:rsid w:val="00B77EA6"/>
    <w:rsid w:val="00B81598"/>
    <w:rsid w:val="00B841F1"/>
    <w:rsid w:val="00B944D6"/>
    <w:rsid w:val="00BB4DF0"/>
    <w:rsid w:val="00BC0070"/>
    <w:rsid w:val="00BC19DC"/>
    <w:rsid w:val="00BC289F"/>
    <w:rsid w:val="00BC413F"/>
    <w:rsid w:val="00BC5361"/>
    <w:rsid w:val="00BC5460"/>
    <w:rsid w:val="00BC6B50"/>
    <w:rsid w:val="00BC6D65"/>
    <w:rsid w:val="00BD0E25"/>
    <w:rsid w:val="00BD114A"/>
    <w:rsid w:val="00BF5BD6"/>
    <w:rsid w:val="00C03E31"/>
    <w:rsid w:val="00C20108"/>
    <w:rsid w:val="00C229C1"/>
    <w:rsid w:val="00C2699C"/>
    <w:rsid w:val="00C33E72"/>
    <w:rsid w:val="00C354B2"/>
    <w:rsid w:val="00C35554"/>
    <w:rsid w:val="00C42709"/>
    <w:rsid w:val="00C47984"/>
    <w:rsid w:val="00C533CC"/>
    <w:rsid w:val="00C5751C"/>
    <w:rsid w:val="00C61BFC"/>
    <w:rsid w:val="00C62B85"/>
    <w:rsid w:val="00C65438"/>
    <w:rsid w:val="00C726DF"/>
    <w:rsid w:val="00C82FB4"/>
    <w:rsid w:val="00C856B7"/>
    <w:rsid w:val="00C91CBB"/>
    <w:rsid w:val="00C97400"/>
    <w:rsid w:val="00CA2F66"/>
    <w:rsid w:val="00CB39A6"/>
    <w:rsid w:val="00CB7544"/>
    <w:rsid w:val="00CC09B6"/>
    <w:rsid w:val="00CC666F"/>
    <w:rsid w:val="00CD1E3F"/>
    <w:rsid w:val="00CE44F6"/>
    <w:rsid w:val="00CE49DA"/>
    <w:rsid w:val="00CE7B61"/>
    <w:rsid w:val="00D00095"/>
    <w:rsid w:val="00D07FB5"/>
    <w:rsid w:val="00D1341D"/>
    <w:rsid w:val="00D20620"/>
    <w:rsid w:val="00D20D4A"/>
    <w:rsid w:val="00D24A62"/>
    <w:rsid w:val="00D26091"/>
    <w:rsid w:val="00D26352"/>
    <w:rsid w:val="00D34E7C"/>
    <w:rsid w:val="00D35489"/>
    <w:rsid w:val="00D42919"/>
    <w:rsid w:val="00D51276"/>
    <w:rsid w:val="00D65573"/>
    <w:rsid w:val="00D67008"/>
    <w:rsid w:val="00D7035F"/>
    <w:rsid w:val="00D725E3"/>
    <w:rsid w:val="00D83C83"/>
    <w:rsid w:val="00D91854"/>
    <w:rsid w:val="00DA4FCC"/>
    <w:rsid w:val="00DA65AC"/>
    <w:rsid w:val="00DB1913"/>
    <w:rsid w:val="00DC410D"/>
    <w:rsid w:val="00DC68CA"/>
    <w:rsid w:val="00DC7CBA"/>
    <w:rsid w:val="00DD73B7"/>
    <w:rsid w:val="00DE37CC"/>
    <w:rsid w:val="00DF28BC"/>
    <w:rsid w:val="00DF34B9"/>
    <w:rsid w:val="00E01053"/>
    <w:rsid w:val="00E07ACF"/>
    <w:rsid w:val="00E331A1"/>
    <w:rsid w:val="00E33202"/>
    <w:rsid w:val="00E336A9"/>
    <w:rsid w:val="00E440A0"/>
    <w:rsid w:val="00E50624"/>
    <w:rsid w:val="00E568DF"/>
    <w:rsid w:val="00E64269"/>
    <w:rsid w:val="00E82267"/>
    <w:rsid w:val="00EA010F"/>
    <w:rsid w:val="00EA0C06"/>
    <w:rsid w:val="00EC6E3F"/>
    <w:rsid w:val="00ED1B63"/>
    <w:rsid w:val="00ED3C1F"/>
    <w:rsid w:val="00ED4085"/>
    <w:rsid w:val="00ED420E"/>
    <w:rsid w:val="00EE2F57"/>
    <w:rsid w:val="00EE4C11"/>
    <w:rsid w:val="00EF39E7"/>
    <w:rsid w:val="00EF3B0F"/>
    <w:rsid w:val="00EF4C34"/>
    <w:rsid w:val="00EF77C6"/>
    <w:rsid w:val="00F02BE5"/>
    <w:rsid w:val="00F02E5D"/>
    <w:rsid w:val="00F05438"/>
    <w:rsid w:val="00F11511"/>
    <w:rsid w:val="00F1361C"/>
    <w:rsid w:val="00F160C7"/>
    <w:rsid w:val="00F36D8F"/>
    <w:rsid w:val="00F3724D"/>
    <w:rsid w:val="00F417B1"/>
    <w:rsid w:val="00F602DF"/>
    <w:rsid w:val="00F64F22"/>
    <w:rsid w:val="00F75EE6"/>
    <w:rsid w:val="00F81F4E"/>
    <w:rsid w:val="00F81FD9"/>
    <w:rsid w:val="00F841AA"/>
    <w:rsid w:val="00F9070F"/>
    <w:rsid w:val="00F90BFE"/>
    <w:rsid w:val="00F93DAA"/>
    <w:rsid w:val="00FA2218"/>
    <w:rsid w:val="00FA23E8"/>
    <w:rsid w:val="00FA2480"/>
    <w:rsid w:val="00FA5884"/>
    <w:rsid w:val="00FA750B"/>
    <w:rsid w:val="00FD3CC1"/>
    <w:rsid w:val="00FD4361"/>
    <w:rsid w:val="00FF1E02"/>
    <w:rsid w:val="00FF281F"/>
    <w:rsid w:val="00FF30B4"/>
    <w:rsid w:val="10C055FF"/>
    <w:rsid w:val="16BB723D"/>
    <w:rsid w:val="1C455189"/>
    <w:rsid w:val="240371BF"/>
    <w:rsid w:val="29FD04D3"/>
    <w:rsid w:val="312369C7"/>
    <w:rsid w:val="319F7F4E"/>
    <w:rsid w:val="3A3322EF"/>
    <w:rsid w:val="4E5F7922"/>
    <w:rsid w:val="5A362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semiHidden="0" w:unhideWhenUsed="0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8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178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78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178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B1788C"/>
    <w:rPr>
      <w:rFonts w:ascii="Arial" w:eastAsia="黑体" w:hAnsi="Arial" w:cs="Arial"/>
      <w:sz w:val="20"/>
      <w:szCs w:val="20"/>
    </w:rPr>
  </w:style>
  <w:style w:type="paragraph" w:styleId="a4">
    <w:name w:val="Body Text"/>
    <w:basedOn w:val="a"/>
    <w:link w:val="Char"/>
    <w:uiPriority w:val="99"/>
    <w:qFormat/>
    <w:rsid w:val="00B1788C"/>
    <w:pPr>
      <w:spacing w:beforeLines="30"/>
    </w:pPr>
    <w:rPr>
      <w:rFonts w:ascii="仿宋_GB2312" w:eastAsia="仿宋_GB2312"/>
      <w:kern w:val="0"/>
      <w:sz w:val="30"/>
    </w:rPr>
  </w:style>
  <w:style w:type="paragraph" w:styleId="30">
    <w:name w:val="toc 3"/>
    <w:basedOn w:val="a"/>
    <w:next w:val="a"/>
    <w:uiPriority w:val="39"/>
    <w:unhideWhenUsed/>
    <w:qFormat/>
    <w:rsid w:val="00B1788C"/>
    <w:pPr>
      <w:tabs>
        <w:tab w:val="right" w:leader="dot" w:pos="8296"/>
      </w:tabs>
      <w:ind w:leftChars="400" w:left="840"/>
    </w:pPr>
  </w:style>
  <w:style w:type="paragraph" w:styleId="a5">
    <w:name w:val="Balloon Text"/>
    <w:basedOn w:val="a"/>
    <w:link w:val="Char0"/>
    <w:uiPriority w:val="99"/>
    <w:unhideWhenUsed/>
    <w:qFormat/>
    <w:rsid w:val="00B1788C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B1788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Char2"/>
    <w:uiPriority w:val="99"/>
    <w:semiHidden/>
    <w:qFormat/>
    <w:rsid w:val="00B1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B1788C"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rsid w:val="00B1788C"/>
    <w:pPr>
      <w:tabs>
        <w:tab w:val="right" w:leader="dot" w:pos="8296"/>
      </w:tabs>
      <w:ind w:leftChars="200" w:left="420"/>
    </w:pPr>
  </w:style>
  <w:style w:type="paragraph" w:styleId="a8">
    <w:name w:val="Normal (Web)"/>
    <w:basedOn w:val="a"/>
    <w:uiPriority w:val="99"/>
    <w:unhideWhenUsed/>
    <w:qFormat/>
    <w:rsid w:val="00B178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B1788C"/>
    <w:rPr>
      <w:b/>
    </w:rPr>
  </w:style>
  <w:style w:type="character" w:styleId="aa">
    <w:name w:val="Hyperlink"/>
    <w:basedOn w:val="a0"/>
    <w:uiPriority w:val="99"/>
    <w:unhideWhenUsed/>
    <w:qFormat/>
    <w:rsid w:val="00B1788C"/>
    <w:rPr>
      <w:color w:val="0000FF" w:themeColor="hyperlink"/>
      <w:u w:val="single"/>
    </w:rPr>
  </w:style>
  <w:style w:type="character" w:customStyle="1" w:styleId="HeaderChar">
    <w:name w:val="Header Char"/>
    <w:basedOn w:val="a0"/>
    <w:uiPriority w:val="99"/>
    <w:semiHidden/>
    <w:qFormat/>
    <w:rsid w:val="00B1788C"/>
    <w:rPr>
      <w:rFonts w:ascii="Times New Roman" w:hAnsi="Times New Roman"/>
      <w:sz w:val="18"/>
      <w:szCs w:val="18"/>
    </w:rPr>
  </w:style>
  <w:style w:type="character" w:customStyle="1" w:styleId="Char2">
    <w:name w:val="页眉 Char"/>
    <w:link w:val="a7"/>
    <w:uiPriority w:val="99"/>
    <w:semiHidden/>
    <w:qFormat/>
    <w:locked/>
    <w:rsid w:val="00B1788C"/>
    <w:rPr>
      <w:sz w:val="18"/>
    </w:rPr>
  </w:style>
  <w:style w:type="character" w:customStyle="1" w:styleId="FooterChar">
    <w:name w:val="Footer Char"/>
    <w:basedOn w:val="a0"/>
    <w:uiPriority w:val="99"/>
    <w:semiHidden/>
    <w:qFormat/>
    <w:rsid w:val="00B1788C"/>
    <w:rPr>
      <w:rFonts w:ascii="Times New Roman" w:hAnsi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locked/>
    <w:rsid w:val="00B1788C"/>
    <w:rPr>
      <w:sz w:val="18"/>
    </w:rPr>
  </w:style>
  <w:style w:type="character" w:customStyle="1" w:styleId="BodyTextChar">
    <w:name w:val="Body Text Char"/>
    <w:basedOn w:val="a0"/>
    <w:uiPriority w:val="99"/>
    <w:semiHidden/>
    <w:qFormat/>
    <w:rsid w:val="00B1788C"/>
    <w:rPr>
      <w:rFonts w:ascii="Times New Roman" w:hAnsi="Times New Roman"/>
      <w:szCs w:val="24"/>
    </w:rPr>
  </w:style>
  <w:style w:type="character" w:customStyle="1" w:styleId="Char">
    <w:name w:val="正文文本 Char"/>
    <w:link w:val="a4"/>
    <w:uiPriority w:val="99"/>
    <w:qFormat/>
    <w:locked/>
    <w:rsid w:val="00B1788C"/>
    <w:rPr>
      <w:rFonts w:ascii="仿宋_GB2312" w:eastAsia="仿宋_GB2312" w:hAnsi="Times New Roman"/>
      <w:sz w:val="24"/>
    </w:rPr>
  </w:style>
  <w:style w:type="paragraph" w:customStyle="1" w:styleId="Default">
    <w:name w:val="Default"/>
    <w:qFormat/>
    <w:rsid w:val="00B1788C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11">
    <w:name w:val="列出段落1"/>
    <w:basedOn w:val="a"/>
    <w:uiPriority w:val="99"/>
    <w:qFormat/>
    <w:rsid w:val="00B1788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B1788C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sid w:val="00B1788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B1788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B1788C"/>
    <w:rPr>
      <w:rFonts w:ascii="Times New Roman" w:hAnsi="Times New Roman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B1788C"/>
    <w:rPr>
      <w:rFonts w:ascii="Times New Roman" w:hAnsi="Times New Roman"/>
      <w:b/>
      <w:bCs/>
      <w:kern w:val="2"/>
      <w:sz w:val="32"/>
      <w:szCs w:val="32"/>
    </w:rPr>
  </w:style>
  <w:style w:type="character" w:customStyle="1" w:styleId="Heading2Char">
    <w:name w:val="Heading 2 Char"/>
    <w:basedOn w:val="a0"/>
    <w:uiPriority w:val="99"/>
    <w:qFormat/>
    <w:locked/>
    <w:rsid w:val="00B1788C"/>
    <w:rPr>
      <w:rFonts w:ascii="Cambria" w:hAnsi="Cambria" w:cs="Cambria"/>
      <w:b/>
      <w:bCs/>
      <w:sz w:val="32"/>
      <w:szCs w:val="32"/>
    </w:rPr>
  </w:style>
  <w:style w:type="paragraph" w:customStyle="1" w:styleId="ListParagraph1">
    <w:name w:val="List Paragraph1"/>
    <w:basedOn w:val="a"/>
    <w:uiPriority w:val="99"/>
    <w:qFormat/>
    <w:rsid w:val="00B1788C"/>
    <w:pPr>
      <w:ind w:firstLineChars="200" w:firstLine="420"/>
    </w:pPr>
    <w:rPr>
      <w:szCs w:val="21"/>
    </w:rPr>
  </w:style>
  <w:style w:type="paragraph" w:styleId="ab">
    <w:name w:val="List Paragraph"/>
    <w:basedOn w:val="a"/>
    <w:uiPriority w:val="99"/>
    <w:rsid w:val="005A10C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0" i="0" u="none" strike="noStrike" baseline="0">
                <a:effectLst/>
              </a:rPr>
              <a:t>2019</a:t>
            </a:r>
            <a:r>
              <a:rPr lang="zh-CN" altLang="en-US" sz="1400" b="0" i="0" u="none" strike="noStrike" baseline="0">
                <a:effectLst/>
              </a:rPr>
              <a:t>、</a:t>
            </a:r>
            <a:r>
              <a:rPr lang="en-US" altLang="zh-CN" sz="1400" b="0" i="0" u="none" strike="noStrike" baseline="0">
                <a:effectLst/>
              </a:rPr>
              <a:t>2020</a:t>
            </a:r>
            <a:r>
              <a:rPr lang="zh-CN" altLang="en-US" sz="1400" b="0" i="0" u="none" strike="noStrike" baseline="0">
                <a:effectLst/>
              </a:rPr>
              <a:t>年</a:t>
            </a:r>
            <a:r>
              <a:rPr lang="zh-CN" altLang="zh-CN" sz="1400" b="0" i="0" u="none" strike="noStrike" baseline="0">
                <a:effectLst/>
              </a:rPr>
              <a:t>收、支决算总计变动情况图</a:t>
            </a:r>
            <a:endParaRPr lang="zh-CN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5675737679431061E-2"/>
          <c:y val="0.272755905511811"/>
          <c:w val="0.91579789583850801"/>
          <c:h val="0.64917091245947267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2"/>
                <c:pt idx="0">
                  <c:v>收入</c:v>
                </c:pt>
                <c:pt idx="1">
                  <c:v>支出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1277.27</c:v>
                </c:pt>
                <c:pt idx="1">
                  <c:v>1277.27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1A-4EAD-AD17-6305683C8C0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2"/>
                <c:pt idx="0">
                  <c:v>收入</c:v>
                </c:pt>
                <c:pt idx="1">
                  <c:v>支出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1179.0899999999999</c:v>
                </c:pt>
                <c:pt idx="1">
                  <c:v>1179.0899999999999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61A-4EAD-AD17-6305683C8C09}"/>
            </c:ext>
          </c:extLst>
        </c:ser>
        <c:dLbls>
          <c:showVal val="1"/>
        </c:dLbls>
        <c:gapWidth val="219"/>
        <c:overlap val="-27"/>
        <c:axId val="81476224"/>
        <c:axId val="81491840"/>
      </c:barChart>
      <c:catAx>
        <c:axId val="814762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1491840"/>
        <c:crosses val="autoZero"/>
        <c:auto val="1"/>
        <c:lblAlgn val="ctr"/>
        <c:lblOffset val="100"/>
      </c:catAx>
      <c:valAx>
        <c:axId val="814918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1476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750505600098592"/>
          <c:y val="0.17074537011544894"/>
          <c:w val="0.17601987496021929"/>
          <c:h val="7.8671879301800557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ofPieChart>
        <c:ofPieType val="pie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收入决算结构图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C9D-4685-BCE9-BBEC481018FF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C9D-4685-BCE9-BBEC481018FF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C9D-4685-BCE9-BBEC481018FF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C9D-4685-BCE9-BBEC481018FF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C9D-4685-BCE9-BBEC481018F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一般公共预算拨款</c:v>
                </c:pt>
                <c:pt idx="1">
                  <c:v>政府性基金预算拨款</c:v>
                </c:pt>
                <c:pt idx="2">
                  <c:v>事业收入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675.41</c:v>
                </c:pt>
                <c:pt idx="1">
                  <c:v>4.5</c:v>
                </c:pt>
                <c:pt idx="2">
                  <c:v>3.8299999999999992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FC-42E1-93C8-7702182B80FF}"/>
            </c:ext>
          </c:extLst>
        </c:ser>
        <c:dLbls>
          <c:showVal val="1"/>
        </c:dLbls>
        <c:gapWidth val="15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zh-CN" altLang="en-US"/>
              <a:t>支出</a:t>
            </a:r>
          </a:p>
        </c:rich>
      </c:tx>
      <c:layout>
        <c:manualLayout>
          <c:xMode val="edge"/>
          <c:yMode val="edge"/>
          <c:x val="0.31654676258992914"/>
          <c:y val="9.3406593406593505E-2"/>
        </c:manualLayout>
      </c:layout>
      <c:spPr>
        <a:noFill/>
        <a:ln w="25388">
          <a:noFill/>
        </a:ln>
      </c:spPr>
    </c:title>
    <c:plotArea>
      <c:layout>
        <c:manualLayout>
          <c:layoutTarget val="inner"/>
          <c:xMode val="edge"/>
          <c:yMode val="edge"/>
          <c:x val="0.15467625899280599"/>
          <c:y val="0.24725274725274701"/>
          <c:w val="0.43165467625899412"/>
          <c:h val="0.659340659340661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4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0F8-48DD-95F2-EE1A10E75DFE}"/>
              </c:ext>
            </c:extLst>
          </c:dPt>
          <c:cat>
            <c:strRef>
              <c:f>Sheet1!$B$1:$C$1</c:f>
              <c:strCache>
                <c:ptCount val="1"/>
                <c:pt idx="0">
                  <c:v>基本支出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0F8-48DD-95F2-EE1A10E75DFE}"/>
            </c:ext>
          </c:extLst>
        </c:ser>
        <c:firstSliceAng val="0"/>
      </c:pieChart>
      <c:spPr>
        <a:solidFill>
          <a:srgbClr val="C0C0C0"/>
        </a:solidFill>
        <a:ln w="1269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100719424460504"/>
          <c:y val="0.47252747252747412"/>
          <c:w val="0.24460431654676307"/>
          <c:h val="0.19230769230769201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825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  <a:endParaRPr lang="zh-CN"/>
        </a:p>
      </c:txPr>
    </c:legend>
    <c:plotVisOnly val="1"/>
    <c:dispBlanksAs val="zero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zh-CN" sz="90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zh-CN" altLang="en-US"/>
              <a:t>支出</a:t>
            </a:r>
          </a:p>
        </c:rich>
      </c:tx>
      <c:layout>
        <c:manualLayout>
          <c:xMode val="edge"/>
          <c:yMode val="edge"/>
          <c:x val="0.31654676258992914"/>
          <c:y val="9.3406593406593505E-2"/>
        </c:manualLayout>
      </c:layout>
      <c:spPr>
        <a:noFill/>
        <a:ln w="25388">
          <a:noFill/>
        </a:ln>
      </c:spPr>
    </c:title>
    <c:plotArea>
      <c:layout>
        <c:manualLayout>
          <c:layoutTarget val="inner"/>
          <c:xMode val="edge"/>
          <c:yMode val="edge"/>
          <c:x val="0.15467625899280599"/>
          <c:y val="0.24725274725274701"/>
          <c:w val="0.43165467625899412"/>
          <c:h val="0.659340659340661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4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86F-4EA7-B070-E8FAAACC3A1D}"/>
              </c:ext>
            </c:extLst>
          </c:dPt>
          <c:cat>
            <c:strRef>
              <c:f>Sheet1!$B$1:$C$1</c:f>
              <c:strCache>
                <c:ptCount val="1"/>
                <c:pt idx="0">
                  <c:v>基本支出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99.31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86F-4EA7-B070-E8FAAACC3A1D}"/>
            </c:ext>
          </c:extLst>
        </c:ser>
        <c:firstSliceAng val="0"/>
      </c:pieChart>
      <c:spPr>
        <a:solidFill>
          <a:srgbClr val="C0C0C0"/>
        </a:solidFill>
        <a:ln w="1269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100719424460504"/>
          <c:y val="0.47252747252747412"/>
          <c:w val="0.24460431654676307"/>
          <c:h val="0.19230769230769201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825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  <a:endParaRPr lang="zh-CN"/>
        </a:p>
      </c:txPr>
    </c:legend>
    <c:plotVisOnly val="1"/>
    <c:dispBlanksAs val="zero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zh-CN" sz="90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zh-CN" altLang="en-US"/>
              <a:t>支出</a:t>
            </a:r>
          </a:p>
        </c:rich>
      </c:tx>
      <c:layout>
        <c:manualLayout>
          <c:xMode val="edge"/>
          <c:yMode val="edge"/>
          <c:x val="0.31654676258992914"/>
          <c:y val="9.3406593406593505E-2"/>
        </c:manualLayout>
      </c:layout>
      <c:spPr>
        <a:noFill/>
        <a:ln w="25388">
          <a:noFill/>
        </a:ln>
      </c:spPr>
    </c:title>
    <c:plotArea>
      <c:layout>
        <c:manualLayout>
          <c:layoutTarget val="inner"/>
          <c:xMode val="edge"/>
          <c:yMode val="edge"/>
          <c:x val="0.15467625899280599"/>
          <c:y val="0.24725274725274701"/>
          <c:w val="0.43165467625899412"/>
          <c:h val="0.659340659340661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4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1CD-4B99-B3D4-37C2B1AE81FC}"/>
              </c:ext>
            </c:extLst>
          </c:dPt>
          <c:cat>
            <c:strRef>
              <c:f>Sheet1!$B$1:$C$1</c:f>
              <c:strCache>
                <c:ptCount val="1"/>
                <c:pt idx="0">
                  <c:v>基本支出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1CD-4B99-B3D4-37C2B1AE81FC}"/>
            </c:ext>
          </c:extLst>
        </c:ser>
        <c:firstSliceAng val="0"/>
      </c:pieChart>
      <c:spPr>
        <a:solidFill>
          <a:srgbClr val="C0C0C0"/>
        </a:solidFill>
        <a:ln w="1269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100719424460504"/>
          <c:y val="0.47252747252747412"/>
          <c:w val="0.24460431654676307"/>
          <c:h val="0.19230769230769201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825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  <a:endParaRPr lang="zh-CN"/>
        </a:p>
      </c:txPr>
    </c:legend>
    <c:plotVisOnly val="1"/>
    <c:dispBlanksAs val="zero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zh-CN" sz="90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  <a:endParaRPr lang="zh-CN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支出决算结构图</c:v>
                </c:pt>
              </c:strCache>
            </c:strRef>
          </c:tx>
          <c:explosion val="9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DF-437B-9571-7356C8347B22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DF-437B-9571-7356C8347B22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FDF-437B-9571-7356C8347B22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FDF-437B-9571-7356C8347B22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FDF-437B-9571-7356C8347B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基本支出</c:v>
                </c:pt>
                <c:pt idx="1">
                  <c:v>项目支出</c:v>
                </c:pt>
                <c:pt idx="2">
                  <c:v>上缴上级支出</c:v>
                </c:pt>
                <c:pt idx="3">
                  <c:v>经营支出</c:v>
                </c:pt>
                <c:pt idx="4">
                  <c:v>对附属单位补助支出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949.81999999999982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A4-431A-B4CA-BCF6BBFF67DB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zh-CN" sz="1400" b="0" i="0" u="none" strike="noStrike" baseline="0">
                <a:effectLst/>
              </a:rPr>
              <a:t>财政拨款收、支决算总计变动情况</a:t>
            </a:r>
            <a:endParaRPr lang="zh-CN" altLang="en-US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2"/>
                <c:pt idx="0">
                  <c:v>收入</c:v>
                </c:pt>
                <c:pt idx="1">
                  <c:v>支出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1270.1299999999999</c:v>
                </c:pt>
                <c:pt idx="1">
                  <c:v>1270.1299999999999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D9-4AF1-B87A-42DAF46480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2"/>
                <c:pt idx="0">
                  <c:v>收入</c:v>
                </c:pt>
                <c:pt idx="1">
                  <c:v>支出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1175.26</c:v>
                </c:pt>
                <c:pt idx="1">
                  <c:v>1175.26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D9-4AF1-B87A-42DAF46480AD}"/>
            </c:ext>
          </c:extLst>
        </c:ser>
        <c:dLbls>
          <c:showVal val="1"/>
        </c:dLbls>
        <c:gapWidth val="219"/>
        <c:overlap val="-27"/>
        <c:axId val="104054144"/>
        <c:axId val="104060416"/>
      </c:barChart>
      <c:catAx>
        <c:axId val="104054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4060416"/>
        <c:crosses val="autoZero"/>
        <c:auto val="1"/>
        <c:lblAlgn val="ctr"/>
        <c:lblOffset val="100"/>
      </c:catAx>
      <c:valAx>
        <c:axId val="1040604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405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zh-CN" sz="1400" b="0" i="0" u="none" strike="noStrike" baseline="0">
                <a:effectLst/>
              </a:rPr>
              <a:t>一般公共预算财政拨款支出决算变动情况</a:t>
            </a:r>
            <a:endParaRPr lang="zh-CN" altLang="en-US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774.77000000000021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0C-42DE-B047-A7E5877A628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1"/>
                <c:pt idx="0">
                  <c:v>支出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949.81999999999982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A0C-42DE-B047-A7E5877A628E}"/>
            </c:ext>
          </c:extLst>
        </c:ser>
        <c:dLbls>
          <c:showVal val="1"/>
        </c:dLbls>
        <c:gapWidth val="219"/>
        <c:overlap val="-27"/>
        <c:axId val="32285440"/>
        <c:axId val="32286976"/>
      </c:barChart>
      <c:catAx>
        <c:axId val="32285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286976"/>
        <c:crosses val="autoZero"/>
        <c:auto val="1"/>
        <c:lblAlgn val="ctr"/>
        <c:lblOffset val="100"/>
      </c:catAx>
      <c:valAx>
        <c:axId val="322869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28544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一般公共预算财政拨款支出预算情况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0CF-4F9D-88D1-BEBB843708A0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0CF-4F9D-88D1-BEBB843708A0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0CF-4F9D-88D1-BEBB843708A0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0CF-4F9D-88D1-BEBB843708A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教育支出</c:v>
                </c:pt>
                <c:pt idx="1">
                  <c:v>社会保障和就业类支出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809.85999999999979</c:v>
                </c:pt>
                <c:pt idx="1">
                  <c:v>72.290000000000006</c:v>
                </c:pt>
                <c:pt idx="2">
                  <c:v>26.22</c:v>
                </c:pt>
                <c:pt idx="3">
                  <c:v>41.45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88-4C30-8075-4513633E5AF1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289016003989183"/>
          <c:y val="0.187306013992833"/>
          <c:w val="0.21250988280931543"/>
          <c:h val="0.5278642646449379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CBDB073-DC8A-43AB-91E1-A8425EA50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25</Pages>
  <Words>1242</Words>
  <Characters>7081</Characters>
  <Application>Microsoft Office Word</Application>
  <DocSecurity>0</DocSecurity>
  <Lines>59</Lines>
  <Paragraphs>16</Paragraphs>
  <ScaleCrop>false</ScaleCrop>
  <Company>四川省财政厅</Company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四川省***</dc:title>
  <dc:creator>张彬茜</dc:creator>
  <cp:lastModifiedBy>lenovo</cp:lastModifiedBy>
  <cp:revision>39</cp:revision>
  <cp:lastPrinted>2021-10-12T08:21:00Z</cp:lastPrinted>
  <dcterms:created xsi:type="dcterms:W3CDTF">2021-10-11T04:29:00Z</dcterms:created>
  <dcterms:modified xsi:type="dcterms:W3CDTF">2021-10-14T07:57:00Z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